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8328" w14:textId="1ADBC75A" w:rsidR="002D391F" w:rsidRPr="00530A20" w:rsidRDefault="002D391F" w:rsidP="002D391F">
      <w:pPr>
        <w:pStyle w:val="MonthDayYear"/>
        <w:jc w:val="both"/>
        <w:rPr>
          <w:highlight w:val="yellow"/>
        </w:rPr>
      </w:pPr>
    </w:p>
    <w:p w14:paraId="2D539B13" w14:textId="77777777" w:rsidR="009800C9" w:rsidRDefault="009800C9" w:rsidP="002D391F">
      <w:pPr>
        <w:pStyle w:val="MonthDayYear"/>
      </w:pPr>
    </w:p>
    <w:p w14:paraId="42E18679" w14:textId="35F4C4AC" w:rsidR="00033476" w:rsidRPr="00530A20" w:rsidRDefault="004B2C19" w:rsidP="002D391F">
      <w:pPr>
        <w:pStyle w:val="MonthDayYear"/>
      </w:pPr>
      <w:r w:rsidRPr="00530A20">
        <w:t>11 Mart 2025</w:t>
      </w:r>
    </w:p>
    <w:p w14:paraId="6E369758" w14:textId="2E10436E" w:rsidR="00E76C67" w:rsidRPr="00530A20" w:rsidRDefault="00281B9B" w:rsidP="00033476">
      <w:pPr>
        <w:pStyle w:val="Topline"/>
        <w:spacing w:after="360"/>
      </w:pPr>
      <w:r w:rsidRPr="00530A20">
        <w:t>Henkel 2024'</w:t>
      </w:r>
      <w:r w:rsidR="00A32939">
        <w:t>e ait</w:t>
      </w:r>
      <w:r w:rsidRPr="00530A20">
        <w:t xml:space="preserve"> yıllık sonuçları açıkladı</w:t>
      </w:r>
    </w:p>
    <w:p w14:paraId="520F16C5" w14:textId="7C51A01D" w:rsidR="00E76C67" w:rsidRPr="009800C9" w:rsidRDefault="004B2C19" w:rsidP="00E76C67">
      <w:pPr>
        <w:jc w:val="left"/>
        <w:rPr>
          <w:rStyle w:val="Headline"/>
          <w:rFonts w:asciiTheme="majorHAnsi" w:hAnsiTheme="majorHAnsi" w:cstheme="majorHAnsi"/>
          <w:sz w:val="28"/>
          <w:szCs w:val="28"/>
        </w:rPr>
      </w:pPr>
      <w:r w:rsidRPr="009800C9">
        <w:rPr>
          <w:rStyle w:val="Headline"/>
          <w:rFonts w:asciiTheme="majorHAnsi" w:hAnsiTheme="majorHAnsi"/>
          <w:sz w:val="28"/>
          <w:szCs w:val="28"/>
        </w:rPr>
        <w:t>2024</w:t>
      </w:r>
      <w:r w:rsidR="00A32939">
        <w:rPr>
          <w:rStyle w:val="Headline"/>
          <w:rFonts w:asciiTheme="majorHAnsi" w:hAnsiTheme="majorHAnsi"/>
          <w:sz w:val="28"/>
          <w:szCs w:val="28"/>
        </w:rPr>
        <w:t>’te</w:t>
      </w:r>
      <w:r w:rsidRPr="009800C9">
        <w:rPr>
          <w:rStyle w:val="Headline"/>
          <w:rFonts w:asciiTheme="majorHAnsi" w:hAnsiTheme="majorHAnsi"/>
          <w:sz w:val="28"/>
          <w:szCs w:val="28"/>
        </w:rPr>
        <w:t xml:space="preserve"> elde edilen son derece başarılı sonuçlar, </w:t>
      </w:r>
      <w:r w:rsidR="00711C44">
        <w:rPr>
          <w:rStyle w:val="Headline"/>
          <w:rFonts w:asciiTheme="majorHAnsi" w:hAnsiTheme="majorHAnsi"/>
          <w:sz w:val="28"/>
          <w:szCs w:val="28"/>
        </w:rPr>
        <w:t>“</w:t>
      </w:r>
      <w:r w:rsidRPr="009800C9">
        <w:rPr>
          <w:rStyle w:val="Headline"/>
          <w:rFonts w:asciiTheme="majorHAnsi" w:hAnsiTheme="majorHAnsi"/>
          <w:sz w:val="28"/>
          <w:szCs w:val="28"/>
        </w:rPr>
        <w:t>Amaca Yönelik Büyüme Gündemi</w:t>
      </w:r>
      <w:r w:rsidR="00711C44">
        <w:rPr>
          <w:rStyle w:val="Headline"/>
          <w:rFonts w:asciiTheme="majorHAnsi" w:hAnsiTheme="majorHAnsi"/>
          <w:sz w:val="28"/>
          <w:szCs w:val="28"/>
        </w:rPr>
        <w:t>”</w:t>
      </w:r>
      <w:r w:rsidRPr="009800C9">
        <w:rPr>
          <w:rStyle w:val="Headline"/>
          <w:rFonts w:asciiTheme="majorHAnsi" w:hAnsiTheme="majorHAnsi"/>
          <w:sz w:val="28"/>
          <w:szCs w:val="28"/>
        </w:rPr>
        <w:t>nin başarılı bir şekilde uygulandığını gösteriyor</w:t>
      </w:r>
    </w:p>
    <w:p w14:paraId="5DB243D5" w14:textId="77777777" w:rsidR="004B2C19" w:rsidRPr="00530A20" w:rsidRDefault="004B2C19" w:rsidP="004B2C19">
      <w:pPr>
        <w:spacing w:line="240" w:lineRule="auto"/>
        <w:jc w:val="left"/>
        <w:rPr>
          <w:sz w:val="16"/>
          <w:szCs w:val="16"/>
        </w:rPr>
      </w:pPr>
    </w:p>
    <w:p w14:paraId="1AE13300" w14:textId="7E964867" w:rsidR="004B2C19" w:rsidRPr="009800C9"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bookmarkStart w:id="0" w:name="_Hlk64363173"/>
      <w:bookmarkStart w:id="1" w:name="_Hlk43712519"/>
      <w:r w:rsidRPr="009800C9">
        <w:rPr>
          <w:rFonts w:asciiTheme="majorHAnsi" w:hAnsiTheme="majorHAnsi"/>
          <w:b/>
          <w:sz w:val="20"/>
          <w:szCs w:val="20"/>
        </w:rPr>
        <w:t>2024 mali yılında yakalanan güçlü iş performansı</w:t>
      </w:r>
      <w:r w:rsidR="00FD62D8">
        <w:rPr>
          <w:rFonts w:asciiTheme="majorHAnsi" w:hAnsiTheme="majorHAnsi"/>
          <w:b/>
          <w:sz w:val="20"/>
          <w:szCs w:val="20"/>
        </w:rPr>
        <w:t>.</w:t>
      </w:r>
    </w:p>
    <w:bookmarkEnd w:id="0"/>
    <w:p w14:paraId="4C6E3AB3" w14:textId="5C52C920"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Satışlar: Yüzde 2,6 gibi </w:t>
      </w:r>
      <w:r w:rsidR="001B5D28">
        <w:rPr>
          <w:rFonts w:asciiTheme="majorHAnsi" w:hAnsiTheme="majorHAnsi"/>
          <w:b/>
          <w:sz w:val="20"/>
          <w:szCs w:val="20"/>
        </w:rPr>
        <w:t>iyi</w:t>
      </w:r>
      <w:r w:rsidRPr="009800C9">
        <w:rPr>
          <w:rFonts w:asciiTheme="majorHAnsi" w:hAnsiTheme="majorHAnsi"/>
          <w:b/>
          <w:sz w:val="20"/>
          <w:szCs w:val="20"/>
        </w:rPr>
        <w:t xml:space="preserve"> bir organik büyümeyle 21,6 milyar Euro</w:t>
      </w:r>
      <w:r w:rsidR="00FD62D8">
        <w:rPr>
          <w:rFonts w:asciiTheme="majorHAnsi" w:hAnsiTheme="majorHAnsi"/>
          <w:b/>
          <w:sz w:val="20"/>
          <w:szCs w:val="20"/>
        </w:rPr>
        <w:t>.</w:t>
      </w:r>
      <w:r w:rsidRPr="009800C9">
        <w:rPr>
          <w:rFonts w:asciiTheme="majorHAnsi" w:hAnsiTheme="majorHAnsi"/>
          <w:b/>
          <w:sz w:val="20"/>
          <w:szCs w:val="20"/>
        </w:rPr>
        <w:t xml:space="preserve"> </w:t>
      </w:r>
      <w:bookmarkEnd w:id="1"/>
      <w:r w:rsidRPr="009800C9">
        <w:rPr>
          <w:rFonts w:asciiTheme="majorHAnsi" w:hAnsiTheme="majorHAnsi"/>
          <w:b/>
          <w:sz w:val="20"/>
          <w:szCs w:val="20"/>
        </w:rPr>
        <w:t> </w:t>
      </w:r>
    </w:p>
    <w:p w14:paraId="3BCECB9B" w14:textId="6EFAC1B0"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Faaliyet karı (VFÖK)*: Yüzde 20,9 gibi kayda değer bir büyümeyle 3,1 milyar Euro</w:t>
      </w:r>
      <w:r w:rsidR="00FD62D8">
        <w:rPr>
          <w:rFonts w:asciiTheme="majorHAnsi" w:hAnsiTheme="majorHAnsi"/>
          <w:b/>
          <w:sz w:val="20"/>
          <w:szCs w:val="20"/>
        </w:rPr>
        <w:t>.</w:t>
      </w:r>
    </w:p>
    <w:p w14:paraId="0765C657" w14:textId="24E580D0"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VFÖK marjı*: </w:t>
      </w:r>
      <w:r w:rsidR="00F20F0C" w:rsidRPr="00F20F0C">
        <w:rPr>
          <w:rFonts w:asciiTheme="majorHAnsi" w:hAnsiTheme="majorHAnsi"/>
          <w:b/>
          <w:sz w:val="20"/>
          <w:szCs w:val="20"/>
        </w:rPr>
        <w:t>240 baz puanlık güçlü bir artışla yüzde 14,3 seviyesine ulaşıldı</w:t>
      </w:r>
      <w:r w:rsidR="00FD62D8">
        <w:rPr>
          <w:rFonts w:asciiTheme="majorHAnsi" w:hAnsiTheme="majorHAnsi"/>
          <w:b/>
          <w:sz w:val="20"/>
          <w:szCs w:val="20"/>
        </w:rPr>
        <w:t>.</w:t>
      </w:r>
    </w:p>
    <w:p w14:paraId="6676A097" w14:textId="138B796B"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İmtiyazlı hisse senedi başına karlılık (EPS)* önemli ölçüde artış gösterdi: </w:t>
      </w:r>
      <w:r w:rsidR="00891110">
        <w:rPr>
          <w:rFonts w:asciiTheme="majorHAnsi" w:hAnsiTheme="majorHAnsi"/>
          <w:b/>
          <w:sz w:val="20"/>
          <w:szCs w:val="20"/>
        </w:rPr>
        <w:t>S</w:t>
      </w:r>
      <w:r w:rsidRPr="009800C9">
        <w:rPr>
          <w:rFonts w:asciiTheme="majorHAnsi" w:hAnsiTheme="majorHAnsi"/>
          <w:b/>
          <w:sz w:val="20"/>
          <w:szCs w:val="20"/>
        </w:rPr>
        <w:t xml:space="preserve">abit kur ile yüzde 25,1 </w:t>
      </w:r>
      <w:r w:rsidR="00D47216">
        <w:rPr>
          <w:rFonts w:asciiTheme="majorHAnsi" w:hAnsiTheme="majorHAnsi"/>
          <w:b/>
          <w:sz w:val="20"/>
          <w:szCs w:val="20"/>
        </w:rPr>
        <w:t xml:space="preserve">oranında </w:t>
      </w:r>
      <w:r w:rsidRPr="009800C9">
        <w:rPr>
          <w:rFonts w:asciiTheme="majorHAnsi" w:hAnsiTheme="majorHAnsi"/>
          <w:b/>
          <w:sz w:val="20"/>
          <w:szCs w:val="20"/>
        </w:rPr>
        <w:t>artış</w:t>
      </w:r>
      <w:r w:rsidR="00891110">
        <w:rPr>
          <w:rFonts w:asciiTheme="majorHAnsi" w:hAnsiTheme="majorHAnsi"/>
          <w:b/>
          <w:sz w:val="20"/>
          <w:szCs w:val="20"/>
        </w:rPr>
        <w:t>la 5,36 Euro olarak gerçekleşti</w:t>
      </w:r>
      <w:r w:rsidR="00FD62D8">
        <w:rPr>
          <w:rFonts w:asciiTheme="majorHAnsi" w:hAnsiTheme="majorHAnsi"/>
          <w:b/>
          <w:sz w:val="20"/>
          <w:szCs w:val="20"/>
        </w:rPr>
        <w:t>.</w:t>
      </w:r>
    </w:p>
    <w:p w14:paraId="6FFBA867" w14:textId="68BDA6C8" w:rsidR="004B2C19" w:rsidRPr="009800C9" w:rsidRDefault="0031578E"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31578E">
        <w:rPr>
          <w:rFonts w:asciiTheme="majorHAnsi" w:hAnsiTheme="majorHAnsi"/>
          <w:b/>
          <w:sz w:val="20"/>
          <w:szCs w:val="20"/>
        </w:rPr>
        <w:t>2,4 milyar Euro seviyesinde güçlü serbest nakit akışı</w:t>
      </w:r>
      <w:r w:rsidR="00FD62D8">
        <w:rPr>
          <w:rFonts w:asciiTheme="majorHAnsi" w:hAnsiTheme="majorHAnsi"/>
          <w:b/>
          <w:sz w:val="20"/>
          <w:szCs w:val="20"/>
        </w:rPr>
        <w:t>.</w:t>
      </w:r>
    </w:p>
    <w:p w14:paraId="247878AC" w14:textId="4EB4273D" w:rsidR="004B2C19" w:rsidRPr="009800C9" w:rsidRDefault="00C6636E"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r w:rsidRPr="009800C9">
        <w:rPr>
          <w:rFonts w:asciiTheme="majorHAnsi" w:hAnsiTheme="majorHAnsi"/>
          <w:b/>
          <w:sz w:val="20"/>
          <w:szCs w:val="20"/>
        </w:rPr>
        <w:t>Temettüde öneri</w:t>
      </w:r>
      <w:r w:rsidR="00891110">
        <w:rPr>
          <w:rFonts w:asciiTheme="majorHAnsi" w:hAnsiTheme="majorHAnsi"/>
          <w:b/>
          <w:sz w:val="20"/>
          <w:szCs w:val="20"/>
        </w:rPr>
        <w:t>len</w:t>
      </w:r>
      <w:r w:rsidRPr="009800C9">
        <w:rPr>
          <w:rFonts w:asciiTheme="majorHAnsi" w:hAnsiTheme="majorHAnsi"/>
          <w:b/>
          <w:sz w:val="20"/>
          <w:szCs w:val="20"/>
        </w:rPr>
        <w:t xml:space="preserve"> </w:t>
      </w:r>
      <w:r w:rsidR="00455E1B">
        <w:rPr>
          <w:rFonts w:asciiTheme="majorHAnsi" w:hAnsiTheme="majorHAnsi"/>
          <w:b/>
          <w:sz w:val="20"/>
          <w:szCs w:val="20"/>
        </w:rPr>
        <w:t>çift haneli artış yüzdesi</w:t>
      </w:r>
      <w:r w:rsidRPr="009800C9">
        <w:rPr>
          <w:rFonts w:asciiTheme="majorHAnsi" w:hAnsiTheme="majorHAnsi"/>
          <w:b/>
          <w:sz w:val="20"/>
          <w:szCs w:val="20"/>
        </w:rPr>
        <w:t>:</w:t>
      </w:r>
      <w:r w:rsidRPr="009800C9">
        <w:rPr>
          <w:rFonts w:asciiTheme="majorHAnsi" w:hAnsiTheme="majorHAnsi"/>
          <w:b/>
          <w:sz w:val="20"/>
          <w:szCs w:val="20"/>
        </w:rPr>
        <w:br/>
        <w:t xml:space="preserve">İmtiyazlı hisse </w:t>
      </w:r>
      <w:r w:rsidR="00455E1B">
        <w:rPr>
          <w:rFonts w:asciiTheme="majorHAnsi" w:hAnsiTheme="majorHAnsi"/>
          <w:b/>
          <w:sz w:val="20"/>
          <w:szCs w:val="20"/>
        </w:rPr>
        <w:t xml:space="preserve">senedi </w:t>
      </w:r>
      <w:r w:rsidRPr="009800C9">
        <w:rPr>
          <w:rFonts w:asciiTheme="majorHAnsi" w:hAnsiTheme="majorHAnsi"/>
          <w:b/>
          <w:sz w:val="20"/>
          <w:szCs w:val="20"/>
        </w:rPr>
        <w:t>başına 2,04 Euro (yüzde 10,3</w:t>
      </w:r>
      <w:r w:rsidR="008C0E0A">
        <w:rPr>
          <w:rFonts w:asciiTheme="majorHAnsi" w:hAnsiTheme="majorHAnsi"/>
          <w:b/>
          <w:sz w:val="20"/>
          <w:szCs w:val="20"/>
        </w:rPr>
        <w:t xml:space="preserve"> artış</w:t>
      </w:r>
      <w:r w:rsidRPr="009800C9">
        <w:rPr>
          <w:rFonts w:asciiTheme="majorHAnsi" w:hAnsiTheme="majorHAnsi"/>
          <w:b/>
          <w:sz w:val="20"/>
          <w:szCs w:val="20"/>
        </w:rPr>
        <w:t>)</w:t>
      </w:r>
      <w:r w:rsidR="00FD62D8">
        <w:rPr>
          <w:rFonts w:asciiTheme="majorHAnsi" w:hAnsiTheme="majorHAnsi"/>
          <w:b/>
          <w:sz w:val="20"/>
          <w:szCs w:val="20"/>
        </w:rPr>
        <w:t>.</w:t>
      </w:r>
    </w:p>
    <w:p w14:paraId="1365C118" w14:textId="70522E2B" w:rsidR="00B0701C" w:rsidRPr="009800C9" w:rsidRDefault="00B0701C" w:rsidP="004B2C19">
      <w:pPr>
        <w:pStyle w:val="ListParagraph"/>
        <w:numPr>
          <w:ilvl w:val="0"/>
          <w:numId w:val="7"/>
        </w:numPr>
        <w:spacing w:after="80"/>
        <w:ind w:left="357" w:right="-108" w:hanging="357"/>
        <w:contextualSpacing w:val="0"/>
        <w:jc w:val="left"/>
        <w:rPr>
          <w:rFonts w:asciiTheme="majorHAnsi" w:hAnsiTheme="majorHAnsi" w:cstheme="majorHAnsi"/>
          <w:b/>
          <w:sz w:val="20"/>
          <w:szCs w:val="20"/>
        </w:rPr>
      </w:pPr>
      <w:r w:rsidRPr="009800C9">
        <w:rPr>
          <w:rFonts w:asciiTheme="majorHAnsi" w:hAnsiTheme="majorHAnsi"/>
          <w:b/>
          <w:sz w:val="20"/>
          <w:szCs w:val="20"/>
        </w:rPr>
        <w:t>1 milyar Euro</w:t>
      </w:r>
      <w:r w:rsidR="00B0028A">
        <w:rPr>
          <w:rFonts w:asciiTheme="majorHAnsi" w:hAnsiTheme="majorHAnsi"/>
          <w:b/>
          <w:sz w:val="20"/>
          <w:szCs w:val="20"/>
        </w:rPr>
        <w:t>’</w:t>
      </w:r>
      <w:r w:rsidRPr="009800C9">
        <w:rPr>
          <w:rFonts w:asciiTheme="majorHAnsi" w:hAnsiTheme="majorHAnsi"/>
          <w:b/>
          <w:sz w:val="20"/>
          <w:szCs w:val="20"/>
        </w:rPr>
        <w:t xml:space="preserve">ya kadar hisse geri alımı kararı </w:t>
      </w:r>
      <w:r w:rsidR="00B0028A">
        <w:rPr>
          <w:rFonts w:asciiTheme="majorHAnsi" w:hAnsiTheme="majorHAnsi"/>
          <w:b/>
          <w:sz w:val="20"/>
          <w:szCs w:val="20"/>
        </w:rPr>
        <w:t>verildi</w:t>
      </w:r>
      <w:r w:rsidR="00FD62D8">
        <w:rPr>
          <w:rFonts w:asciiTheme="majorHAnsi" w:hAnsiTheme="majorHAnsi"/>
          <w:b/>
          <w:sz w:val="20"/>
          <w:szCs w:val="20"/>
        </w:rPr>
        <w:t>.</w:t>
      </w:r>
    </w:p>
    <w:p w14:paraId="3CBA1EB3" w14:textId="1BC20DC0" w:rsidR="004B2C19" w:rsidRPr="009800C9" w:rsidRDefault="00AC6F72" w:rsidP="004B2C19">
      <w:pPr>
        <w:numPr>
          <w:ilvl w:val="0"/>
          <w:numId w:val="7"/>
        </w:numPr>
        <w:spacing w:after="80"/>
        <w:ind w:left="357" w:right="-108" w:hanging="357"/>
        <w:jc w:val="left"/>
        <w:rPr>
          <w:rFonts w:asciiTheme="majorHAnsi" w:hAnsiTheme="majorHAnsi" w:cstheme="majorHAnsi"/>
          <w:b/>
          <w:sz w:val="20"/>
          <w:szCs w:val="20"/>
        </w:rPr>
      </w:pPr>
      <w:r>
        <w:rPr>
          <w:rFonts w:asciiTheme="majorHAnsi" w:hAnsiTheme="majorHAnsi"/>
          <w:b/>
          <w:sz w:val="20"/>
          <w:szCs w:val="20"/>
        </w:rPr>
        <w:t>“</w:t>
      </w:r>
      <w:r w:rsidR="004B2C19" w:rsidRPr="009800C9">
        <w:rPr>
          <w:rFonts w:asciiTheme="majorHAnsi" w:hAnsiTheme="majorHAnsi"/>
          <w:b/>
          <w:sz w:val="20"/>
          <w:szCs w:val="20"/>
        </w:rPr>
        <w:t>Amaca Yönelik Büyüme Gündemi</w:t>
      </w:r>
      <w:r>
        <w:rPr>
          <w:rFonts w:asciiTheme="majorHAnsi" w:hAnsiTheme="majorHAnsi"/>
          <w:b/>
          <w:sz w:val="20"/>
          <w:szCs w:val="20"/>
        </w:rPr>
        <w:t>”</w:t>
      </w:r>
      <w:r w:rsidR="004B2C19" w:rsidRPr="009800C9">
        <w:rPr>
          <w:rFonts w:asciiTheme="majorHAnsi" w:hAnsiTheme="majorHAnsi"/>
          <w:b/>
          <w:sz w:val="20"/>
          <w:szCs w:val="20"/>
        </w:rPr>
        <w:t>nin uygulanması</w:t>
      </w:r>
      <w:r w:rsidR="00455E1B">
        <w:rPr>
          <w:rFonts w:asciiTheme="majorHAnsi" w:hAnsiTheme="majorHAnsi"/>
          <w:b/>
          <w:sz w:val="20"/>
          <w:szCs w:val="20"/>
        </w:rPr>
        <w:t>nda</w:t>
      </w:r>
      <w:r w:rsidR="004B2C19" w:rsidRPr="009800C9">
        <w:rPr>
          <w:rFonts w:asciiTheme="majorHAnsi" w:hAnsiTheme="majorHAnsi"/>
          <w:b/>
          <w:sz w:val="20"/>
          <w:szCs w:val="20"/>
        </w:rPr>
        <w:t xml:space="preserve"> daha </w:t>
      </w:r>
      <w:r w:rsidR="00455E1B">
        <w:rPr>
          <w:rFonts w:asciiTheme="majorHAnsi" w:hAnsiTheme="majorHAnsi"/>
          <w:b/>
          <w:sz w:val="20"/>
          <w:szCs w:val="20"/>
        </w:rPr>
        <w:t>fazla</w:t>
      </w:r>
      <w:r w:rsidR="004B2C19" w:rsidRPr="009800C9">
        <w:rPr>
          <w:rFonts w:asciiTheme="majorHAnsi" w:hAnsiTheme="majorHAnsi"/>
          <w:b/>
          <w:sz w:val="20"/>
          <w:szCs w:val="20"/>
        </w:rPr>
        <w:t xml:space="preserve"> ilerleme kaydedildi</w:t>
      </w:r>
      <w:r w:rsidR="00FD62D8">
        <w:rPr>
          <w:rFonts w:asciiTheme="majorHAnsi" w:hAnsiTheme="majorHAnsi"/>
          <w:b/>
          <w:sz w:val="20"/>
          <w:szCs w:val="20"/>
        </w:rPr>
        <w:t>.</w:t>
      </w:r>
    </w:p>
    <w:p w14:paraId="4B38860E" w14:textId="66648676"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bookmarkStart w:id="2" w:name="_Hlk157433806"/>
      <w:r w:rsidRPr="009800C9">
        <w:rPr>
          <w:rFonts w:asciiTheme="majorHAnsi" w:hAnsiTheme="majorHAnsi"/>
          <w:b/>
          <w:sz w:val="20"/>
          <w:szCs w:val="20"/>
        </w:rPr>
        <w:t xml:space="preserve">Tüketici Markaları: </w:t>
      </w:r>
      <w:bookmarkEnd w:id="2"/>
      <w:r w:rsidR="00EC7ED7" w:rsidRPr="00EC7ED7">
        <w:rPr>
          <w:rFonts w:asciiTheme="majorHAnsi" w:hAnsiTheme="majorHAnsi"/>
          <w:b/>
          <w:sz w:val="20"/>
          <w:szCs w:val="20"/>
        </w:rPr>
        <w:t>Planlanandan daha hızlı entegrasyon sağlandı, portföy tedbirleri tamamlandı, 2025 sonuna kadar tüm tasarruflar hayata geçirilmiş olacak</w:t>
      </w:r>
      <w:r w:rsidR="00FD62D8">
        <w:rPr>
          <w:rFonts w:asciiTheme="majorHAnsi" w:hAnsiTheme="majorHAnsi"/>
          <w:b/>
          <w:sz w:val="20"/>
          <w:szCs w:val="20"/>
        </w:rPr>
        <w:t>.</w:t>
      </w:r>
    </w:p>
    <w:p w14:paraId="527B966F" w14:textId="60821688" w:rsidR="004B2C19" w:rsidRPr="009800C9"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Yapıştırıcı Teknolojileri: </w:t>
      </w:r>
      <w:r w:rsidR="008B421F" w:rsidRPr="008B421F">
        <w:rPr>
          <w:rFonts w:asciiTheme="majorHAnsi" w:hAnsiTheme="majorHAnsi"/>
          <w:b/>
          <w:sz w:val="20"/>
          <w:szCs w:val="20"/>
        </w:rPr>
        <w:t>2023'te hayata geçirilen yeni yapılanma olumlu sonuçlar veriyor</w:t>
      </w:r>
    </w:p>
    <w:p w14:paraId="4205F743" w14:textId="39873E33" w:rsidR="004B2C19" w:rsidRPr="009800C9" w:rsidRDefault="00C82433"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İddialı iklim koruma hedefleri: </w:t>
      </w:r>
      <w:r w:rsidR="00D12258">
        <w:rPr>
          <w:rFonts w:asciiTheme="majorHAnsi" w:hAnsiTheme="majorHAnsi"/>
          <w:b/>
          <w:sz w:val="20"/>
          <w:szCs w:val="20"/>
        </w:rPr>
        <w:t>N</w:t>
      </w:r>
      <w:r w:rsidRPr="009800C9">
        <w:rPr>
          <w:rFonts w:asciiTheme="majorHAnsi" w:hAnsiTheme="majorHAnsi"/>
          <w:b/>
          <w:sz w:val="20"/>
          <w:szCs w:val="20"/>
        </w:rPr>
        <w:t>et-sıfır yol haritası belirlendi</w:t>
      </w:r>
      <w:r w:rsidR="00FD62D8">
        <w:rPr>
          <w:rFonts w:asciiTheme="majorHAnsi" w:hAnsiTheme="majorHAnsi"/>
          <w:b/>
          <w:sz w:val="20"/>
          <w:szCs w:val="20"/>
        </w:rPr>
        <w:t>.</w:t>
      </w:r>
    </w:p>
    <w:p w14:paraId="79EBABD7" w14:textId="5F4E5D01" w:rsidR="004B2C19" w:rsidRPr="009800C9" w:rsidRDefault="004B2C19" w:rsidP="004B2C19">
      <w:pPr>
        <w:numPr>
          <w:ilvl w:val="0"/>
          <w:numId w:val="7"/>
        </w:numPr>
        <w:spacing w:after="80"/>
        <w:ind w:left="357" w:right="-108" w:hanging="357"/>
        <w:jc w:val="left"/>
        <w:rPr>
          <w:rFonts w:asciiTheme="majorHAnsi" w:hAnsiTheme="majorHAnsi" w:cstheme="majorHAnsi"/>
          <w:b/>
          <w:sz w:val="20"/>
          <w:szCs w:val="20"/>
        </w:rPr>
      </w:pPr>
      <w:r w:rsidRPr="009800C9">
        <w:rPr>
          <w:rFonts w:asciiTheme="majorHAnsi" w:hAnsiTheme="majorHAnsi"/>
          <w:b/>
          <w:sz w:val="20"/>
          <w:szCs w:val="20"/>
        </w:rPr>
        <w:t xml:space="preserve">2025 mali yılı için öngörü: </w:t>
      </w:r>
      <w:r w:rsidR="00235B8A">
        <w:rPr>
          <w:rFonts w:asciiTheme="majorHAnsi" w:hAnsiTheme="majorHAnsi"/>
          <w:b/>
          <w:sz w:val="20"/>
          <w:szCs w:val="20"/>
        </w:rPr>
        <w:t xml:space="preserve">Şirket, </w:t>
      </w:r>
      <w:r w:rsidR="00FE4F50">
        <w:rPr>
          <w:rFonts w:asciiTheme="majorHAnsi" w:hAnsiTheme="majorHAnsi"/>
          <w:b/>
          <w:sz w:val="20"/>
          <w:szCs w:val="20"/>
        </w:rPr>
        <w:t>y</w:t>
      </w:r>
      <w:r w:rsidR="00FE4F50" w:rsidRPr="00FE4F50">
        <w:rPr>
          <w:rFonts w:asciiTheme="majorHAnsi" w:hAnsiTheme="majorHAnsi"/>
          <w:b/>
          <w:sz w:val="20"/>
          <w:szCs w:val="20"/>
        </w:rPr>
        <w:t>ıla yavaş bir başlangıçla gir</w:t>
      </w:r>
      <w:r w:rsidR="00480AD1">
        <w:rPr>
          <w:rFonts w:asciiTheme="majorHAnsi" w:hAnsiTheme="majorHAnsi"/>
          <w:b/>
          <w:sz w:val="20"/>
          <w:szCs w:val="20"/>
        </w:rPr>
        <w:t>erek</w:t>
      </w:r>
      <w:r w:rsidR="00FE4F50" w:rsidRPr="00FE4F50">
        <w:rPr>
          <w:rFonts w:asciiTheme="majorHAnsi" w:hAnsiTheme="majorHAnsi"/>
          <w:b/>
          <w:sz w:val="20"/>
          <w:szCs w:val="20"/>
        </w:rPr>
        <w:t xml:space="preserve"> ve yıl içinde hızlanma ile, gelir ve net k</w:t>
      </w:r>
      <w:r w:rsidR="00FE4F50">
        <w:rPr>
          <w:rFonts w:asciiTheme="majorHAnsi" w:hAnsiTheme="majorHAnsi"/>
          <w:b/>
          <w:sz w:val="20"/>
          <w:szCs w:val="20"/>
        </w:rPr>
        <w:t>a</w:t>
      </w:r>
      <w:r w:rsidR="00FE4F50" w:rsidRPr="00FE4F50">
        <w:rPr>
          <w:rFonts w:asciiTheme="majorHAnsi" w:hAnsiTheme="majorHAnsi"/>
          <w:b/>
          <w:sz w:val="20"/>
          <w:szCs w:val="20"/>
        </w:rPr>
        <w:t>r</w:t>
      </w:r>
      <w:r w:rsidR="00FD62D8">
        <w:rPr>
          <w:rFonts w:asciiTheme="majorHAnsi" w:hAnsiTheme="majorHAnsi"/>
          <w:b/>
          <w:sz w:val="20"/>
          <w:szCs w:val="20"/>
        </w:rPr>
        <w:t xml:space="preserve"> açısından</w:t>
      </w:r>
      <w:r w:rsidR="00FE4F50" w:rsidRPr="00FE4F50">
        <w:rPr>
          <w:rFonts w:asciiTheme="majorHAnsi" w:hAnsiTheme="majorHAnsi"/>
          <w:b/>
          <w:sz w:val="20"/>
          <w:szCs w:val="20"/>
        </w:rPr>
        <w:t xml:space="preserve"> daha fazla büyüme için hazır.</w:t>
      </w:r>
    </w:p>
    <w:p w14:paraId="612C4386" w14:textId="146A027F" w:rsidR="004B2C19" w:rsidRPr="009800C9"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Organik satış büyümesi: </w:t>
      </w:r>
      <w:r w:rsidR="00235B8A">
        <w:rPr>
          <w:rFonts w:asciiTheme="majorHAnsi" w:hAnsiTheme="majorHAnsi"/>
          <w:b/>
          <w:sz w:val="20"/>
          <w:szCs w:val="20"/>
        </w:rPr>
        <w:t>Y</w:t>
      </w:r>
      <w:r w:rsidRPr="009800C9">
        <w:rPr>
          <w:rFonts w:asciiTheme="majorHAnsi" w:hAnsiTheme="majorHAnsi"/>
          <w:b/>
          <w:sz w:val="20"/>
          <w:szCs w:val="20"/>
        </w:rPr>
        <w:t>üzde 1,5 il</w:t>
      </w:r>
      <w:r w:rsidR="00235B8A">
        <w:rPr>
          <w:rFonts w:asciiTheme="majorHAnsi" w:hAnsiTheme="majorHAnsi"/>
          <w:b/>
          <w:sz w:val="20"/>
          <w:szCs w:val="20"/>
        </w:rPr>
        <w:t xml:space="preserve">e </w:t>
      </w:r>
      <w:r w:rsidRPr="009800C9">
        <w:rPr>
          <w:rFonts w:asciiTheme="majorHAnsi" w:hAnsiTheme="majorHAnsi"/>
          <w:b/>
          <w:sz w:val="20"/>
          <w:szCs w:val="20"/>
        </w:rPr>
        <w:t>3,5</w:t>
      </w:r>
      <w:r w:rsidR="00235B8A">
        <w:rPr>
          <w:rFonts w:asciiTheme="majorHAnsi" w:hAnsiTheme="majorHAnsi"/>
          <w:b/>
          <w:sz w:val="20"/>
          <w:szCs w:val="20"/>
        </w:rPr>
        <w:t xml:space="preserve"> oranları arasında</w:t>
      </w:r>
      <w:r w:rsidR="00FD62D8">
        <w:rPr>
          <w:rFonts w:asciiTheme="majorHAnsi" w:hAnsiTheme="majorHAnsi"/>
          <w:b/>
          <w:sz w:val="20"/>
          <w:szCs w:val="20"/>
        </w:rPr>
        <w:t>.</w:t>
      </w:r>
    </w:p>
    <w:p w14:paraId="7A276596" w14:textId="41EE7F0E" w:rsidR="004B2C19" w:rsidRPr="009800C9"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 xml:space="preserve">VFÖK marjı*: </w:t>
      </w:r>
      <w:r w:rsidR="00235B8A">
        <w:rPr>
          <w:rFonts w:asciiTheme="majorHAnsi" w:hAnsiTheme="majorHAnsi"/>
          <w:b/>
          <w:sz w:val="20"/>
          <w:szCs w:val="20"/>
        </w:rPr>
        <w:t>Y</w:t>
      </w:r>
      <w:r w:rsidRPr="009800C9">
        <w:rPr>
          <w:rFonts w:asciiTheme="majorHAnsi" w:hAnsiTheme="majorHAnsi"/>
          <w:b/>
          <w:sz w:val="20"/>
          <w:szCs w:val="20"/>
        </w:rPr>
        <w:t>üzde 14,0 il</w:t>
      </w:r>
      <w:r w:rsidR="00235B8A">
        <w:rPr>
          <w:rFonts w:asciiTheme="majorHAnsi" w:hAnsiTheme="majorHAnsi"/>
          <w:b/>
          <w:sz w:val="20"/>
          <w:szCs w:val="20"/>
        </w:rPr>
        <w:t>e</w:t>
      </w:r>
      <w:r w:rsidRPr="009800C9">
        <w:rPr>
          <w:rFonts w:asciiTheme="majorHAnsi" w:hAnsiTheme="majorHAnsi"/>
          <w:b/>
          <w:sz w:val="20"/>
          <w:szCs w:val="20"/>
        </w:rPr>
        <w:t xml:space="preserve"> 15,5</w:t>
      </w:r>
      <w:r w:rsidR="00235B8A">
        <w:rPr>
          <w:rFonts w:asciiTheme="majorHAnsi" w:hAnsiTheme="majorHAnsi"/>
          <w:b/>
          <w:sz w:val="20"/>
          <w:szCs w:val="20"/>
        </w:rPr>
        <w:t xml:space="preserve"> </w:t>
      </w:r>
      <w:r w:rsidR="00FF5685">
        <w:rPr>
          <w:rFonts w:asciiTheme="majorHAnsi" w:hAnsiTheme="majorHAnsi"/>
          <w:b/>
          <w:sz w:val="20"/>
          <w:szCs w:val="20"/>
        </w:rPr>
        <w:t>seviyeleri</w:t>
      </w:r>
      <w:r w:rsidR="00235B8A">
        <w:rPr>
          <w:rFonts w:asciiTheme="majorHAnsi" w:hAnsiTheme="majorHAnsi"/>
          <w:b/>
          <w:sz w:val="20"/>
          <w:szCs w:val="20"/>
        </w:rPr>
        <w:t xml:space="preserve"> arasında</w:t>
      </w:r>
      <w:r w:rsidR="00FD62D8">
        <w:rPr>
          <w:rFonts w:asciiTheme="majorHAnsi" w:hAnsiTheme="majorHAnsi"/>
          <w:b/>
          <w:sz w:val="20"/>
          <w:szCs w:val="20"/>
        </w:rPr>
        <w:t>.</w:t>
      </w:r>
    </w:p>
    <w:p w14:paraId="547119A3" w14:textId="758D0969" w:rsidR="004B2C19" w:rsidRPr="009800C9"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 w:val="20"/>
          <w:szCs w:val="20"/>
        </w:rPr>
      </w:pPr>
      <w:r w:rsidRPr="009800C9">
        <w:rPr>
          <w:rFonts w:asciiTheme="majorHAnsi" w:hAnsiTheme="majorHAnsi"/>
          <w:b/>
          <w:sz w:val="20"/>
          <w:szCs w:val="20"/>
        </w:rPr>
        <w:t>İmtiyazlı hisse senedi başına k</w:t>
      </w:r>
      <w:r w:rsidR="00827BD9">
        <w:rPr>
          <w:rFonts w:asciiTheme="majorHAnsi" w:hAnsiTheme="majorHAnsi"/>
          <w:b/>
          <w:sz w:val="20"/>
          <w:szCs w:val="20"/>
        </w:rPr>
        <w:t>a</w:t>
      </w:r>
      <w:r w:rsidRPr="009800C9">
        <w:rPr>
          <w:rFonts w:asciiTheme="majorHAnsi" w:hAnsiTheme="majorHAnsi"/>
          <w:b/>
          <w:sz w:val="20"/>
          <w:szCs w:val="20"/>
        </w:rPr>
        <w:t xml:space="preserve">rlılık (EPS)*: Düşük </w:t>
      </w:r>
      <w:bookmarkStart w:id="3" w:name="_Hlk191544887"/>
      <w:r w:rsidRPr="009800C9">
        <w:rPr>
          <w:rFonts w:asciiTheme="majorHAnsi" w:hAnsiTheme="majorHAnsi"/>
          <w:b/>
          <w:sz w:val="20"/>
          <w:szCs w:val="20"/>
        </w:rPr>
        <w:t xml:space="preserve">ila yüksek tek haneli yüzde aralığında artış (sabit </w:t>
      </w:r>
      <w:r w:rsidR="00FF5685">
        <w:rPr>
          <w:rFonts w:asciiTheme="majorHAnsi" w:hAnsiTheme="majorHAnsi"/>
          <w:b/>
          <w:sz w:val="20"/>
          <w:szCs w:val="20"/>
        </w:rPr>
        <w:t>kur ile</w:t>
      </w:r>
      <w:r w:rsidRPr="009800C9">
        <w:rPr>
          <w:rFonts w:asciiTheme="majorHAnsi" w:hAnsiTheme="majorHAnsi"/>
          <w:b/>
          <w:sz w:val="20"/>
          <w:szCs w:val="20"/>
        </w:rPr>
        <w:t>)</w:t>
      </w:r>
      <w:bookmarkEnd w:id="3"/>
      <w:r w:rsidR="00FD62D8">
        <w:rPr>
          <w:rFonts w:asciiTheme="majorHAnsi" w:hAnsiTheme="majorHAnsi"/>
          <w:b/>
          <w:sz w:val="20"/>
          <w:szCs w:val="20"/>
        </w:rPr>
        <w:t>.</w:t>
      </w:r>
    </w:p>
    <w:p w14:paraId="11F15CA8" w14:textId="4FBAC613" w:rsidR="004B2C19" w:rsidRPr="00530A20" w:rsidRDefault="006A6256" w:rsidP="004B2C19">
      <w:pPr>
        <w:spacing w:line="240" w:lineRule="auto"/>
        <w:rPr>
          <w:rFonts w:cs="Segoe UI"/>
          <w:sz w:val="16"/>
          <w:szCs w:val="16"/>
        </w:rPr>
      </w:pPr>
      <w:r w:rsidRPr="009800C9">
        <w:rPr>
          <w:b/>
          <w:noProof/>
          <w:sz w:val="20"/>
          <w:szCs w:val="20"/>
          <w:lang w:eastAsia="tr-TR"/>
        </w:rPr>
        <mc:AlternateContent>
          <mc:Choice Requires="wps">
            <w:drawing>
              <wp:anchor distT="45720" distB="45720" distL="114300" distR="114300" simplePos="0" relativeHeight="251658240" behindDoc="0" locked="0" layoutInCell="1" allowOverlap="1" wp14:anchorId="32F2AA26" wp14:editId="4B4DB472">
                <wp:simplePos x="0" y="0"/>
                <wp:positionH relativeFrom="margin">
                  <wp:align>left</wp:align>
                </wp:positionH>
                <wp:positionV relativeFrom="paragraph">
                  <wp:posOffset>201295</wp:posOffset>
                </wp:positionV>
                <wp:extent cx="4404360" cy="23622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77777777" w:rsidR="00F9659D" w:rsidRPr="00CF56F5" w:rsidRDefault="00F9659D" w:rsidP="004B2C19">
                            <w:pPr>
                              <w:pStyle w:val="He04Funote"/>
                              <w:rPr>
                                <w:sz w:val="12"/>
                                <w:szCs w:val="12"/>
                              </w:rPr>
                            </w:pPr>
                            <w:r>
                              <w:rPr>
                                <w:sz w:val="12"/>
                              </w:rPr>
                              <w:t>* Tek seferlik gider ve gelirler ile yeniden yapılandırma giderlerine göre düzeltilmiştir.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0;margin-top:15.85pt;width:346.8pt;height:18.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" stroked="f">
                <v:textbox>
                  <w:txbxContent>
                    <w:p w14:paraId="5ED5F8CB" w14:textId="77777777" w:rsidR="00F9659D" w:rsidRPr="00CF56F5" w:rsidRDefault="00F9659D" w:rsidP="004B2C19">
                      <w:pPr>
                        <w:pStyle w:val="He04Funote"/>
                        <w:rPr>
                          <w:sz w:val="12"/>
                          <w:szCs w:val="12"/>
                        </w:rPr>
                      </w:pPr>
                      <w:r>
                        <w:rPr>
                          <w:sz w:val="12"/>
                        </w:rPr>
                        <w:t>* Tek seferlik gider ve gelirler ile yeniden yapılandırma giderlerine göre düzeltilmiştir.</w:t>
                      </w:r>
                    </w:p>
                  </w:txbxContent>
                </v:textbox>
                <w10:wrap anchorx="margin"/>
              </v:shape>
            </w:pict>
          </mc:Fallback>
        </mc:AlternateContent>
      </w:r>
    </w:p>
    <w:p w14:paraId="61BB7992" w14:textId="36B635D7" w:rsidR="004B2C19" w:rsidRPr="00100BFF" w:rsidRDefault="004B2C19" w:rsidP="00521834">
      <w:pPr>
        <w:rPr>
          <w:b/>
        </w:rPr>
      </w:pPr>
      <w:r w:rsidRPr="00530A20">
        <w:rPr>
          <w:b/>
        </w:rPr>
        <w:lastRenderedPageBreak/>
        <w:t>Düsseldorf - Henkel CEO'su Carsten Knobel “2024</w:t>
      </w:r>
      <w:r w:rsidR="00A35E39">
        <w:rPr>
          <w:b/>
        </w:rPr>
        <w:t xml:space="preserve">, </w:t>
      </w:r>
      <w:r w:rsidRPr="00530A20">
        <w:rPr>
          <w:b/>
        </w:rPr>
        <w:t xml:space="preserve">büyük zorluklar ve çeşitli ekonomik belirsizliklerle dolu bir mali yıl oldu. Yine de, geçtiğimiz yıl boyunca Henkel'de tutarlı bir ilerleme kaydettik ve önemli hedeflere ulaştık, hatta bu hedefleri aştık. Her şeyden önce, 2024'te elde edilen son derece iyi iş sonuçları, </w:t>
      </w:r>
      <w:r w:rsidR="007F213D">
        <w:rPr>
          <w:b/>
        </w:rPr>
        <w:t>‘a</w:t>
      </w:r>
      <w:r w:rsidRPr="00530A20">
        <w:rPr>
          <w:b/>
        </w:rPr>
        <w:t>maca yönelik büyüme gündemi</w:t>
      </w:r>
      <w:r w:rsidR="007F213D">
        <w:rPr>
          <w:b/>
        </w:rPr>
        <w:t>’</w:t>
      </w:r>
      <w:r w:rsidRPr="00530A20">
        <w:rPr>
          <w:b/>
        </w:rPr>
        <w:t xml:space="preserve">mizin başarılı bir şekilde uygulandığını göstermektedir” </w:t>
      </w:r>
      <w:r w:rsidR="007041AB">
        <w:rPr>
          <w:b/>
        </w:rPr>
        <w:t>şeklinde</w:t>
      </w:r>
      <w:r w:rsidRPr="00530A20">
        <w:rPr>
          <w:b/>
        </w:rPr>
        <w:t xml:space="preserve"> konuştu. </w:t>
      </w:r>
      <w:r w:rsidR="00946AB0" w:rsidRPr="00024A53">
        <w:rPr>
          <w:b/>
        </w:rPr>
        <w:t>"2024‘te</w:t>
      </w:r>
      <w:r w:rsidR="00163D1A">
        <w:rPr>
          <w:b/>
        </w:rPr>
        <w:t xml:space="preserve"> </w:t>
      </w:r>
      <w:r w:rsidR="00946AB0" w:rsidRPr="00024A53">
        <w:rPr>
          <w:b/>
        </w:rPr>
        <w:t>satışlar</w:t>
      </w:r>
      <w:r w:rsidR="00506B6E" w:rsidRPr="00024A53">
        <w:rPr>
          <w:b/>
        </w:rPr>
        <w:t>ımızda</w:t>
      </w:r>
      <w:r w:rsidR="00946AB0" w:rsidRPr="00024A53">
        <w:rPr>
          <w:b/>
        </w:rPr>
        <w:t xml:space="preserve"> güçlü bir organik büyüme elde ettik</w:t>
      </w:r>
      <w:r w:rsidR="008D3A49" w:rsidRPr="00024A53">
        <w:rPr>
          <w:b/>
        </w:rPr>
        <w:t>, karlılığımızı</w:t>
      </w:r>
      <w:r w:rsidR="0066560E" w:rsidRPr="00024A53">
        <w:rPr>
          <w:b/>
        </w:rPr>
        <w:t xml:space="preserve"> ise</w:t>
      </w:r>
      <w:r w:rsidR="008D3A49" w:rsidRPr="00024A53">
        <w:rPr>
          <w:b/>
        </w:rPr>
        <w:t xml:space="preserve"> önemli ölçüde artırdık.</w:t>
      </w:r>
      <w:r w:rsidR="00946AB0" w:rsidRPr="00024A53">
        <w:rPr>
          <w:b/>
        </w:rPr>
        <w:t xml:space="preserve"> Brüt kar marjınd</w:t>
      </w:r>
      <w:r w:rsidR="008E0F60" w:rsidRPr="00024A53">
        <w:rPr>
          <w:b/>
        </w:rPr>
        <w:t>a</w:t>
      </w:r>
      <w:r w:rsidR="00946AB0" w:rsidRPr="00024A53">
        <w:rPr>
          <w:b/>
        </w:rPr>
        <w:t xml:space="preserve"> </w:t>
      </w:r>
      <w:r w:rsidR="00AE057C">
        <w:rPr>
          <w:b/>
        </w:rPr>
        <w:t>güçlü gelişimin</w:t>
      </w:r>
      <w:r w:rsidR="00AF0B26" w:rsidRPr="00024A53">
        <w:rPr>
          <w:b/>
        </w:rPr>
        <w:t xml:space="preserve"> </w:t>
      </w:r>
      <w:r w:rsidR="00AE057C">
        <w:rPr>
          <w:b/>
        </w:rPr>
        <w:t>desteğiyle</w:t>
      </w:r>
      <w:r w:rsidR="00946AB0" w:rsidRPr="00024A53">
        <w:rPr>
          <w:b/>
        </w:rPr>
        <w:t xml:space="preserve"> </w:t>
      </w:r>
      <w:r w:rsidR="00C47E1B" w:rsidRPr="00024A53">
        <w:rPr>
          <w:b/>
        </w:rPr>
        <w:t xml:space="preserve">marjımız </w:t>
      </w:r>
      <w:r w:rsidR="00946AB0" w:rsidRPr="00024A53">
        <w:rPr>
          <w:b/>
        </w:rPr>
        <w:t>2,4 puan</w:t>
      </w:r>
      <w:r w:rsidR="00C47E1B" w:rsidRPr="00024A53">
        <w:rPr>
          <w:b/>
        </w:rPr>
        <w:t xml:space="preserve"> </w:t>
      </w:r>
      <w:r w:rsidR="00AE057C">
        <w:rPr>
          <w:b/>
        </w:rPr>
        <w:t xml:space="preserve">arttı. </w:t>
      </w:r>
      <w:r w:rsidR="00C47E1B" w:rsidRPr="00024A53">
        <w:rPr>
          <w:b/>
        </w:rPr>
        <w:t>Bunun yanı sıra</w:t>
      </w:r>
      <w:r w:rsidR="00163D1A">
        <w:rPr>
          <w:b/>
        </w:rPr>
        <w:t>,</w:t>
      </w:r>
      <w:r w:rsidR="00946AB0" w:rsidRPr="00024A53">
        <w:rPr>
          <w:b/>
        </w:rPr>
        <w:t xml:space="preserve"> imtiyazlı hisse başına kazançta yüzde 25’lik kayda değer bir artış</w:t>
      </w:r>
      <w:r w:rsidR="00C47E1B" w:rsidRPr="00024A53">
        <w:rPr>
          <w:b/>
        </w:rPr>
        <w:t xml:space="preserve"> elde ettik.</w:t>
      </w:r>
      <w:r w:rsidR="00100BFF">
        <w:rPr>
          <w:b/>
        </w:rPr>
        <w:t xml:space="preserve"> </w:t>
      </w:r>
      <w:r w:rsidR="00455770" w:rsidRPr="00455770">
        <w:rPr>
          <w:b/>
        </w:rPr>
        <w:t>Ürünlerimizin müşteri ve tüketiciler için hedeflenen şekilde değer kazanmas</w:t>
      </w:r>
      <w:r w:rsidR="00455770">
        <w:rPr>
          <w:b/>
        </w:rPr>
        <w:t>ı</w:t>
      </w:r>
      <w:r w:rsidRPr="00530A20">
        <w:rPr>
          <w:b/>
        </w:rPr>
        <w:t>, kazancımızdaki iyileşmenin temel itici gücü ol</w:t>
      </w:r>
      <w:r w:rsidR="002A6BE3">
        <w:rPr>
          <w:b/>
        </w:rPr>
        <w:t>du</w:t>
      </w:r>
      <w:r w:rsidRPr="00530A20">
        <w:rPr>
          <w:b/>
        </w:rPr>
        <w:t xml:space="preserve">. Ayrıca, Tüketici Markaları entegrasyonuyla </w:t>
      </w:r>
      <w:r w:rsidR="00707172">
        <w:rPr>
          <w:b/>
        </w:rPr>
        <w:t>elde edilen</w:t>
      </w:r>
      <w:r w:rsidRPr="00530A20">
        <w:rPr>
          <w:b/>
        </w:rPr>
        <w:t xml:space="preserve"> tasarruflar ve açıklanan portföy optimizasyon </w:t>
      </w:r>
      <w:r w:rsidR="002A6BE3">
        <w:rPr>
          <w:b/>
        </w:rPr>
        <w:t>tedbirleri</w:t>
      </w:r>
      <w:r w:rsidRPr="00530A20">
        <w:rPr>
          <w:b/>
        </w:rPr>
        <w:t xml:space="preserve"> de bu güçlü sonuçlara katkıda bulun</w:t>
      </w:r>
      <w:r w:rsidR="002A6BE3">
        <w:rPr>
          <w:b/>
        </w:rPr>
        <w:t>du</w:t>
      </w:r>
      <w:r w:rsidRPr="00530A20">
        <w:rPr>
          <w:b/>
        </w:rPr>
        <w:t>.”</w:t>
      </w:r>
    </w:p>
    <w:p w14:paraId="7033B2F3" w14:textId="77777777" w:rsidR="004B2C19" w:rsidRPr="00530A20" w:rsidRDefault="004B2C19" w:rsidP="004B2C19">
      <w:pPr>
        <w:rPr>
          <w:rFonts w:cs="Segoe UI"/>
          <w:b/>
          <w:bCs/>
          <w:szCs w:val="22"/>
        </w:rPr>
      </w:pPr>
    </w:p>
    <w:p w14:paraId="05FB5F36" w14:textId="19218200" w:rsidR="00BB0AB3" w:rsidRPr="00530A20" w:rsidRDefault="00C82433" w:rsidP="00C82433">
      <w:pPr>
        <w:rPr>
          <w:rFonts w:cs="Segoe UI"/>
          <w:b/>
          <w:bCs/>
          <w:szCs w:val="22"/>
          <w:highlight w:val="yellow"/>
        </w:rPr>
      </w:pPr>
      <w:r w:rsidRPr="00530A20">
        <w:rPr>
          <w:b/>
        </w:rPr>
        <w:t xml:space="preserve">Carsten Knobel sözlerine şöyle devam etti: “Aynı zamanda, </w:t>
      </w:r>
      <w:r w:rsidR="004A7C07">
        <w:rPr>
          <w:b/>
        </w:rPr>
        <w:t xml:space="preserve">örneğin </w:t>
      </w:r>
      <w:r w:rsidRPr="00530A20">
        <w:rPr>
          <w:b/>
        </w:rPr>
        <w:t>tüketici</w:t>
      </w:r>
      <w:r w:rsidR="002A6BE3">
        <w:rPr>
          <w:b/>
        </w:rPr>
        <w:t xml:space="preserve"> ürünleri</w:t>
      </w:r>
      <w:r w:rsidRPr="00530A20">
        <w:rPr>
          <w:b/>
        </w:rPr>
        <w:t xml:space="preserve"> sektöründe hız kazanan pazarlama faaliyetleri ve her iki iş birimindeki başarılı inovasyonlar </w:t>
      </w:r>
      <w:r w:rsidR="004A7C07">
        <w:rPr>
          <w:b/>
        </w:rPr>
        <w:t>aracılığıyla,</w:t>
      </w:r>
      <w:r w:rsidRPr="00530A20">
        <w:rPr>
          <w:b/>
        </w:rPr>
        <w:t xml:space="preserve"> işlerimize ve gelecekteki büyümemize </w:t>
      </w:r>
      <w:r w:rsidR="004A7C07">
        <w:rPr>
          <w:b/>
        </w:rPr>
        <w:t xml:space="preserve">yönelik </w:t>
      </w:r>
      <w:r w:rsidRPr="00530A20">
        <w:rPr>
          <w:b/>
        </w:rPr>
        <w:t>yatırım</w:t>
      </w:r>
      <w:r w:rsidR="004A7C07">
        <w:rPr>
          <w:b/>
        </w:rPr>
        <w:t>lara</w:t>
      </w:r>
      <w:r w:rsidRPr="00530A20">
        <w:rPr>
          <w:b/>
        </w:rPr>
        <w:t xml:space="preserve"> devam etmemiz çok önemliydi. Hissedarlarımızın </w:t>
      </w:r>
      <w:r w:rsidR="00F608FA">
        <w:rPr>
          <w:b/>
        </w:rPr>
        <w:t>ş</w:t>
      </w:r>
      <w:r w:rsidRPr="00530A20">
        <w:rPr>
          <w:b/>
        </w:rPr>
        <w:t>irketin başarılı gelişimine katılmalarını istiyoruz. Bu nedenle, Yıllık Genel Kurul</w:t>
      </w:r>
      <w:r w:rsidR="002C63D3">
        <w:rPr>
          <w:b/>
        </w:rPr>
        <w:t>’da</w:t>
      </w:r>
      <w:r w:rsidRPr="00530A20">
        <w:rPr>
          <w:b/>
        </w:rPr>
        <w:t xml:space="preserve"> temettüde çift haneli bir artış teklif edeceğiz. Ayrıca</w:t>
      </w:r>
      <w:r w:rsidR="002C63D3">
        <w:rPr>
          <w:b/>
        </w:rPr>
        <w:t>,</w:t>
      </w:r>
      <w:r w:rsidRPr="00530A20">
        <w:rPr>
          <w:b/>
        </w:rPr>
        <w:t xml:space="preserve"> 1 milyar Euro</w:t>
      </w:r>
      <w:r w:rsidR="00F1495E">
        <w:rPr>
          <w:b/>
        </w:rPr>
        <w:t>’</w:t>
      </w:r>
      <w:r w:rsidRPr="00530A20">
        <w:rPr>
          <w:b/>
        </w:rPr>
        <w:t>ya varan yeni bir hisse geri alım programı</w:t>
      </w:r>
      <w:r w:rsidR="004C4503">
        <w:rPr>
          <w:b/>
        </w:rPr>
        <w:t>na</w:t>
      </w:r>
      <w:r w:rsidRPr="00530A20">
        <w:rPr>
          <w:b/>
        </w:rPr>
        <w:t xml:space="preserve"> karar </w:t>
      </w:r>
      <w:r w:rsidR="00F1495E">
        <w:rPr>
          <w:b/>
        </w:rPr>
        <w:t>verdik</w:t>
      </w:r>
      <w:r w:rsidRPr="00530A20">
        <w:rPr>
          <w:b/>
        </w:rPr>
        <w:t>.”</w:t>
      </w:r>
    </w:p>
    <w:p w14:paraId="30A83BBC" w14:textId="77777777" w:rsidR="00BB0AB3" w:rsidRPr="00530A20" w:rsidRDefault="00BB0AB3" w:rsidP="00C82433">
      <w:pPr>
        <w:rPr>
          <w:rFonts w:cs="Segoe UI"/>
          <w:b/>
          <w:bCs/>
          <w:szCs w:val="22"/>
          <w:highlight w:val="yellow"/>
        </w:rPr>
      </w:pPr>
    </w:p>
    <w:p w14:paraId="0F60F697" w14:textId="72A3B1EB" w:rsidR="0000752F" w:rsidRPr="00530A20" w:rsidRDefault="0000752F" w:rsidP="00A43578">
      <w:pPr>
        <w:rPr>
          <w:rFonts w:cs="Segoe UI"/>
          <w:b/>
          <w:bCs/>
          <w:szCs w:val="22"/>
          <w:highlight w:val="yellow"/>
        </w:rPr>
      </w:pPr>
      <w:r w:rsidRPr="00530A20">
        <w:rPr>
          <w:b/>
        </w:rPr>
        <w:t xml:space="preserve">Carsten Knobel </w:t>
      </w:r>
      <w:r w:rsidR="00B4518A">
        <w:rPr>
          <w:b/>
        </w:rPr>
        <w:t>sözlerini,</w:t>
      </w:r>
      <w:r w:rsidRPr="00530A20">
        <w:rPr>
          <w:b/>
        </w:rPr>
        <w:t xml:space="preserve"> “Geçtiğimiz yılın sonuçları, Henkel'in dönüşümünün başarılı bir şekilde sürdüğünün ve </w:t>
      </w:r>
      <w:r w:rsidR="00900B0C">
        <w:rPr>
          <w:b/>
        </w:rPr>
        <w:t>‘</w:t>
      </w:r>
      <w:r w:rsidRPr="00530A20">
        <w:rPr>
          <w:b/>
        </w:rPr>
        <w:t>amaca yönelik büyüme</w:t>
      </w:r>
      <w:r w:rsidR="00900B0C">
        <w:rPr>
          <w:b/>
        </w:rPr>
        <w:t>’</w:t>
      </w:r>
      <w:r w:rsidR="001D6015">
        <w:rPr>
          <w:b/>
        </w:rPr>
        <w:t>ye dair</w:t>
      </w:r>
      <w:r w:rsidRPr="00530A20">
        <w:rPr>
          <w:b/>
        </w:rPr>
        <w:t xml:space="preserve"> stratejik gündemimizle </w:t>
      </w:r>
      <w:r w:rsidR="00900B0C">
        <w:rPr>
          <w:b/>
        </w:rPr>
        <w:t>ş</w:t>
      </w:r>
      <w:r w:rsidRPr="00530A20">
        <w:rPr>
          <w:b/>
        </w:rPr>
        <w:t>irketi gelece</w:t>
      </w:r>
      <w:r w:rsidR="00B4518A">
        <w:rPr>
          <w:b/>
        </w:rPr>
        <w:t xml:space="preserve">kte </w:t>
      </w:r>
      <w:r w:rsidRPr="00530A20">
        <w:rPr>
          <w:b/>
        </w:rPr>
        <w:t xml:space="preserve">en iyi şekilde </w:t>
      </w:r>
      <w:r w:rsidR="00B4518A">
        <w:rPr>
          <w:b/>
        </w:rPr>
        <w:t>konumlandırmak</w:t>
      </w:r>
      <w:r w:rsidRPr="00530A20">
        <w:rPr>
          <w:b/>
        </w:rPr>
        <w:t xml:space="preserve"> için doğru yolda olduğumuzun açık bir kanıtıdır.” "Bu durum, zorlu bir iş ortamına rağmen satış ve k</w:t>
      </w:r>
      <w:r w:rsidR="00917E35">
        <w:rPr>
          <w:b/>
        </w:rPr>
        <w:t>a</w:t>
      </w:r>
      <w:r w:rsidRPr="00530A20">
        <w:rPr>
          <w:b/>
        </w:rPr>
        <w:t xml:space="preserve">rlılıkta artan büyüme beklediğimiz 2025 mali yılına ilişkin </w:t>
      </w:r>
      <w:r w:rsidR="00917E35">
        <w:rPr>
          <w:b/>
        </w:rPr>
        <w:t>öngörüde</w:t>
      </w:r>
      <w:r w:rsidRPr="00530A20">
        <w:rPr>
          <w:b/>
        </w:rPr>
        <w:t xml:space="preserve"> de kendini göstermektedir. Tüm Henkel çalışanlarına gösterdikleri üstün performans için teşekkür ediyorum. Ekip çalışmaları ve olağanüstü bağlılıkları sayesinde şirketimiz bir kez daha zorlu bir yılı başarıyla tamamlamış bulunuyor."</w:t>
      </w:r>
      <w:r w:rsidR="00B4518A">
        <w:rPr>
          <w:b/>
        </w:rPr>
        <w:t xml:space="preserve"> şeklinde </w:t>
      </w:r>
      <w:r w:rsidR="00827BD9">
        <w:rPr>
          <w:b/>
        </w:rPr>
        <w:t>sonlandırdı</w:t>
      </w:r>
      <w:r w:rsidR="00B4518A">
        <w:rPr>
          <w:b/>
        </w:rPr>
        <w:t>.</w:t>
      </w:r>
    </w:p>
    <w:p w14:paraId="5E68B720" w14:textId="77777777" w:rsidR="004B2C19" w:rsidRPr="00530A20" w:rsidRDefault="004B2C19" w:rsidP="004B2C19">
      <w:pPr>
        <w:spacing w:after="80"/>
        <w:rPr>
          <w:rFonts w:cs="Segoe UI"/>
          <w:szCs w:val="22"/>
          <w:lang w:eastAsia="de-DE"/>
        </w:rPr>
      </w:pPr>
    </w:p>
    <w:p w14:paraId="4B7A0C05" w14:textId="4A1002D4" w:rsidR="00A43578" w:rsidRPr="00530A20" w:rsidRDefault="00A43578" w:rsidP="00A43578">
      <w:pPr>
        <w:spacing w:after="120"/>
        <w:rPr>
          <w:rFonts w:cs="Segoe UI"/>
          <w:b/>
          <w:bCs/>
          <w:szCs w:val="22"/>
        </w:rPr>
      </w:pPr>
      <w:r w:rsidRPr="00530A20">
        <w:rPr>
          <w:b/>
        </w:rPr>
        <w:t>2025 Yılına Yönelik Öngörü</w:t>
      </w:r>
    </w:p>
    <w:p w14:paraId="47172A5B" w14:textId="5B95FBC5" w:rsidR="00A43578" w:rsidRPr="00530A20" w:rsidRDefault="00A43578" w:rsidP="00A43578">
      <w:pPr>
        <w:rPr>
          <w:rFonts w:cs="Segoe UI"/>
          <w:szCs w:val="22"/>
        </w:rPr>
      </w:pPr>
      <w:r w:rsidRPr="00530A20">
        <w:t xml:space="preserve">2024'te yakalanan orta düzeydeki büyüme artışının ardından, 2025'te </w:t>
      </w:r>
      <w:r w:rsidR="000E4ED4">
        <w:t>küresel</w:t>
      </w:r>
      <w:r w:rsidRPr="00530A20">
        <w:t xml:space="preserve"> ekonominin yine </w:t>
      </w:r>
      <w:r w:rsidR="00CE0C34">
        <w:t>ılımlı</w:t>
      </w:r>
      <w:r w:rsidRPr="00530A20">
        <w:t xml:space="preserve"> bir büyüme göstermesi beklenmektedir. Bu</w:t>
      </w:r>
      <w:r w:rsidR="00BE05BB">
        <w:t>,</w:t>
      </w:r>
      <w:r w:rsidRPr="00530A20">
        <w:t xml:space="preserve"> Henkel için tüketici ürünleri</w:t>
      </w:r>
      <w:r w:rsidR="00827BD9">
        <w:t>nin</w:t>
      </w:r>
      <w:r w:rsidRPr="00530A20">
        <w:t xml:space="preserve"> önemli </w:t>
      </w:r>
      <w:r w:rsidR="00827BD9">
        <w:t>alanlarında</w:t>
      </w:r>
      <w:r w:rsidRPr="00530A20">
        <w:t xml:space="preserve"> hem endüstriyel hem de tüketici talebinin </w:t>
      </w:r>
      <w:r w:rsidR="00BE05BB">
        <w:t>ılımlı bir</w:t>
      </w:r>
      <w:r w:rsidRPr="00530A20">
        <w:t xml:space="preserve"> düzeyde artacağı </w:t>
      </w:r>
      <w:r w:rsidR="00827BD9">
        <w:t>izlenimini veriyor.</w:t>
      </w:r>
      <w:r w:rsidR="00982FA9">
        <w:t xml:space="preserve"> </w:t>
      </w:r>
      <w:r w:rsidR="00E560B7">
        <w:t xml:space="preserve">Buna ek olarak, </w:t>
      </w:r>
      <w:r w:rsidR="0021396D">
        <w:t xml:space="preserve">küresel </w:t>
      </w:r>
      <w:r w:rsidRPr="00530A20">
        <w:t xml:space="preserve">enflasyonun 2025 mali yılında önceki yıllara kıyasla </w:t>
      </w:r>
      <w:r w:rsidR="00802BA7">
        <w:t>düşmeye</w:t>
      </w:r>
      <w:r w:rsidRPr="00530A20">
        <w:t xml:space="preserve"> devam etmesi ve faiz oranlarının da </w:t>
      </w:r>
      <w:r w:rsidR="00E631EA">
        <w:t>gerilemesi</w:t>
      </w:r>
      <w:r w:rsidRPr="00530A20">
        <w:t xml:space="preserve"> beklen</w:t>
      </w:r>
      <w:r w:rsidR="00E560B7">
        <w:t>iyor.</w:t>
      </w:r>
    </w:p>
    <w:p w14:paraId="2190E470" w14:textId="77777777" w:rsidR="00A43578" w:rsidRPr="00530A20" w:rsidRDefault="00A43578" w:rsidP="00A43578">
      <w:pPr>
        <w:rPr>
          <w:rFonts w:cs="Segoe UI"/>
          <w:szCs w:val="22"/>
        </w:rPr>
      </w:pPr>
    </w:p>
    <w:p w14:paraId="6DC8584A" w14:textId="77777777" w:rsidR="0095429F" w:rsidRDefault="0095429F" w:rsidP="00A43578"/>
    <w:p w14:paraId="13389D81" w14:textId="77777777" w:rsidR="00D079D4" w:rsidRDefault="00D079D4" w:rsidP="00A43578"/>
    <w:p w14:paraId="03A991AB" w14:textId="2696F162" w:rsidR="00A43578" w:rsidRPr="00530A20" w:rsidRDefault="00B548CE" w:rsidP="00A43578">
      <w:pPr>
        <w:rPr>
          <w:rFonts w:cs="Segoe UI"/>
          <w:szCs w:val="22"/>
        </w:rPr>
      </w:pPr>
      <w:r w:rsidRPr="00530A20">
        <w:lastRenderedPageBreak/>
        <w:t>Doğrudan malzeme fiyatlarıyla ilgili olarak Henkel, 2024'ün yıllık ortalamasına kıyasla düşük ila orta seviyede tek haneli yüzdelik bir artış beklemektedir. Döviz kur</w:t>
      </w:r>
      <w:r w:rsidR="0008112B">
        <w:t>larına bağlı</w:t>
      </w:r>
      <w:r w:rsidRPr="00530A20">
        <w:t xml:space="preserve"> satış </w:t>
      </w:r>
      <w:r w:rsidR="00D079D4">
        <w:t>dönüşümünde</w:t>
      </w:r>
      <w:r w:rsidRPr="00530A20">
        <w:t xml:space="preserve">, düşük tek haneli yüzde aralığında nötr ila negatif bir etki yaşanacağı öngörülmektedir. </w:t>
      </w:r>
    </w:p>
    <w:p w14:paraId="1B45ED31" w14:textId="77777777" w:rsidR="00A43578" w:rsidRPr="00530A20" w:rsidRDefault="00A43578" w:rsidP="00A43578">
      <w:pPr>
        <w:rPr>
          <w:rFonts w:cs="Segoe UI"/>
          <w:szCs w:val="22"/>
        </w:rPr>
      </w:pPr>
    </w:p>
    <w:p w14:paraId="56DD1AE2" w14:textId="749E4E10" w:rsidR="00BD6A0B" w:rsidRPr="00530A20" w:rsidRDefault="00BD6A0B" w:rsidP="00BD6A0B">
      <w:pPr>
        <w:rPr>
          <w:rFonts w:cs="Segoe UI"/>
          <w:szCs w:val="22"/>
        </w:rPr>
      </w:pPr>
      <w:r w:rsidRPr="00530A20">
        <w:t>Ayrıca, genel makroekonomik ve jeopolitik ortama ilişkin dalgalanma ve belirsizliğin yıl boyunca yüksek seyretmesi beklenmektedir.</w:t>
      </w:r>
    </w:p>
    <w:p w14:paraId="449E40E9" w14:textId="77777777" w:rsidR="00916EAB" w:rsidRPr="00530A20" w:rsidRDefault="00916EAB" w:rsidP="00A43578">
      <w:pPr>
        <w:rPr>
          <w:rFonts w:cs="Segoe UI"/>
        </w:rPr>
      </w:pPr>
    </w:p>
    <w:p w14:paraId="64A940BF" w14:textId="1A0407E7" w:rsidR="00A43578" w:rsidRPr="00530A20" w:rsidRDefault="00A43578" w:rsidP="00A43578">
      <w:pPr>
        <w:rPr>
          <w:rFonts w:cs="Segoe UI"/>
        </w:rPr>
      </w:pPr>
      <w:r w:rsidRPr="00530A20">
        <w:t xml:space="preserve">Bu varsayımlar ışığında, Henkel 2025 mali yılında </w:t>
      </w:r>
      <w:r w:rsidRPr="00530A20">
        <w:rPr>
          <w:b/>
          <w:bCs/>
        </w:rPr>
        <w:t>satışlarda</w:t>
      </w:r>
      <w:r w:rsidRPr="00530A20">
        <w:t xml:space="preserve"> yüzde 1,5 il</w:t>
      </w:r>
      <w:r w:rsidR="0008112B">
        <w:t>e</w:t>
      </w:r>
      <w:r w:rsidRPr="00530A20">
        <w:t xml:space="preserve"> 3,5 arasında </w:t>
      </w:r>
      <w:r w:rsidRPr="00530A20">
        <w:rPr>
          <w:b/>
          <w:bCs/>
        </w:rPr>
        <w:t>organik büyüme</w:t>
      </w:r>
      <w:r w:rsidRPr="00530A20">
        <w:t xml:space="preserve"> elde etmeyi bekliyor. Yapıştırıcı Teknolojileri iş birimi için yüzde 2,0 </w:t>
      </w:r>
      <w:r w:rsidR="0008112B">
        <w:t>ile</w:t>
      </w:r>
      <w:r w:rsidRPr="00530A20">
        <w:t xml:space="preserve"> 4,0</w:t>
      </w:r>
      <w:r w:rsidR="005152A7">
        <w:t xml:space="preserve"> </w:t>
      </w:r>
      <w:r w:rsidRPr="00530A20">
        <w:t>ara</w:t>
      </w:r>
      <w:r w:rsidR="0008112B">
        <w:t>sında</w:t>
      </w:r>
      <w:r w:rsidRPr="00530A20">
        <w:t>, Tüketici Markaları için ise yüzde 1,0 il</w:t>
      </w:r>
      <w:r w:rsidR="0008112B">
        <w:t>e</w:t>
      </w:r>
      <w:r w:rsidRPr="00530A20">
        <w:t xml:space="preserve"> 3,0 ara</w:t>
      </w:r>
      <w:r w:rsidR="0008112B">
        <w:t>sında</w:t>
      </w:r>
      <w:r w:rsidRPr="00530A20">
        <w:t xml:space="preserve"> organik büyüme beklenmektedir. </w:t>
      </w:r>
      <w:r w:rsidRPr="00530A20">
        <w:rPr>
          <w:b/>
          <w:bCs/>
        </w:rPr>
        <w:t>Düzeltilmiş satış kazancının (düzeltilmiş VFÖK marjı)</w:t>
      </w:r>
      <w:r w:rsidRPr="00530A20">
        <w:t xml:space="preserve"> yüzde 14,0 ile yüzde 15,5 arasında olması bekleniyor. Yapıştırıcı Teknolojileri için düzeltilmiş satış kazancının yüzde 16,0 il</w:t>
      </w:r>
      <w:r w:rsidR="005152A7">
        <w:t>e</w:t>
      </w:r>
      <w:r w:rsidRPr="00530A20">
        <w:t xml:space="preserve"> 17,5 ara</w:t>
      </w:r>
      <w:r w:rsidR="005152A7">
        <w:t>sında</w:t>
      </w:r>
      <w:r w:rsidRPr="00530A20">
        <w:t>, Tüketici Markaları için ise yüzde 13,5 il</w:t>
      </w:r>
      <w:r w:rsidR="005152A7">
        <w:t>e</w:t>
      </w:r>
      <w:r w:rsidRPr="00530A20">
        <w:t xml:space="preserve"> 15,0 aralı</w:t>
      </w:r>
      <w:r w:rsidR="005152A7">
        <w:t>sında</w:t>
      </w:r>
      <w:r w:rsidRPr="00530A20">
        <w:t xml:space="preserve"> olması beklenmektedir. Sabit kur</w:t>
      </w:r>
      <w:r w:rsidR="005152A7">
        <w:t xml:space="preserve"> ile</w:t>
      </w:r>
      <w:r w:rsidRPr="00530A20">
        <w:t xml:space="preserve"> </w:t>
      </w:r>
      <w:r w:rsidRPr="00530A20">
        <w:rPr>
          <w:b/>
          <w:bCs/>
        </w:rPr>
        <w:t>imtiyazlı hisse senedi başına k</w:t>
      </w:r>
      <w:r w:rsidR="00827BD9">
        <w:rPr>
          <w:b/>
          <w:bCs/>
        </w:rPr>
        <w:t>a</w:t>
      </w:r>
      <w:r w:rsidRPr="00530A20">
        <w:rPr>
          <w:b/>
          <w:bCs/>
        </w:rPr>
        <w:t>rlılıkta (EPS)</w:t>
      </w:r>
      <w:r w:rsidRPr="00530A20">
        <w:t xml:space="preserve">, düşük ila yüksek tek haneli yüzde aralığında bir artış beklenmektedir. </w:t>
      </w:r>
    </w:p>
    <w:p w14:paraId="4C25D852" w14:textId="77777777" w:rsidR="00A43578" w:rsidRPr="00530A20" w:rsidRDefault="00A43578" w:rsidP="00A43578">
      <w:pPr>
        <w:rPr>
          <w:rFonts w:cs="Segoe UI"/>
          <w:szCs w:val="22"/>
        </w:rPr>
      </w:pPr>
    </w:p>
    <w:p w14:paraId="62BC6F57" w14:textId="50313482" w:rsidR="00BD6A0B" w:rsidRPr="00530A20" w:rsidRDefault="00364F24" w:rsidP="00BD6A0B">
      <w:pPr>
        <w:rPr>
          <w:rFonts w:cs="Segoe UI"/>
          <w:color w:val="000000"/>
          <w:szCs w:val="22"/>
        </w:rPr>
      </w:pPr>
      <w:r w:rsidRPr="00530A20">
        <w:t xml:space="preserve">Bu nedenle, yılın başında daha yavaş bir seyir beklenmektedir. Bununla birlikte, organik satış büyümesinin yıl içinde hızlanması ve 2025 mali yılının ikinci yarısının ilk yarısına kıyasla daha güçlü geçmesi beklenmektedir. Bu durum her iki iş birimi için de geçerlidir. Bunun sebepleri arasında, zorlu bir tablo </w:t>
      </w:r>
      <w:r w:rsidR="005152A7">
        <w:t>sunan</w:t>
      </w:r>
      <w:r w:rsidRPr="00530A20">
        <w:t xml:space="preserve"> endüstriyel koşullar</w:t>
      </w:r>
      <w:r w:rsidR="005152A7">
        <w:t xml:space="preserve"> ile</w:t>
      </w:r>
      <w:r w:rsidRPr="00530A20">
        <w:t>, başta Kuzey Amerika olmak üzere bazı pazarlarımı</w:t>
      </w:r>
      <w:r w:rsidR="005152A7">
        <w:t>zda gözle</w:t>
      </w:r>
      <w:r w:rsidR="00763539">
        <w:t>mlenen</w:t>
      </w:r>
      <w:r w:rsidR="000D3226">
        <w:t xml:space="preserve"> </w:t>
      </w:r>
      <w:r w:rsidRPr="00530A20">
        <w:t>büyüme</w:t>
      </w:r>
      <w:r w:rsidR="005152A7">
        <w:t>de</w:t>
      </w:r>
      <w:r w:rsidRPr="00530A20">
        <w:t xml:space="preserve"> yavaşlama ve tüketici duyarlılığı sayılabilir.</w:t>
      </w:r>
    </w:p>
    <w:p w14:paraId="5708CE97" w14:textId="77777777" w:rsidR="00DF5287" w:rsidRDefault="00DF5287" w:rsidP="00364F24"/>
    <w:p w14:paraId="1E257DC6" w14:textId="78CBA0E8" w:rsidR="00364F24" w:rsidRPr="005B37D0" w:rsidRDefault="00DF5287" w:rsidP="00364F24">
      <w:r w:rsidRPr="00DF5287">
        <w:rPr>
          <w:b/>
          <w:bCs/>
        </w:rPr>
        <w:t>Tüketici Markalarında</w:t>
      </w:r>
      <w:r w:rsidRPr="00DF5287">
        <w:t>, özellikle 2024'ün ilk yarısındaki güçlü ve yenilikçi ürün lansmanları sayesinde bir önceki yıla kıyasla yüksek organik satış büyümesi elde edildiği dikkate alınmalıdır</w:t>
      </w:r>
      <w:r w:rsidR="005B37D0">
        <w:t>.</w:t>
      </w:r>
      <w:r w:rsidR="00364F24" w:rsidRPr="00530A20">
        <w:t xml:space="preserve"> 2025'te inovasyon lansmanları yılın ikinci yarısında daha ağırlıklı olacaktır. </w:t>
      </w:r>
      <w:r w:rsidR="00E57D93" w:rsidRPr="00E57D93">
        <w:t>Buna ek olarak, 1-1-1 yaklaşımının tamamlanmasıyla bağlantılı olarak tedarik zincirimizde ortaya çıkan tek seferlik operasyonel etkiler ve promosyon planlamaları, birinci çeyrekte organik satış büyümesi</w:t>
      </w:r>
      <w:r w:rsidR="006B7EEA">
        <w:t>ne katkıda bulunacak</w:t>
      </w:r>
      <w:r w:rsidR="00E3379B">
        <w:t>,</w:t>
      </w:r>
      <w:r w:rsidR="006B7EEA">
        <w:t xml:space="preserve"> aynı zamand</w:t>
      </w:r>
      <w:r w:rsidR="003D1952">
        <w:t>a</w:t>
      </w:r>
      <w:r w:rsidR="00E57D93" w:rsidRPr="00E57D93">
        <w:t xml:space="preserve"> </w:t>
      </w:r>
      <w:r w:rsidR="00F322E6">
        <w:t xml:space="preserve">miktar </w:t>
      </w:r>
      <w:r w:rsidR="00E57D93" w:rsidRPr="00E57D93">
        <w:t>açısından önceki yılın gerisinde kalmamıza neden olacaktır.</w:t>
      </w:r>
      <w:r w:rsidR="00EB36DA">
        <w:t xml:space="preserve"> </w:t>
      </w:r>
      <w:r w:rsidR="00364F24" w:rsidRPr="00530A20">
        <w:t>Birinci çeyrek için organik satış büyümesinin yüzde -2 il</w:t>
      </w:r>
      <w:r w:rsidR="00101CC3">
        <w:t>e</w:t>
      </w:r>
      <w:r w:rsidR="00364F24" w:rsidRPr="00530A20">
        <w:t xml:space="preserve"> -4 </w:t>
      </w:r>
      <w:r w:rsidR="00101CC3">
        <w:t>arasında</w:t>
      </w:r>
      <w:r w:rsidR="00364F24" w:rsidRPr="00530A20">
        <w:t xml:space="preserve"> olması, fiyatlandırmanın ise pozitif </w:t>
      </w:r>
      <w:r w:rsidR="00101CC3">
        <w:t xml:space="preserve">gerçekleşmesi </w:t>
      </w:r>
      <w:r w:rsidR="00364F24" w:rsidRPr="00530A20">
        <w:t>beklenmektedir. 2025 yılının tamamı için, hem miktar hem de fiyat kaynaklı genel pozitif organik satış büyümesi beklenmektedir.</w:t>
      </w:r>
    </w:p>
    <w:p w14:paraId="6AABFECA" w14:textId="77777777" w:rsidR="00364F24" w:rsidRPr="00530A20" w:rsidRDefault="00364F24" w:rsidP="00364F24">
      <w:pPr>
        <w:rPr>
          <w:rFonts w:cs="Segoe UI"/>
          <w:szCs w:val="22"/>
        </w:rPr>
      </w:pPr>
    </w:p>
    <w:p w14:paraId="1E5443D1" w14:textId="643A6602" w:rsidR="00A53E46" w:rsidRPr="00A53E46" w:rsidRDefault="000E745A" w:rsidP="00364F24">
      <w:bookmarkStart w:id="4" w:name="_Hlk192504294"/>
      <w:r w:rsidRPr="00530A20">
        <w:t>2025 yılının tamamında, her iki iş birimi ve dolayısıyla Grup için bir önceki yıla kıyasla daha yüksek bir marj ve dolayısıyla k</w:t>
      </w:r>
      <w:r w:rsidR="00827BD9">
        <w:t>a</w:t>
      </w:r>
      <w:r w:rsidRPr="00530A20">
        <w:t xml:space="preserve">rlılık artışı beklenmektedir. </w:t>
      </w:r>
      <w:r w:rsidR="00A53E46" w:rsidRPr="00A53E46">
        <w:rPr>
          <w:rFonts w:cs="Segoe UI"/>
          <w:szCs w:val="22"/>
        </w:rPr>
        <w:t>2025 mali yılının ilk iki ayındaki gelişmeler, Henkel'in ve her iki iş biriminin de güçlü bir ilerleme kaydettiğini göstermektedir.</w:t>
      </w:r>
    </w:p>
    <w:bookmarkEnd w:id="4"/>
    <w:p w14:paraId="33D5B257" w14:textId="77777777" w:rsidR="000E745A" w:rsidRDefault="000E745A" w:rsidP="00364F24">
      <w:pPr>
        <w:rPr>
          <w:rFonts w:cs="Segoe UI"/>
          <w:szCs w:val="22"/>
        </w:rPr>
      </w:pPr>
    </w:p>
    <w:p w14:paraId="62E45850" w14:textId="77777777" w:rsidR="00386F29" w:rsidRDefault="00386F29" w:rsidP="00364F24">
      <w:pPr>
        <w:rPr>
          <w:rFonts w:cs="Segoe UI"/>
          <w:szCs w:val="22"/>
        </w:rPr>
      </w:pPr>
    </w:p>
    <w:p w14:paraId="083F82CE" w14:textId="77777777" w:rsidR="00386F29" w:rsidRDefault="00386F29" w:rsidP="00364F24">
      <w:pPr>
        <w:rPr>
          <w:rFonts w:cs="Segoe UI"/>
          <w:szCs w:val="22"/>
        </w:rPr>
      </w:pPr>
    </w:p>
    <w:p w14:paraId="4CF9E487" w14:textId="77777777" w:rsidR="00386F29" w:rsidRPr="00530A20" w:rsidRDefault="00386F29" w:rsidP="00364F24">
      <w:pPr>
        <w:rPr>
          <w:rFonts w:cs="Segoe UI"/>
          <w:szCs w:val="22"/>
        </w:rPr>
      </w:pPr>
    </w:p>
    <w:p w14:paraId="682FD8E7" w14:textId="77777777" w:rsidR="00916EAB" w:rsidRPr="00530A20" w:rsidRDefault="00916EAB" w:rsidP="00BD6A0B">
      <w:pPr>
        <w:rPr>
          <w:rFonts w:cs="Segoe UI"/>
          <w:color w:val="000000"/>
          <w:szCs w:val="22"/>
        </w:rPr>
      </w:pPr>
    </w:p>
    <w:p w14:paraId="72462B2D" w14:textId="2C710D9F" w:rsidR="004B2C19" w:rsidRDefault="004B2C19" w:rsidP="003E137C">
      <w:pPr>
        <w:spacing w:line="240" w:lineRule="auto"/>
        <w:jc w:val="left"/>
        <w:rPr>
          <w:b/>
        </w:rPr>
      </w:pPr>
      <w:r w:rsidRPr="00530A20">
        <w:rPr>
          <w:b/>
        </w:rPr>
        <w:t>2024 Mali Yılında Grup Genelinde Satış ve K</w:t>
      </w:r>
      <w:r w:rsidR="00827BD9">
        <w:rPr>
          <w:b/>
        </w:rPr>
        <w:t>a</w:t>
      </w:r>
      <w:r w:rsidRPr="00530A20">
        <w:rPr>
          <w:b/>
        </w:rPr>
        <w:t>r Performansı</w:t>
      </w:r>
    </w:p>
    <w:p w14:paraId="67BBC2E5" w14:textId="77777777" w:rsidR="00386F29" w:rsidRPr="00530A20" w:rsidRDefault="00386F29" w:rsidP="003E137C">
      <w:pPr>
        <w:spacing w:line="240" w:lineRule="auto"/>
        <w:jc w:val="left"/>
        <w:rPr>
          <w:rFonts w:cs="Segoe UI"/>
          <w:b/>
          <w:bCs/>
          <w:szCs w:val="22"/>
        </w:rPr>
      </w:pPr>
    </w:p>
    <w:p w14:paraId="2D0CB629" w14:textId="031766C8" w:rsidR="0037555D" w:rsidRPr="00530A20" w:rsidRDefault="004B2C19" w:rsidP="0037555D">
      <w:pPr>
        <w:rPr>
          <w:rFonts w:cs="Segoe UI"/>
          <w:szCs w:val="22"/>
        </w:rPr>
      </w:pPr>
      <w:r w:rsidRPr="00530A20">
        <w:t xml:space="preserve">Henkel Grup'un 2024 mali yılındaki </w:t>
      </w:r>
      <w:r w:rsidRPr="00530A20">
        <w:rPr>
          <w:b/>
          <w:bCs/>
        </w:rPr>
        <w:t>satışları,</w:t>
      </w:r>
      <w:r w:rsidRPr="00530A20">
        <w:t xml:space="preserve"> bir önceki yıla kıyasla yüzde 0,3 oranında nominal bir artış</w:t>
      </w:r>
      <w:r w:rsidR="00556DF4">
        <w:t xml:space="preserve"> göstererek</w:t>
      </w:r>
      <w:r w:rsidRPr="00530A20">
        <w:t xml:space="preserve"> 21,586 milyar Euro</w:t>
      </w:r>
      <w:r w:rsidR="00556DF4">
        <w:t>’</w:t>
      </w:r>
      <w:r w:rsidRPr="00530A20">
        <w:t>ya ulaştı. Döviz kurları satışlar üzerinde yüzde -1,8 oranında negatif bir etki yarattı. Bu kur etkilerin</w:t>
      </w:r>
      <w:r w:rsidR="00556DF4">
        <w:t>e göre düzeltilmiş</w:t>
      </w:r>
      <w:r w:rsidRPr="00530A20">
        <w:t xml:space="preserve"> satış büyümesi yüzde 2,1 olarak gerçekleşti. 2023'te Rusya'daki ticari faaliyetlerimizin </w:t>
      </w:r>
      <w:r w:rsidR="00556DF4">
        <w:t>bırakılması</w:t>
      </w:r>
      <w:r w:rsidRPr="00530A20">
        <w:t xml:space="preserve"> başta olmak üzere satın alma ve elden çıkarmalar da satışlar üzerinde yüzde -0,4 oranında negatif bir etki yaptı. </w:t>
      </w:r>
      <w:r w:rsidRPr="00530A20">
        <w:rPr>
          <w:b/>
          <w:bCs/>
        </w:rPr>
        <w:t>Organik satış büyümesi</w:t>
      </w:r>
      <w:r w:rsidRPr="00530A20">
        <w:t xml:space="preserve">, yani </w:t>
      </w:r>
      <w:r w:rsidR="00556DF4">
        <w:t>döviz kurları ve satın alma/elden çıkarmalara göre düzeltilmiş</w:t>
      </w:r>
      <w:r w:rsidRPr="00530A20">
        <w:t xml:space="preserve"> büyüme, yüzde 2,6 </w:t>
      </w:r>
      <w:r w:rsidR="009C1CD2">
        <w:t xml:space="preserve">oranında </w:t>
      </w:r>
      <w:r w:rsidRPr="00530A20">
        <w:t>güçlü bir gelişme göster</w:t>
      </w:r>
      <w:r w:rsidR="009C1CD2">
        <w:t>di</w:t>
      </w:r>
      <w:r w:rsidRPr="00530A20">
        <w:t xml:space="preserve">. Bu </w:t>
      </w:r>
      <w:r w:rsidR="009C1CD2">
        <w:t>gelişme</w:t>
      </w:r>
      <w:r w:rsidRPr="00530A20">
        <w:t>, hem fiyatlandırma hem de miktar</w:t>
      </w:r>
      <w:r w:rsidR="009C1CD2">
        <w:t>daki</w:t>
      </w:r>
      <w:r w:rsidR="004A799C">
        <w:t xml:space="preserve"> </w:t>
      </w:r>
      <w:r w:rsidR="00215281" w:rsidRPr="00215281">
        <w:t>pozitif ivmeden kaynaklandı</w:t>
      </w:r>
      <w:r w:rsidR="00215281">
        <w:t>.</w:t>
      </w:r>
    </w:p>
    <w:p w14:paraId="4CBD79BF" w14:textId="77777777" w:rsidR="0037555D" w:rsidRPr="00530A20" w:rsidRDefault="0037555D" w:rsidP="0037555D">
      <w:pPr>
        <w:rPr>
          <w:rFonts w:cs="Segoe UI"/>
          <w:szCs w:val="22"/>
        </w:rPr>
      </w:pPr>
    </w:p>
    <w:p w14:paraId="37236882" w14:textId="1B0DB8A9" w:rsidR="004B2C19" w:rsidRPr="00530A20" w:rsidRDefault="004B2C19" w:rsidP="0037555D">
      <w:pPr>
        <w:rPr>
          <w:rFonts w:cs="Segoe UI"/>
          <w:szCs w:val="22"/>
        </w:rPr>
      </w:pPr>
      <w:r w:rsidRPr="00530A20">
        <w:rPr>
          <w:b/>
          <w:bCs/>
        </w:rPr>
        <w:t>Yapıştırıcı Teknolojileri</w:t>
      </w:r>
      <w:r w:rsidRPr="00530A20">
        <w:t xml:space="preserve"> iş birimi, özellikle Mobilite ve Elektronik iş alanının etkisiyle yüzde 2,4'lük iyi bir organik satış büyümesi elde etti. </w:t>
      </w:r>
      <w:r w:rsidRPr="00530A20">
        <w:rPr>
          <w:b/>
        </w:rPr>
        <w:t xml:space="preserve">Tüketici Markaları </w:t>
      </w:r>
      <w:r w:rsidRPr="00530A20">
        <w:t>iş birimi, özellikle Saç iş alanının etkisiyle yüzde 3,0 oranında güçlü bir organik satış büyümesi kaydetti.</w:t>
      </w:r>
    </w:p>
    <w:p w14:paraId="646D16FF" w14:textId="77777777" w:rsidR="004B2C19" w:rsidRPr="00530A20" w:rsidRDefault="004B2C19" w:rsidP="004B2C19">
      <w:pPr>
        <w:rPr>
          <w:rFonts w:cs="Segoe UI"/>
          <w:b/>
          <w:bCs/>
          <w:szCs w:val="22"/>
        </w:rPr>
      </w:pPr>
    </w:p>
    <w:p w14:paraId="124DA277" w14:textId="4DF76B53" w:rsidR="00D24C2D" w:rsidRPr="00530A20" w:rsidRDefault="004B2C19" w:rsidP="00D24C2D">
      <w:pPr>
        <w:rPr>
          <w:rFonts w:cs="Segoe UI"/>
          <w:szCs w:val="22"/>
        </w:rPr>
      </w:pPr>
      <w:r w:rsidRPr="00530A20">
        <w:rPr>
          <w:b/>
          <w:bCs/>
        </w:rPr>
        <w:t>Düzeltilmiş faaliyet karı (düzeltilmiş VFÖK)</w:t>
      </w:r>
      <w:r w:rsidRPr="00530A20">
        <w:t>, yüzde 20,9 oranında önemli bir artışla 3,089 milyar Euro</w:t>
      </w:r>
      <w:r w:rsidR="00CC31F8">
        <w:t>’</w:t>
      </w:r>
      <w:r w:rsidRPr="00530A20">
        <w:t>ya yükseldi (önceki yıl: 2,556 milyar Euro).</w:t>
      </w:r>
    </w:p>
    <w:p w14:paraId="7FD4D2EF" w14:textId="77777777" w:rsidR="00D24C2D" w:rsidRPr="00530A20" w:rsidRDefault="00D24C2D" w:rsidP="00D24C2D">
      <w:pPr>
        <w:rPr>
          <w:rFonts w:cs="Segoe UI"/>
          <w:szCs w:val="22"/>
        </w:rPr>
      </w:pPr>
    </w:p>
    <w:p w14:paraId="110A83FF" w14:textId="3166BD83" w:rsidR="00D24C2D" w:rsidRPr="00530A20" w:rsidRDefault="00D24C2D" w:rsidP="00D24C2D">
      <w:pPr>
        <w:rPr>
          <w:rFonts w:cs="Segoe UI"/>
          <w:szCs w:val="22"/>
        </w:rPr>
      </w:pPr>
      <w:r w:rsidRPr="00530A20">
        <w:t xml:space="preserve">2024 mali yılındaki </w:t>
      </w:r>
      <w:r w:rsidRPr="00530A20">
        <w:rPr>
          <w:b/>
          <w:bCs/>
        </w:rPr>
        <w:t>düzeltilmiş satış kazancı (düzeltilmiş VFÖK marjı)</w:t>
      </w:r>
      <w:r w:rsidRPr="00530A20">
        <w:t xml:space="preserve"> bir </w:t>
      </w:r>
      <w:r w:rsidR="00CC31F8">
        <w:t>yıllık dönemde</w:t>
      </w:r>
      <w:r w:rsidRPr="00530A20">
        <w:t xml:space="preserve"> önemli ölçüde artarak yüzde 14,3 </w:t>
      </w:r>
      <w:r w:rsidR="00CC31F8">
        <w:t>seviyesinde</w:t>
      </w:r>
      <w:r w:rsidRPr="00530A20">
        <w:t xml:space="preserve"> gerçekleşti (2023: yüzde 11,9).</w:t>
      </w:r>
    </w:p>
    <w:p w14:paraId="6D43DBB2" w14:textId="77777777" w:rsidR="00D24C2D" w:rsidRPr="00530A20" w:rsidRDefault="00D24C2D" w:rsidP="00D24C2D">
      <w:pPr>
        <w:rPr>
          <w:rFonts w:cs="Segoe UI"/>
          <w:szCs w:val="22"/>
        </w:rPr>
      </w:pPr>
    </w:p>
    <w:p w14:paraId="7BF5A3FA" w14:textId="4D811A03" w:rsidR="00D24C2D" w:rsidRPr="00530A20" w:rsidRDefault="004B2C19" w:rsidP="00D24C2D">
      <w:pPr>
        <w:rPr>
          <w:rFonts w:cs="Segoe UI"/>
          <w:szCs w:val="22"/>
        </w:rPr>
      </w:pPr>
      <w:r w:rsidRPr="00530A20">
        <w:rPr>
          <w:b/>
        </w:rPr>
        <w:t>İmtiyazlı hisse senedi başına k</w:t>
      </w:r>
      <w:r w:rsidR="00827BD9">
        <w:rPr>
          <w:b/>
        </w:rPr>
        <w:t>a</w:t>
      </w:r>
      <w:r w:rsidRPr="00530A20">
        <w:rPr>
          <w:b/>
        </w:rPr>
        <w:t>rlılık</w:t>
      </w:r>
      <w:r w:rsidRPr="00530A20">
        <w:t xml:space="preserve"> yüzde 23,2 gibi kayda değer bir artışla 5,36 Euro seviyesine ulaştı (bir önceki yıl: 4,35 Euro). Sabit kur ile imtiyazlı hisse senedi başına karlılık yüzde 25,1 oranında artış gösterdi.</w:t>
      </w:r>
    </w:p>
    <w:p w14:paraId="565CE265" w14:textId="77777777" w:rsidR="004B2C19" w:rsidRPr="00530A20" w:rsidRDefault="004B2C19" w:rsidP="004B2C19">
      <w:pPr>
        <w:rPr>
          <w:rFonts w:cs="Segoe UI"/>
          <w:szCs w:val="22"/>
        </w:rPr>
      </w:pPr>
    </w:p>
    <w:p w14:paraId="44661807" w14:textId="322FBB62" w:rsidR="004B2C19" w:rsidRPr="00530A20" w:rsidRDefault="00876805" w:rsidP="00D24C2D">
      <w:pPr>
        <w:rPr>
          <w:rFonts w:cs="Segoe UI"/>
          <w:szCs w:val="22"/>
        </w:rPr>
      </w:pPr>
      <w:r>
        <w:rPr>
          <w:b/>
          <w:bCs/>
        </w:rPr>
        <w:t>Satış yüzdesi olarak n</w:t>
      </w:r>
      <w:r w:rsidR="004B2C19" w:rsidRPr="00530A20">
        <w:rPr>
          <w:b/>
          <w:bCs/>
        </w:rPr>
        <w:t>et işletme sermayes</w:t>
      </w:r>
      <w:r>
        <w:rPr>
          <w:b/>
          <w:bCs/>
        </w:rPr>
        <w:t>i</w:t>
      </w:r>
      <w:r w:rsidR="004B2C19" w:rsidRPr="00530A20">
        <w:t xml:space="preserve">, bir </w:t>
      </w:r>
      <w:r w:rsidR="00B3728C">
        <w:t>yıllık dönemde</w:t>
      </w:r>
      <w:r w:rsidR="004B2C19" w:rsidRPr="00530A20">
        <w:t xml:space="preserve"> hafif bir artışla yüzde 3,0 </w:t>
      </w:r>
      <w:r w:rsidR="00D355CA">
        <w:t>seviyesine ulaştı</w:t>
      </w:r>
      <w:r w:rsidR="004B2C19" w:rsidRPr="00530A20">
        <w:t xml:space="preserve"> (2023: yüzde 2,6).</w:t>
      </w:r>
    </w:p>
    <w:p w14:paraId="1BB4AE7E" w14:textId="77777777" w:rsidR="004B2C19" w:rsidRPr="00530A20" w:rsidRDefault="004B2C19" w:rsidP="004B2C19">
      <w:pPr>
        <w:rPr>
          <w:rFonts w:cs="Segoe UI"/>
          <w:szCs w:val="22"/>
        </w:rPr>
      </w:pPr>
    </w:p>
    <w:p w14:paraId="2DCFF1AF" w14:textId="4A148DC2" w:rsidR="00D24C2D" w:rsidRPr="00530A20" w:rsidRDefault="004B2C19" w:rsidP="00D24C2D">
      <w:pPr>
        <w:rPr>
          <w:rFonts w:cs="Segoe UI"/>
          <w:szCs w:val="22"/>
        </w:rPr>
      </w:pPr>
      <w:r w:rsidRPr="00530A20">
        <w:rPr>
          <w:b/>
          <w:bCs/>
        </w:rPr>
        <w:t>Serbest nakit akışı</w:t>
      </w:r>
      <w:r w:rsidRPr="00530A20">
        <w:t xml:space="preserve"> önceki yıla kıyasla düşüş göstererek toplamda 2,362 milyar Euro olarak gerçekleş</w:t>
      </w:r>
      <w:r w:rsidR="00876805">
        <w:t xml:space="preserve">ti. </w:t>
      </w:r>
      <w:r w:rsidR="0075414E">
        <w:t>Önceki yıl gözlenen s</w:t>
      </w:r>
      <w:r w:rsidR="00D123AE">
        <w:t>erbest nakit akışı</w:t>
      </w:r>
      <w:r w:rsidR="00544D99">
        <w:t xml:space="preserve"> seviyesi</w:t>
      </w:r>
      <w:r w:rsidR="00876805">
        <w:t xml:space="preserve"> </w:t>
      </w:r>
      <w:r w:rsidR="00876805" w:rsidRPr="00876805">
        <w:t>(2023: 2,603 milyar Euro)</w:t>
      </w:r>
      <w:r w:rsidR="00544D99">
        <w:t>,</w:t>
      </w:r>
      <w:r w:rsidR="00876805">
        <w:t xml:space="preserve"> </w:t>
      </w:r>
      <w:r w:rsidRPr="00530A20">
        <w:t xml:space="preserve">net işletme sermayesinin </w:t>
      </w:r>
      <w:r w:rsidR="00544D99" w:rsidRPr="00544D99">
        <w:t>normalleşmesinden olumlu yönde etkilendi.</w:t>
      </w:r>
    </w:p>
    <w:p w14:paraId="0EBCB1EE" w14:textId="77777777" w:rsidR="00D24C2D" w:rsidRPr="00530A20" w:rsidRDefault="00D24C2D" w:rsidP="00D24C2D">
      <w:pPr>
        <w:rPr>
          <w:rFonts w:cs="Segoe UI"/>
          <w:szCs w:val="22"/>
        </w:rPr>
      </w:pPr>
    </w:p>
    <w:p w14:paraId="644E3F1B" w14:textId="6E8FB268" w:rsidR="004B2C19" w:rsidRPr="00530A20" w:rsidRDefault="00EE0AA8" w:rsidP="00D24C2D">
      <w:pPr>
        <w:rPr>
          <w:rFonts w:cs="Segoe UI"/>
          <w:szCs w:val="22"/>
        </w:rPr>
      </w:pPr>
      <w:r>
        <w:rPr>
          <w:b/>
          <w:bCs/>
        </w:rPr>
        <w:t>Net mali durum,</w:t>
      </w:r>
      <w:r w:rsidR="00D24C2D" w:rsidRPr="00530A20">
        <w:t xml:space="preserve"> -93 milyon Euro ile, özellikle satın almalar için yapılan ödemeler nedeniyle önceki yılın biraz altında kal</w:t>
      </w:r>
      <w:r>
        <w:t>dı</w:t>
      </w:r>
      <w:r w:rsidR="00D24C2D" w:rsidRPr="00530A20">
        <w:t xml:space="preserve"> (31 Aralık 2023: 12 milyon Euro).</w:t>
      </w:r>
    </w:p>
    <w:p w14:paraId="28D7EB0B" w14:textId="52465CFA" w:rsidR="00C8634B" w:rsidRPr="00530A20" w:rsidRDefault="00C8634B">
      <w:pPr>
        <w:spacing w:line="240" w:lineRule="auto"/>
        <w:jc w:val="left"/>
        <w:rPr>
          <w:rFonts w:cs="Segoe UI"/>
        </w:rPr>
      </w:pPr>
      <w:r w:rsidRPr="00530A20">
        <w:br w:type="page"/>
      </w:r>
    </w:p>
    <w:p w14:paraId="7E60BE9D" w14:textId="4A02D033" w:rsidR="004B2C19" w:rsidRPr="00530A20" w:rsidRDefault="004B2C19" w:rsidP="00D24C2D">
      <w:pPr>
        <w:rPr>
          <w:rFonts w:cs="Segoe UI"/>
        </w:rPr>
      </w:pPr>
      <w:r w:rsidRPr="00A9116B">
        <w:lastRenderedPageBreak/>
        <w:t>Yönetim Kurulu, Denetleme Kurulu ve Hissedarlar Komitesi, 28 Nisan 2025 tarihinde yapılacak Yıllık Genel Kurul</w:t>
      </w:r>
      <w:r w:rsidR="008A389B" w:rsidRPr="00A9116B">
        <w:t>’da,</w:t>
      </w:r>
      <w:r w:rsidRPr="00A9116B">
        <w:t xml:space="preserve"> imtiyazlı hisse senedi başına önceki yıla kıyasla yüzde 10,3 artışla 2,04 Euro, serbest dolaşımdaki hisse senedi başına ise yüzde </w:t>
      </w:r>
      <w:r w:rsidR="008A389B" w:rsidRPr="00A9116B">
        <w:t>+</w:t>
      </w:r>
      <w:r w:rsidRPr="00A9116B">
        <w:t xml:space="preserve">10,4 artışla 2,02 Euro </w:t>
      </w:r>
      <w:r w:rsidRPr="00A9116B">
        <w:rPr>
          <w:b/>
          <w:bCs/>
        </w:rPr>
        <w:t>temettü</w:t>
      </w:r>
      <w:r w:rsidRPr="00A9116B">
        <w:t xml:space="preserve"> önerecektir. Bu</w:t>
      </w:r>
      <w:r w:rsidR="008A389B" w:rsidRPr="00A9116B">
        <w:t>,</w:t>
      </w:r>
      <w:r w:rsidRPr="00A9116B">
        <w:t xml:space="preserve"> yüzde 37,9 ödeme oranına tekabül etmekte olup, hedef aralık olan yüzde 30 ila yüzde 40 bandı içindedir.</w:t>
      </w:r>
      <w:r w:rsidR="00A15EF6">
        <w:t xml:space="preserve"> </w:t>
      </w:r>
      <w:r w:rsidR="00A15EF6" w:rsidRPr="00A15EF6">
        <w:t>Temettü artışı, Henkel Grup’un geçtiğimiz mali yıldaki güçlü finansal performansı ve sağlam mali yapısı sayesinde mümkün olmuştur.</w:t>
      </w:r>
    </w:p>
    <w:p w14:paraId="607D8106" w14:textId="77777777" w:rsidR="004B2C19" w:rsidRPr="00530A20" w:rsidRDefault="004B2C19" w:rsidP="004B2C19">
      <w:pPr>
        <w:rPr>
          <w:rFonts w:cs="Segoe UI"/>
        </w:rPr>
      </w:pPr>
    </w:p>
    <w:p w14:paraId="49CBA3E9" w14:textId="17F90895" w:rsidR="004B2C19" w:rsidRPr="00530A20" w:rsidRDefault="004B2C19" w:rsidP="004B2C19">
      <w:pPr>
        <w:spacing w:after="120"/>
        <w:rPr>
          <w:rFonts w:cs="Segoe UI"/>
          <w:b/>
          <w:bCs/>
          <w:szCs w:val="22"/>
        </w:rPr>
      </w:pPr>
      <w:r w:rsidRPr="00530A20">
        <w:rPr>
          <w:b/>
        </w:rPr>
        <w:t>2024 Mali Yılında İş Birimi Performansı</w:t>
      </w:r>
    </w:p>
    <w:p w14:paraId="245C0E98" w14:textId="2D7637BB" w:rsidR="004B2C19" w:rsidRPr="00530A20" w:rsidRDefault="009E6215" w:rsidP="009E6215">
      <w:pPr>
        <w:rPr>
          <w:rFonts w:cs="Segoe UI"/>
          <w:szCs w:val="22"/>
        </w:rPr>
      </w:pPr>
      <w:r w:rsidRPr="00530A20">
        <w:rPr>
          <w:b/>
          <w:bCs/>
        </w:rPr>
        <w:t>Yapıştırıcı Teknolojileri</w:t>
      </w:r>
      <w:r w:rsidRPr="00530A20">
        <w:t xml:space="preserve"> iş birimi</w:t>
      </w:r>
      <w:r w:rsidR="00F226EC">
        <w:t>nin</w:t>
      </w:r>
      <w:r w:rsidRPr="00530A20">
        <w:t xml:space="preserve"> </w:t>
      </w:r>
      <w:r w:rsidRPr="00530A20">
        <w:rPr>
          <w:b/>
          <w:bCs/>
        </w:rPr>
        <w:t>satışları</w:t>
      </w:r>
      <w:r w:rsidR="00F226EC">
        <w:rPr>
          <w:b/>
          <w:bCs/>
        </w:rPr>
        <w:t>,</w:t>
      </w:r>
      <w:r w:rsidRPr="00530A20">
        <w:t xml:space="preserve"> 2024 mali yılında toplam 10,970 milyar Euro ile bir </w:t>
      </w:r>
      <w:r w:rsidR="00F226EC">
        <w:t>yıllık dönemde</w:t>
      </w:r>
      <w:r w:rsidRPr="00530A20">
        <w:t xml:space="preserve"> </w:t>
      </w:r>
      <w:r w:rsidR="004622FB">
        <w:t xml:space="preserve">nominal olarak </w:t>
      </w:r>
      <w:r w:rsidRPr="00530A20">
        <w:t xml:space="preserve">yüzde 1,7 </w:t>
      </w:r>
      <w:r w:rsidR="004622FB">
        <w:t>artış göstermiştir.</w:t>
      </w:r>
      <w:r w:rsidRPr="00530A20">
        <w:t xml:space="preserve"> Döviz kurları yüzde -1,8 oranında olumsuz bir etki yaratırken, satın almalar/elden çıkarmalar satışları yüzde 1,1 oranında artırmıştır. Satışlarda yüzde 2,4 </w:t>
      </w:r>
      <w:r w:rsidRPr="00530A20">
        <w:rPr>
          <w:b/>
          <w:bCs/>
        </w:rPr>
        <w:t>organik</w:t>
      </w:r>
      <w:r w:rsidRPr="00530A20">
        <w:t xml:space="preserve"> artış yakalanmıştır. Satışlardaki bu artış, özellikle bazı </w:t>
      </w:r>
      <w:r w:rsidR="00811EA4">
        <w:t xml:space="preserve">hedef </w:t>
      </w:r>
      <w:r w:rsidRPr="00530A20">
        <w:t>pazarlarda artan tale</w:t>
      </w:r>
      <w:r w:rsidR="00B16D70">
        <w:t>bin etkisiyle</w:t>
      </w:r>
      <w:r w:rsidRPr="00530A20">
        <w:t xml:space="preserve"> yılın ikinci yarısında bir önceki yıla kıyasla </w:t>
      </w:r>
      <w:r w:rsidR="00B16D70">
        <w:t xml:space="preserve">gerçekleşen </w:t>
      </w:r>
      <w:r w:rsidRPr="00530A20">
        <w:t xml:space="preserve">güçlü bir miktar artışından kaynaklanmıştır. </w:t>
      </w:r>
      <w:r w:rsidR="005559EE" w:rsidRPr="005559EE">
        <w:t>Fiyatlar, bir önceki yıl seviyesinde korunmuştur.</w:t>
      </w:r>
      <w:r w:rsidR="005559EE">
        <w:t xml:space="preserve"> </w:t>
      </w:r>
      <w:r w:rsidRPr="00530A20">
        <w:rPr>
          <w:b/>
          <w:bCs/>
        </w:rPr>
        <w:t>Düzeltilmiş faaliyet k</w:t>
      </w:r>
      <w:r w:rsidR="00827BD9">
        <w:rPr>
          <w:b/>
          <w:bCs/>
        </w:rPr>
        <w:t>a</w:t>
      </w:r>
      <w:r w:rsidRPr="00530A20">
        <w:rPr>
          <w:b/>
          <w:bCs/>
        </w:rPr>
        <w:t>rı</w:t>
      </w:r>
      <w:r w:rsidRPr="00530A20">
        <w:t xml:space="preserve"> 1,817 milyar Euro ile bir </w:t>
      </w:r>
      <w:r w:rsidR="00466BF9">
        <w:t>yıllık dönemde</w:t>
      </w:r>
      <w:r w:rsidRPr="00530A20">
        <w:t xml:space="preserve"> çift haneli bir </w:t>
      </w:r>
      <w:r w:rsidR="00B16D70">
        <w:t xml:space="preserve">yüzde </w:t>
      </w:r>
      <w:r w:rsidRPr="00530A20">
        <w:t>artış</w:t>
      </w:r>
      <w:r w:rsidR="00B16D70">
        <w:t>ı</w:t>
      </w:r>
      <w:r w:rsidRPr="00530A20">
        <w:t xml:space="preserve"> kaydederek iş birimi açısından yeni bir rekor teşkil etmiştir. </w:t>
      </w:r>
      <w:r w:rsidRPr="00530A20">
        <w:rPr>
          <w:b/>
          <w:bCs/>
        </w:rPr>
        <w:t>Düzeltilmiş satış kazancı</w:t>
      </w:r>
      <w:r w:rsidRPr="00530A20">
        <w:t xml:space="preserve">, bir </w:t>
      </w:r>
      <w:r w:rsidR="00466BF9">
        <w:t>yıllık dönemde</w:t>
      </w:r>
      <w:r w:rsidRPr="00530A20">
        <w:t xml:space="preserve"> 190 baz puanlık önemli bir artışla yüzde 16,6 </w:t>
      </w:r>
      <w:r w:rsidR="008E6193">
        <w:t>olarak</w:t>
      </w:r>
      <w:r w:rsidR="00466BF9">
        <w:t xml:space="preserve"> gerçekleşti.</w:t>
      </w:r>
    </w:p>
    <w:p w14:paraId="7AA894BD" w14:textId="77777777" w:rsidR="004B2C19" w:rsidRPr="00530A20" w:rsidRDefault="004B2C19" w:rsidP="004B2C19">
      <w:pPr>
        <w:rPr>
          <w:rFonts w:cs="Segoe UI"/>
          <w:szCs w:val="22"/>
        </w:rPr>
      </w:pPr>
    </w:p>
    <w:p w14:paraId="305F075B" w14:textId="2F32F46F" w:rsidR="004B2C19" w:rsidRPr="00530A20" w:rsidRDefault="004B2C19" w:rsidP="009E6215">
      <w:pPr>
        <w:rPr>
          <w:rFonts w:cs="Segoe UI"/>
          <w:szCs w:val="22"/>
        </w:rPr>
      </w:pPr>
      <w:r w:rsidRPr="00530A20">
        <w:rPr>
          <w:b/>
          <w:bCs/>
        </w:rPr>
        <w:t>Tüketici Markaları</w:t>
      </w:r>
      <w:r w:rsidRPr="00530A20">
        <w:t xml:space="preserve"> iş birimi </w:t>
      </w:r>
      <w:r w:rsidRPr="00530A20">
        <w:rPr>
          <w:b/>
          <w:bCs/>
        </w:rPr>
        <w:t>satışları</w:t>
      </w:r>
      <w:r w:rsidRPr="00530A20">
        <w:t xml:space="preserve"> nominal </w:t>
      </w:r>
      <w:r w:rsidR="008E006C">
        <w:t>olarak</w:t>
      </w:r>
      <w:r w:rsidRPr="00530A20">
        <w:t xml:space="preserve"> bir önceki yılın yüzde -0,9 altında seyrederek toplam 10,467 milyar Euro olarak gerçekleşti. Kur etkileri, satışları yüzde -1,8 oranında düşürdü. </w:t>
      </w:r>
      <w:r w:rsidR="008E6193">
        <w:t xml:space="preserve">Büyük oranda </w:t>
      </w:r>
      <w:r w:rsidR="008E6193" w:rsidRPr="008E6193">
        <w:t>R</w:t>
      </w:r>
      <w:r w:rsidR="008E6193">
        <w:t>usya'daki ticari faaliyetler</w:t>
      </w:r>
      <w:r w:rsidR="008E6193" w:rsidRPr="008E6193">
        <w:t>in</w:t>
      </w:r>
      <w:r w:rsidR="008E6193">
        <w:t xml:space="preserve"> Nisan 2023'te bırakılması</w:t>
      </w:r>
      <w:r w:rsidR="008E6193" w:rsidRPr="008E6193">
        <w:t xml:space="preserve"> </w:t>
      </w:r>
      <w:r w:rsidR="008E6193">
        <w:t>kaynaklı olarak, s</w:t>
      </w:r>
      <w:r w:rsidRPr="00530A20">
        <w:t>atın almalar/elden çıkarmalar satışlar üzerinde yüzde -2,0 oranında olumsuz bir etki yarat</w:t>
      </w:r>
      <w:r w:rsidR="008E6193">
        <w:t xml:space="preserve">tı. </w:t>
      </w:r>
      <w:r w:rsidRPr="00530A20">
        <w:t xml:space="preserve">Satışlarda yüzde 3,0 </w:t>
      </w:r>
      <w:r w:rsidR="008E6193">
        <w:t xml:space="preserve">oranında bir </w:t>
      </w:r>
      <w:r w:rsidRPr="00530A20">
        <w:rPr>
          <w:b/>
          <w:bCs/>
        </w:rPr>
        <w:t>organik</w:t>
      </w:r>
      <w:r w:rsidRPr="00530A20">
        <w:t xml:space="preserve"> artış yakalanmıştır. Bu satış büyümesi fiyatlardaki çok güçlü gelişmeden kaynaklanırken, miktarda esasen devam eden portföy optimizasyon </w:t>
      </w:r>
      <w:r w:rsidR="008E6193">
        <w:t>tedbirleri</w:t>
      </w:r>
      <w:r w:rsidRPr="00530A20">
        <w:t xml:space="preserve"> nedeniyle düşüş yaşanmıştır. </w:t>
      </w:r>
      <w:r w:rsidRPr="00530A20">
        <w:rPr>
          <w:b/>
          <w:bCs/>
        </w:rPr>
        <w:t>Düzeltilmiş faaliyet k</w:t>
      </w:r>
      <w:r w:rsidR="00827BD9">
        <w:rPr>
          <w:b/>
          <w:bCs/>
        </w:rPr>
        <w:t>a</w:t>
      </w:r>
      <w:r w:rsidRPr="00530A20">
        <w:rPr>
          <w:b/>
          <w:bCs/>
        </w:rPr>
        <w:t>rı</w:t>
      </w:r>
      <w:r w:rsidRPr="00530A20">
        <w:t xml:space="preserve"> 1,419 milyar Euro ile bir önceki yılın (1,115 milyar Euro) önemli ölçüde üzerinde gerçekleşmiştir. </w:t>
      </w:r>
      <w:r w:rsidRPr="00530A20">
        <w:rPr>
          <w:b/>
          <w:bCs/>
        </w:rPr>
        <w:t xml:space="preserve">Düzeltilmiş satış </w:t>
      </w:r>
      <w:r w:rsidR="00301A86">
        <w:rPr>
          <w:b/>
          <w:bCs/>
        </w:rPr>
        <w:t>kazancı</w:t>
      </w:r>
      <w:r w:rsidRPr="00530A20">
        <w:t xml:space="preserve"> bir önceki yıla kıyasla 300 baz puan gibi önemli bir artışla yüzde 13,6'ya ulaşmıştır.</w:t>
      </w:r>
    </w:p>
    <w:p w14:paraId="48A9E8BA" w14:textId="77777777" w:rsidR="004B2C19" w:rsidRPr="00530A20" w:rsidRDefault="004B2C19" w:rsidP="004B2C19">
      <w:pPr>
        <w:spacing w:after="120"/>
        <w:rPr>
          <w:rFonts w:cs="Segoe UI"/>
          <w:b/>
          <w:bCs/>
          <w:szCs w:val="22"/>
          <w:lang w:eastAsia="de-DE"/>
        </w:rPr>
      </w:pPr>
    </w:p>
    <w:p w14:paraId="19A4602E" w14:textId="7FDE7126" w:rsidR="004B2C19" w:rsidRPr="00530A20" w:rsidRDefault="00D04EC3" w:rsidP="004B2C19">
      <w:pPr>
        <w:spacing w:after="120"/>
        <w:rPr>
          <w:rFonts w:cs="Segoe UI"/>
          <w:szCs w:val="22"/>
        </w:rPr>
      </w:pPr>
      <w:r w:rsidRPr="00530A20">
        <w:rPr>
          <w:b/>
        </w:rPr>
        <w:t xml:space="preserve">Dönüşümde </w:t>
      </w:r>
      <w:r w:rsidR="001D6015">
        <w:rPr>
          <w:b/>
        </w:rPr>
        <w:t>B</w:t>
      </w:r>
      <w:r w:rsidRPr="00530A20">
        <w:rPr>
          <w:b/>
        </w:rPr>
        <w:t xml:space="preserve">üyük </w:t>
      </w:r>
      <w:r w:rsidR="001D6015">
        <w:rPr>
          <w:b/>
        </w:rPr>
        <w:t>İ</w:t>
      </w:r>
      <w:r w:rsidRPr="00530A20">
        <w:rPr>
          <w:b/>
        </w:rPr>
        <w:t>lerleme</w:t>
      </w:r>
    </w:p>
    <w:p w14:paraId="6BC02054" w14:textId="3AAB83BD" w:rsidR="00D04EC3" w:rsidRDefault="00D04EC3" w:rsidP="00D04EC3">
      <w:r w:rsidRPr="00530A20">
        <w:t>Geçtiğimiz birkaç yıllık dönemde Henkel birçok alanda köklü bir değişim geçirmiş ve amaca yönelik büyüme</w:t>
      </w:r>
      <w:r w:rsidR="001D6015">
        <w:t>ye dair</w:t>
      </w:r>
      <w:r w:rsidRPr="00530A20">
        <w:t xml:space="preserve"> stratejik gündemini tutarlı bir şekilde uygulamıştır. Uzun vadeli ve sürdürülebilir başarının başlıca itici güçleri, sürekli dönüşüme yönelik irade ve kararlılıktır. Amaç, sonuçlarda sürdürülebilir bir iyileşme sağlamaktır. </w:t>
      </w:r>
      <w:r w:rsidR="007B3FC8" w:rsidRPr="007B3FC8">
        <w:t>Bu hedefe ulaşmak için şirket sürekli olarak kendini yenilemeli ve gelişmelidir. Bu dönüşüm tüm alanlarda sürmektedir.</w:t>
      </w:r>
    </w:p>
    <w:p w14:paraId="02E457D2" w14:textId="77777777" w:rsidR="0014306A" w:rsidRDefault="0014306A" w:rsidP="00D04EC3"/>
    <w:p w14:paraId="492CB51F" w14:textId="77777777" w:rsidR="0014306A" w:rsidRDefault="0014306A" w:rsidP="00D04EC3"/>
    <w:p w14:paraId="0A5F76D7" w14:textId="77777777" w:rsidR="0014306A" w:rsidRDefault="0014306A" w:rsidP="00D04EC3"/>
    <w:p w14:paraId="50A43110" w14:textId="77777777" w:rsidR="0014306A" w:rsidRPr="00530A20" w:rsidRDefault="0014306A" w:rsidP="00D04EC3">
      <w:pPr>
        <w:rPr>
          <w:rFonts w:cs="Segoe UI"/>
          <w:bCs/>
          <w:szCs w:val="22"/>
        </w:rPr>
      </w:pPr>
    </w:p>
    <w:p w14:paraId="35C9DD3C" w14:textId="77777777" w:rsidR="00C8634B" w:rsidRPr="00530A20" w:rsidRDefault="00C8634B" w:rsidP="00D04EC3">
      <w:pPr>
        <w:rPr>
          <w:rFonts w:cs="Segoe UI"/>
          <w:bCs/>
          <w:szCs w:val="22"/>
        </w:rPr>
      </w:pPr>
    </w:p>
    <w:p w14:paraId="04B987EC" w14:textId="606CDDC5" w:rsidR="004B2C19" w:rsidRDefault="004B2C19" w:rsidP="003E137C">
      <w:pPr>
        <w:spacing w:line="240" w:lineRule="auto"/>
        <w:jc w:val="left"/>
        <w:rPr>
          <w:b/>
        </w:rPr>
      </w:pPr>
      <w:r w:rsidRPr="00530A20">
        <w:rPr>
          <w:b/>
        </w:rPr>
        <w:lastRenderedPageBreak/>
        <w:t>Tüketici Markaları: Birleşme planlandığından daha hızlı ilerliyor</w:t>
      </w:r>
    </w:p>
    <w:p w14:paraId="4EA4EBDC" w14:textId="77777777" w:rsidR="0014306A" w:rsidRPr="003E137C" w:rsidRDefault="0014306A" w:rsidP="003E137C">
      <w:pPr>
        <w:spacing w:line="240" w:lineRule="auto"/>
        <w:jc w:val="left"/>
        <w:rPr>
          <w:rFonts w:cs="Segoe UI"/>
          <w:b/>
          <w:bCs/>
          <w:i/>
          <w:iCs/>
          <w:szCs w:val="22"/>
        </w:rPr>
      </w:pPr>
    </w:p>
    <w:p w14:paraId="5A238EE7" w14:textId="56FF8F20" w:rsidR="00D407F1" w:rsidRPr="00530A20" w:rsidRDefault="00641BDB" w:rsidP="00D407F1">
      <w:pPr>
        <w:rPr>
          <w:rFonts w:cs="Segoe UI"/>
          <w:szCs w:val="22"/>
        </w:rPr>
      </w:pPr>
      <w:r w:rsidRPr="00641BDB">
        <w:t>Henkel'in yakın tarihindeki en önemli değişikliklerden biri</w:t>
      </w:r>
      <w:r w:rsidR="00D407F1" w:rsidRPr="00530A20">
        <w:t xml:space="preserve">, </w:t>
      </w:r>
      <w:r w:rsidR="00B2494E">
        <w:t>tüketici ürünleri iş birimleri</w:t>
      </w:r>
      <w:r w:rsidR="00771E71">
        <w:t>nin</w:t>
      </w:r>
      <w:r w:rsidR="00162B5D">
        <w:t xml:space="preserve"> </w:t>
      </w:r>
      <w:r w:rsidR="00D407F1" w:rsidRPr="00530A20">
        <w:rPr>
          <w:b/>
          <w:bCs/>
        </w:rPr>
        <w:t>Tüketici Markaları</w:t>
      </w:r>
      <w:r w:rsidR="00D407F1" w:rsidRPr="00530A20">
        <w:t xml:space="preserve"> iş birimi </w:t>
      </w:r>
      <w:r w:rsidR="00B2494E">
        <w:t xml:space="preserve">adı </w:t>
      </w:r>
      <w:r w:rsidR="00D407F1" w:rsidRPr="00530A20">
        <w:t xml:space="preserve">altında birleştirilmesi yönünde 2022'nin başında duyurulan düzenlemedir. </w:t>
      </w:r>
      <w:r w:rsidR="00B2494E">
        <w:t>Yeni i</w:t>
      </w:r>
      <w:r w:rsidR="00D407F1" w:rsidRPr="00530A20">
        <w:t xml:space="preserve">ş birimi 2023 başından bu yana yeni yapısıyla faaliyet göstermekte olup, </w:t>
      </w:r>
      <w:r w:rsidR="008E7F3A">
        <w:t>o</w:t>
      </w:r>
      <w:r w:rsidR="008E7F3A" w:rsidRPr="008E7F3A">
        <w:t>lumlu gelişmeler hızla gözlemlenmiştir.</w:t>
      </w:r>
      <w:r w:rsidR="008E7F3A">
        <w:t xml:space="preserve"> </w:t>
      </w:r>
      <w:r w:rsidR="00D407F1" w:rsidRPr="00530A20">
        <w:t xml:space="preserve">Geçtiğimiz 2024 mali yılında, daha önce birbirinden ayrı faaliyet gösteren </w:t>
      </w:r>
      <w:r w:rsidR="00B2494E">
        <w:t>tüketici ürünleri iş birimlerini</w:t>
      </w:r>
      <w:r w:rsidR="00D407F1" w:rsidRPr="00530A20">
        <w:t xml:space="preserve"> tek bir platformda birleştirme kararı</w:t>
      </w:r>
      <w:r w:rsidR="00B2494E">
        <w:t>nın</w:t>
      </w:r>
      <w:r w:rsidR="00D407F1" w:rsidRPr="00530A20">
        <w:t xml:space="preserve"> doğru</w:t>
      </w:r>
      <w:r w:rsidR="00B2494E">
        <w:t>luğu</w:t>
      </w:r>
      <w:r w:rsidR="00D407F1" w:rsidRPr="00530A20">
        <w:t xml:space="preserve"> açıkça ortaya çık</w:t>
      </w:r>
      <w:r w:rsidR="00B2494E">
        <w:t>mıştır.</w:t>
      </w:r>
    </w:p>
    <w:p w14:paraId="7F6AF64A" w14:textId="77777777" w:rsidR="00D407F1" w:rsidRPr="00530A20" w:rsidRDefault="00D407F1" w:rsidP="00D407F1">
      <w:pPr>
        <w:rPr>
          <w:rFonts w:cs="Segoe UI"/>
          <w:szCs w:val="22"/>
          <w:lang w:eastAsia="de-DE"/>
        </w:rPr>
      </w:pPr>
    </w:p>
    <w:p w14:paraId="16385FC0" w14:textId="588951B1" w:rsidR="002F4864" w:rsidRPr="00530A20" w:rsidRDefault="00D407F1" w:rsidP="00D407F1">
      <w:r w:rsidRPr="00530A20">
        <w:t>Tüketici Markaları iş biriminin entegrasyonu</w:t>
      </w:r>
      <w:r w:rsidR="00B2494E">
        <w:t>;</w:t>
      </w:r>
      <w:r w:rsidRPr="00530A20">
        <w:t xml:space="preserve"> ekip entegrasyonu, portföyün yeniden yapılandırılması ve sinerji</w:t>
      </w:r>
      <w:r w:rsidR="00B2494E">
        <w:t xml:space="preserve"> kazanımı</w:t>
      </w:r>
      <w:r w:rsidR="00AE25F6">
        <w:t xml:space="preserve"> </w:t>
      </w:r>
      <w:r w:rsidR="00B2494E">
        <w:t>açı</w:t>
      </w:r>
      <w:r w:rsidR="00315D40">
        <w:t>sından</w:t>
      </w:r>
      <w:r w:rsidRPr="00530A20">
        <w:t xml:space="preserve"> başlangıçta planlanandan çok daha hızlı ilerlemiştir. Entegrasyonun, öncelikle satış ve pazarlama ekiplerinin birleştirilmesini içeren ilk aşaması 2024 yılında tamamlandı. 2023'ten bu yana devam eden ikinci aşamada, </w:t>
      </w:r>
      <w:r w:rsidR="002F4864" w:rsidRPr="002F4864">
        <w:t xml:space="preserve">üretim </w:t>
      </w:r>
      <w:r w:rsidR="00D67388">
        <w:t xml:space="preserve">ağları </w:t>
      </w:r>
      <w:r w:rsidR="002F4864" w:rsidRPr="002F4864">
        <w:t>ve tedarik zincirindeki iyileştirmelerle sağlanacak maliyet tasarruflarının 2025 yılı sonuna kadar bütünüyle gerçekleşmesi beklenmektedir.</w:t>
      </w:r>
    </w:p>
    <w:p w14:paraId="67F27473" w14:textId="77777777" w:rsidR="00D407F1" w:rsidRPr="00530A20" w:rsidRDefault="00D407F1" w:rsidP="00D407F1"/>
    <w:p w14:paraId="15E51F02" w14:textId="26BEB0DC" w:rsidR="007E4FB6" w:rsidRPr="00530A20" w:rsidRDefault="007E4FB6" w:rsidP="007E4FB6">
      <w:pPr>
        <w:rPr>
          <w:rFonts w:cs="Segoe UI"/>
          <w:szCs w:val="22"/>
        </w:rPr>
      </w:pPr>
      <w:r w:rsidRPr="00530A20">
        <w:t>Bir yandan da Tüketici Markaları iş birimi</w:t>
      </w:r>
      <w:r w:rsidR="006F6125">
        <w:t>,</w:t>
      </w:r>
      <w:r w:rsidRPr="00530A20">
        <w:t xml:space="preserve"> güçlü markalar</w:t>
      </w:r>
      <w:r w:rsidR="006F6125">
        <w:t>ın</w:t>
      </w:r>
      <w:r w:rsidRPr="00530A20">
        <w:t xml:space="preserve"> ve yüksek brüt k</w:t>
      </w:r>
      <w:r w:rsidR="00827BD9">
        <w:t>a</w:t>
      </w:r>
      <w:r w:rsidRPr="00530A20">
        <w:t>r marjına sahip işle</w:t>
      </w:r>
      <w:r w:rsidR="00810423">
        <w:t>rin</w:t>
      </w:r>
      <w:r w:rsidRPr="00530A20">
        <w:t xml:space="preserve"> yanı sıra</w:t>
      </w:r>
      <w:r w:rsidR="006F6125">
        <w:t>,</w:t>
      </w:r>
      <w:r w:rsidRPr="00530A20">
        <w:t xml:space="preserve"> pazarlarda ve kategorilerde lider konumlara </w:t>
      </w:r>
      <w:r w:rsidR="006F6125">
        <w:t xml:space="preserve">da sürekli olarak </w:t>
      </w:r>
      <w:r w:rsidRPr="00530A20">
        <w:t>odaklanmaktadır. Güçlü büyümeye ve yüksek marjlı marka ve işl</w:t>
      </w:r>
      <w:r w:rsidR="00810423">
        <w:t>ere</w:t>
      </w:r>
      <w:r w:rsidRPr="00530A20">
        <w:t xml:space="preserve"> odaklanmanın olumlu etkileri </w:t>
      </w:r>
      <w:r w:rsidR="00810423">
        <w:t>gözlen</w:t>
      </w:r>
      <w:r w:rsidRPr="00530A20">
        <w:t>meye başlandı: Tüketici Markaları içinde 2024'teki gelirlerin yarısından fazlasın</w:t>
      </w:r>
      <w:r w:rsidR="00810423">
        <w:t>ı sağlayan</w:t>
      </w:r>
      <w:r w:rsidRPr="00530A20">
        <w:t xml:space="preserve"> ilk on marka, pozitif </w:t>
      </w:r>
      <w:r w:rsidR="00810423">
        <w:t xml:space="preserve">yönde </w:t>
      </w:r>
      <w:r w:rsidRPr="00530A20">
        <w:t>miktar büyümesinin yanı sıra çok güçlü</w:t>
      </w:r>
      <w:r w:rsidR="00810423">
        <w:t xml:space="preserve"> bir</w:t>
      </w:r>
      <w:r w:rsidRPr="00530A20">
        <w:t xml:space="preserve"> organik büyüme elde etti. </w:t>
      </w:r>
    </w:p>
    <w:p w14:paraId="52EA2509" w14:textId="1E8866CC" w:rsidR="004B2C19" w:rsidRPr="00530A20" w:rsidRDefault="004B2C19" w:rsidP="007E4FB6">
      <w:pPr>
        <w:rPr>
          <w:rFonts w:cs="Segoe UI"/>
          <w:szCs w:val="22"/>
          <w:lang w:eastAsia="de-DE"/>
        </w:rPr>
      </w:pPr>
    </w:p>
    <w:p w14:paraId="7B9B9917" w14:textId="37726507" w:rsidR="004B2C19" w:rsidRPr="00530A20" w:rsidRDefault="004B2C19" w:rsidP="004B2C19">
      <w:pPr>
        <w:spacing w:after="120"/>
        <w:rPr>
          <w:rFonts w:cs="Segoe UI"/>
          <w:b/>
          <w:bCs/>
          <w:szCs w:val="22"/>
        </w:rPr>
      </w:pPr>
      <w:r w:rsidRPr="00530A20">
        <w:rPr>
          <w:b/>
        </w:rPr>
        <w:t xml:space="preserve">Yapıştırıcı Teknolojileri </w:t>
      </w:r>
      <w:r w:rsidR="00810423">
        <w:rPr>
          <w:b/>
        </w:rPr>
        <w:t>İ</w:t>
      </w:r>
      <w:r w:rsidRPr="00530A20">
        <w:rPr>
          <w:b/>
        </w:rPr>
        <w:t xml:space="preserve">ş </w:t>
      </w:r>
      <w:r w:rsidR="00810423">
        <w:rPr>
          <w:b/>
        </w:rPr>
        <w:t>B</w:t>
      </w:r>
      <w:r w:rsidRPr="00530A20">
        <w:rPr>
          <w:b/>
        </w:rPr>
        <w:t xml:space="preserve">irimindeki </w:t>
      </w:r>
      <w:r w:rsidR="00810423">
        <w:rPr>
          <w:b/>
        </w:rPr>
        <w:t>G</w:t>
      </w:r>
      <w:r w:rsidRPr="00530A20">
        <w:rPr>
          <w:b/>
        </w:rPr>
        <w:t xml:space="preserve">elişme </w:t>
      </w:r>
      <w:r w:rsidR="00810423">
        <w:rPr>
          <w:b/>
        </w:rPr>
        <w:t>D</w:t>
      </w:r>
      <w:r w:rsidRPr="00530A20">
        <w:rPr>
          <w:b/>
        </w:rPr>
        <w:t xml:space="preserve">evam </w:t>
      </w:r>
      <w:r w:rsidR="00810423">
        <w:rPr>
          <w:b/>
        </w:rPr>
        <w:t>E</w:t>
      </w:r>
      <w:r w:rsidRPr="00530A20">
        <w:rPr>
          <w:b/>
        </w:rPr>
        <w:t>diyor</w:t>
      </w:r>
    </w:p>
    <w:p w14:paraId="59CC5833" w14:textId="68501AA2" w:rsidR="007E4FB6" w:rsidRPr="00530A20" w:rsidRDefault="007E4FB6" w:rsidP="007E4FB6">
      <w:pPr>
        <w:rPr>
          <w:rFonts w:cs="Segoe UI"/>
          <w:szCs w:val="22"/>
        </w:rPr>
      </w:pPr>
      <w:r w:rsidRPr="00530A20">
        <w:rPr>
          <w:b/>
          <w:bCs/>
        </w:rPr>
        <w:t>Yapıştırıcı Teknolojileri</w:t>
      </w:r>
      <w:r w:rsidRPr="00530A20">
        <w:t xml:space="preserve"> iş birimi de değerlendirmeye konu yıl boyunca </w:t>
      </w:r>
      <w:r w:rsidR="009A5526" w:rsidRPr="009A5526">
        <w:t>genel olarak iyi bir iş performansı sergileyerek önemli ilerleme kaydetmiştir.</w:t>
      </w:r>
      <w:r w:rsidR="009A5526">
        <w:t xml:space="preserve"> </w:t>
      </w:r>
      <w:r w:rsidRPr="00530A20">
        <w:t xml:space="preserve">Bu iş birimi, 800'den fazla </w:t>
      </w:r>
      <w:r w:rsidR="00720C19">
        <w:t>endüstri</w:t>
      </w:r>
      <w:r w:rsidRPr="00530A20">
        <w:t xml:space="preserve"> segmentinde dünya çapında 100.000'den fazla müşteriye yaklaşık 20.000 ürün ve çözüm sunmaktadır.</w:t>
      </w:r>
      <w:r w:rsidR="00EF061E" w:rsidRPr="00EF061E">
        <w:t xml:space="preserve"> </w:t>
      </w:r>
      <w:r w:rsidR="00EF061E" w:rsidRPr="00EF061E">
        <w:t>Bu geniş ve kapsamlı portföy, küresel ölçekteki faaliyetler ve müşteri odaklı çözümler geliştirme uzmanlığı ile birleştiğinde Henkel’i pazarda benzersiz kılmaktadır</w:t>
      </w:r>
      <w:r w:rsidRPr="00530A20">
        <w:t xml:space="preserve">. Mobilite ve Elektronik, Ambalajlama ve Tüketici Ürünleri ve Nalburiye, İnşaat ve Profesyonel olmak üzere üç iş alanı ile Yapıştırıcı Teknolojileri iş birimi gelecekteki önemli trendlere odaklanmaktadır. </w:t>
      </w:r>
      <w:r w:rsidR="00D12B87" w:rsidRPr="00D12B87">
        <w:t>Bu trendler arasında e-mobilite ve bağlantılılık, yani sistemler arası artan etkileşim ve sürdürülebilirlik başı çekmektedir.</w:t>
      </w:r>
    </w:p>
    <w:p w14:paraId="0372FCC6" w14:textId="77777777" w:rsidR="007E4FB6" w:rsidRPr="00530A20" w:rsidRDefault="007E4FB6" w:rsidP="007E4FB6">
      <w:pPr>
        <w:rPr>
          <w:rFonts w:cs="Segoe UI"/>
          <w:szCs w:val="22"/>
          <w:lang w:eastAsia="de-DE"/>
        </w:rPr>
      </w:pPr>
    </w:p>
    <w:p w14:paraId="770C1800" w14:textId="46CD381C" w:rsidR="007E4FB6" w:rsidRPr="00530A20" w:rsidRDefault="007E4FB6" w:rsidP="007E4FB6">
      <w:pPr>
        <w:rPr>
          <w:rFonts w:cs="Segoe UI"/>
          <w:szCs w:val="22"/>
        </w:rPr>
      </w:pPr>
      <w:r w:rsidRPr="00530A20">
        <w:t xml:space="preserve">Bir yandan </w:t>
      </w:r>
      <w:r w:rsidR="00E971A3">
        <w:t xml:space="preserve">kısmi olarak </w:t>
      </w:r>
      <w:r w:rsidRPr="00530A20">
        <w:t xml:space="preserve">yeni liderlik ekipleriyle birlikte iş alanlarının modernize edilmiş yapısı, bir yandan da yarının trendlerine tutarlı bir şekilde odaklanılması, </w:t>
      </w:r>
      <w:r w:rsidR="00524A45" w:rsidRPr="00524A45">
        <w:t>zorlu geçen 2024 yılında iş biriminin güçlü gelişimini desteklemiştir.</w:t>
      </w:r>
    </w:p>
    <w:p w14:paraId="21817578" w14:textId="77777777" w:rsidR="0014306A" w:rsidRDefault="0014306A" w:rsidP="007E4FB6">
      <w:pPr>
        <w:rPr>
          <w:rFonts w:cs="Segoe UI"/>
          <w:szCs w:val="22"/>
          <w:lang w:eastAsia="de-DE"/>
        </w:rPr>
      </w:pPr>
    </w:p>
    <w:p w14:paraId="61CDBC32" w14:textId="77777777" w:rsidR="005A76C5" w:rsidRDefault="005A76C5" w:rsidP="007E4FB6">
      <w:pPr>
        <w:rPr>
          <w:rFonts w:cs="Segoe UI"/>
          <w:szCs w:val="22"/>
          <w:lang w:eastAsia="de-DE"/>
        </w:rPr>
      </w:pPr>
    </w:p>
    <w:p w14:paraId="69F21F3B" w14:textId="77777777" w:rsidR="005A76C5" w:rsidRDefault="005A76C5" w:rsidP="007E4FB6">
      <w:pPr>
        <w:rPr>
          <w:rFonts w:cs="Segoe UI"/>
          <w:szCs w:val="22"/>
          <w:lang w:eastAsia="de-DE"/>
        </w:rPr>
      </w:pPr>
    </w:p>
    <w:p w14:paraId="4CB0551E" w14:textId="77777777" w:rsidR="009800C9" w:rsidRPr="00530A20" w:rsidRDefault="009800C9" w:rsidP="007E4FB6">
      <w:pPr>
        <w:rPr>
          <w:rFonts w:cs="Segoe UI"/>
          <w:szCs w:val="22"/>
          <w:lang w:eastAsia="de-DE"/>
        </w:rPr>
      </w:pPr>
    </w:p>
    <w:p w14:paraId="06B22237" w14:textId="77777777" w:rsidR="004B2C19" w:rsidRPr="00530A20" w:rsidRDefault="004B2C19" w:rsidP="004B2C19">
      <w:pPr>
        <w:spacing w:after="120"/>
        <w:rPr>
          <w:rFonts w:cs="Segoe UI"/>
          <w:b/>
          <w:bCs/>
          <w:szCs w:val="22"/>
        </w:rPr>
      </w:pPr>
      <w:r w:rsidRPr="00530A20">
        <w:rPr>
          <w:b/>
        </w:rPr>
        <w:lastRenderedPageBreak/>
        <w:t>Tüm Stratejik Önceliklerde Daha Fazla İlerleme Sağlandı</w:t>
      </w:r>
    </w:p>
    <w:p w14:paraId="309917A0" w14:textId="06809F5E" w:rsidR="004B2C19" w:rsidRDefault="00B0701C" w:rsidP="004B2C19">
      <w:pPr>
        <w:autoSpaceDE w:val="0"/>
        <w:autoSpaceDN w:val="0"/>
        <w:adjustRightInd w:val="0"/>
      </w:pPr>
      <w:r w:rsidRPr="00530A20">
        <w:t xml:space="preserve">Zorlu bir makroekonomik ve jeopolitik ortamda bile Henkel, </w:t>
      </w:r>
      <w:r w:rsidR="00801CCB" w:rsidRPr="00801CCB">
        <w:t>geçtiğimiz mali yılda büyüme stratejisini istikrarlı bir şekilde uygulamayı sürdürdü</w:t>
      </w:r>
      <w:r w:rsidR="00801CCB">
        <w:t xml:space="preserve"> </w:t>
      </w:r>
      <w:r w:rsidRPr="00530A20">
        <w:t xml:space="preserve">ve tüm alanlarda önemli ilerlemeler kaydetti. Şirket, iş ve marka portföyünü daha da geliştirdi, inovasyon, sürdürülebilirlik ve dijitalleşme alanlarında rekabet gücünü artırdı, </w:t>
      </w:r>
      <w:r w:rsidR="0075380D" w:rsidRPr="0075380D">
        <w:t>iş modellerini optimize etti ve kurumsal kültürünü güçlendirdi.</w:t>
      </w:r>
    </w:p>
    <w:p w14:paraId="6D0B3354" w14:textId="77777777" w:rsidR="0075380D" w:rsidRPr="00530A20" w:rsidRDefault="0075380D" w:rsidP="004B2C19">
      <w:pPr>
        <w:autoSpaceDE w:val="0"/>
        <w:autoSpaceDN w:val="0"/>
        <w:adjustRightInd w:val="0"/>
        <w:rPr>
          <w:rFonts w:cs="Segoe UI"/>
          <w:bCs/>
          <w:szCs w:val="22"/>
        </w:rPr>
      </w:pPr>
    </w:p>
    <w:p w14:paraId="69AC24CE" w14:textId="3F97015A" w:rsidR="008F3112" w:rsidRPr="00530A20" w:rsidRDefault="004B2C19" w:rsidP="004B2C19">
      <w:pPr>
        <w:autoSpaceDE w:val="0"/>
        <w:autoSpaceDN w:val="0"/>
        <w:adjustRightInd w:val="0"/>
        <w:rPr>
          <w:rFonts w:cs="Segoe UI"/>
          <w:bCs/>
          <w:szCs w:val="22"/>
        </w:rPr>
      </w:pPr>
      <w:r w:rsidRPr="00530A20">
        <w:rPr>
          <w:b/>
          <w:bCs/>
        </w:rPr>
        <w:t>Aktif portföy yönetimi</w:t>
      </w:r>
      <w:r w:rsidRPr="00530A20">
        <w:t xml:space="preserve"> kapsamında Henkel, bir yandan bazı faaliyetlerini durdurarak veya elden çıkararak, bir yandan da yeni satın almalarla portföyünü daha da geliştirmiştir. Bu yılın başlarında Kuzey Amerika'daki perakende markaları iş kolunun satılmasıyla Henkel, portföy</w:t>
      </w:r>
      <w:r w:rsidR="00E86018">
        <w:t xml:space="preserve"> tedbirlerini tamamladı. Bu tedbirler</w:t>
      </w:r>
      <w:r w:rsidRPr="00530A20">
        <w:t xml:space="preserve"> geçmişte ayrı </w:t>
      </w:r>
      <w:r w:rsidR="00E86018">
        <w:t>olan</w:t>
      </w:r>
      <w:r w:rsidRPr="00530A20">
        <w:t xml:space="preserve"> tüketici</w:t>
      </w:r>
      <w:r w:rsidR="00E86018">
        <w:t xml:space="preserve"> iş birimlerinin</w:t>
      </w:r>
      <w:r w:rsidRPr="00530A20">
        <w:t xml:space="preserve"> </w:t>
      </w:r>
      <w:r w:rsidR="00E86018">
        <w:t>birleşmeye başlamasıyla duyurulmuştu.</w:t>
      </w:r>
      <w:r w:rsidRPr="00530A20">
        <w:t xml:space="preserve"> </w:t>
      </w:r>
      <w:r w:rsidR="00024DCA" w:rsidRPr="00024DCA">
        <w:t>Perakende Markaları iş kolunun, sinerji yaratma potansiyeli ve entegre Tüketici Markaları platformuyla stratejik uyumu sınırlı olduğundan</w:t>
      </w:r>
      <w:r w:rsidR="00024DCA">
        <w:t xml:space="preserve"> </w:t>
      </w:r>
      <w:r w:rsidRPr="00530A20">
        <w:t xml:space="preserve">Tüketici Markaları iş biriminin ana ekseni dışında kalan bir faaliyet olarak tanımlanmıştır. </w:t>
      </w:r>
      <w:r w:rsidR="00D966E8" w:rsidRPr="00D966E8">
        <w:t>Bu değişiklikle birlikte</w:t>
      </w:r>
      <w:r w:rsidR="00BB2CFE">
        <w:t>,</w:t>
      </w:r>
      <w:r w:rsidRPr="00530A20">
        <w:t xml:space="preserve"> Henkel'in 2022 yılının başından bu yana elden çıkardığı </w:t>
      </w:r>
      <w:r w:rsidR="00BB2CFE">
        <w:t>ya da durdurduğu</w:t>
      </w:r>
      <w:r w:rsidRPr="00530A20">
        <w:t xml:space="preserve"> marka ve </w:t>
      </w:r>
      <w:r w:rsidR="00BB2CFE">
        <w:t>faaliyetlerin</w:t>
      </w:r>
      <w:r w:rsidRPr="00530A20">
        <w:t xml:space="preserve"> toplam </w:t>
      </w:r>
      <w:r w:rsidR="00677854">
        <w:t xml:space="preserve">satış </w:t>
      </w:r>
      <w:r w:rsidRPr="00530A20">
        <w:t>tutarı 1 milyar Euro</w:t>
      </w:r>
      <w:r w:rsidR="00BB2CFE">
        <w:t>’</w:t>
      </w:r>
      <w:r w:rsidRPr="00530A20">
        <w:t>yu aşmıştır.</w:t>
      </w:r>
    </w:p>
    <w:p w14:paraId="67B7D999" w14:textId="77777777" w:rsidR="008F3112" w:rsidRPr="00530A20" w:rsidRDefault="008F3112" w:rsidP="004B2C19">
      <w:pPr>
        <w:autoSpaceDE w:val="0"/>
        <w:autoSpaceDN w:val="0"/>
        <w:adjustRightInd w:val="0"/>
        <w:rPr>
          <w:rFonts w:cs="Segoe UI"/>
          <w:bCs/>
          <w:szCs w:val="22"/>
        </w:rPr>
      </w:pPr>
    </w:p>
    <w:p w14:paraId="7FB92549" w14:textId="0D47F9A4" w:rsidR="004248C3" w:rsidRPr="00530A20" w:rsidRDefault="004248C3" w:rsidP="004248C3">
      <w:pPr>
        <w:autoSpaceDE w:val="0"/>
        <w:autoSpaceDN w:val="0"/>
        <w:adjustRightInd w:val="0"/>
        <w:rPr>
          <w:rFonts w:cs="Segoe UI"/>
          <w:bCs/>
          <w:szCs w:val="22"/>
        </w:rPr>
      </w:pPr>
      <w:r w:rsidRPr="00530A20">
        <w:t xml:space="preserve">Aktif portföy yönetimi, portföyün </w:t>
      </w:r>
      <w:r w:rsidRPr="00530A20">
        <w:rPr>
          <w:b/>
          <w:bCs/>
        </w:rPr>
        <w:t>satın almalar</w:t>
      </w:r>
      <w:r w:rsidRPr="00530A20">
        <w:t xml:space="preserve"> yoluyla güçlendirilmesini ve genişletilmesini de kaps</w:t>
      </w:r>
      <w:r w:rsidR="00483906">
        <w:t>amaktadır:</w:t>
      </w:r>
      <w:r w:rsidRPr="00530A20">
        <w:t xml:space="preserve"> 2024 yılının başlarında Henkel, Çin'in tanınmış saç bakım markası Vidal Sassoon'u satın aldı. Bu satın alma, perakende sektöründeki premium segmenti de kapsamak suretiyle Tüketici Markaları iş biriminin Çin'deki </w:t>
      </w:r>
      <w:r w:rsidR="00483906">
        <w:t xml:space="preserve">yerel </w:t>
      </w:r>
      <w:r w:rsidRPr="00530A20">
        <w:t>portföyünü mükemmel bir şekilde tamamlıyor. Vidal Sassoon marka portföyü şampuanlar ve saç kremleri ile premium saç bakım segmentine hizmet etmenin yanında</w:t>
      </w:r>
      <w:r w:rsidR="00483906">
        <w:t>,</w:t>
      </w:r>
      <w:r w:rsidRPr="00530A20">
        <w:t xml:space="preserve"> şekillendirme ve saç bakım ürünlerini de kapsamaktadır.</w:t>
      </w:r>
    </w:p>
    <w:p w14:paraId="157738F4" w14:textId="77777777" w:rsidR="004248C3" w:rsidRPr="00530A20" w:rsidRDefault="004248C3" w:rsidP="004248C3">
      <w:pPr>
        <w:autoSpaceDE w:val="0"/>
        <w:autoSpaceDN w:val="0"/>
        <w:adjustRightInd w:val="0"/>
        <w:rPr>
          <w:rFonts w:cs="Segoe UI"/>
          <w:bCs/>
          <w:szCs w:val="22"/>
        </w:rPr>
      </w:pPr>
    </w:p>
    <w:p w14:paraId="54F7BEA9" w14:textId="29A67587" w:rsidR="004248C3" w:rsidRPr="00530A20" w:rsidRDefault="004248C3" w:rsidP="004248C3">
      <w:pPr>
        <w:autoSpaceDE w:val="0"/>
        <w:autoSpaceDN w:val="0"/>
        <w:adjustRightInd w:val="0"/>
        <w:rPr>
          <w:rFonts w:cs="Segoe UI"/>
          <w:bCs/>
          <w:szCs w:val="22"/>
        </w:rPr>
      </w:pPr>
      <w:r w:rsidRPr="00530A20">
        <w:t>Henkel bir yandan da ABD merkezli Seal for Life Industries'i satın alarak Yapıştırıcı Teknolojileri iş birimindeki portföyünü daha da genişlet</w:t>
      </w:r>
      <w:r w:rsidR="00817B5C">
        <w:t>ti</w:t>
      </w:r>
      <w:r w:rsidRPr="00530A20">
        <w:t>. Bu şirket yenilenebilir enerji, gaz ve su gibi sektörlerde altyapıya yönelik koruyucu kaplamalar ve sızdırmazlık çözümleri sunmaktadır. Bu adım, yine altyapı bakım ve onarım çözümleri konusunda uzmanlaşmış bir şirket olan Critica Infrastructure'ın 2023'te satın alınmasını tamamlayıcı nitelikte</w:t>
      </w:r>
      <w:r w:rsidR="00DE2097">
        <w:t>dir</w:t>
      </w:r>
      <w:r w:rsidRPr="00530A20">
        <w:t>. Bu satın almalarla</w:t>
      </w:r>
      <w:r w:rsidR="00DE2097">
        <w:t xml:space="preserve"> Henkel</w:t>
      </w:r>
      <w:r w:rsidRPr="00530A20">
        <w:t xml:space="preserve">, cazip ve gelecek vaat eden bakım, onarım ve </w:t>
      </w:r>
      <w:r w:rsidR="00DE2097">
        <w:t>tamir alanlarındaki</w:t>
      </w:r>
      <w:r w:rsidRPr="00530A20">
        <w:t xml:space="preserve"> mevcut portföyü</w:t>
      </w:r>
      <w:r w:rsidR="00DE2097">
        <w:t>nü</w:t>
      </w:r>
      <w:r w:rsidRPr="00530A20">
        <w:t xml:space="preserve"> genişletti ve ileride daha </w:t>
      </w:r>
      <w:r w:rsidR="00DE2097">
        <w:t>fazla</w:t>
      </w:r>
      <w:r w:rsidRPr="00530A20">
        <w:t xml:space="preserve"> büyümek için bir temel oluşturdu.</w:t>
      </w:r>
    </w:p>
    <w:p w14:paraId="484CFB14" w14:textId="77777777" w:rsidR="000E79CD" w:rsidRPr="00530A20" w:rsidRDefault="000E79CD" w:rsidP="004248C3">
      <w:pPr>
        <w:autoSpaceDE w:val="0"/>
        <w:autoSpaceDN w:val="0"/>
        <w:adjustRightInd w:val="0"/>
        <w:rPr>
          <w:rFonts w:cs="Segoe UI"/>
          <w:bCs/>
          <w:szCs w:val="22"/>
        </w:rPr>
      </w:pPr>
    </w:p>
    <w:p w14:paraId="6DF74260" w14:textId="71F794C1" w:rsidR="00C8634B" w:rsidRDefault="004B2C19" w:rsidP="004248C3">
      <w:r w:rsidRPr="00530A20">
        <w:t xml:space="preserve">Henkel, 2024 yılında da önemli trendlere hitap eden ve müşteriler ve tüketiciler için değer yaratan çok sayıda </w:t>
      </w:r>
      <w:r w:rsidRPr="00530A20">
        <w:rPr>
          <w:b/>
          <w:bCs/>
        </w:rPr>
        <w:t>inovasyonu</w:t>
      </w:r>
      <w:r w:rsidRPr="00530A20">
        <w:t xml:space="preserve"> piyasaya sundu. Yapıştırıcı Teknolojileri iş birimi için geçtiğimiz yıl genel merkezde, iş biriminin en büyük </w:t>
      </w:r>
      <w:r w:rsidR="005D491D">
        <w:t>global</w:t>
      </w:r>
      <w:r w:rsidRPr="00530A20">
        <w:t xml:space="preserve"> inovasyon merkezi olan Inspiration Center Düsseldorf'a doğrudan bağlı, son teknolojiye sahip bir batarya test merkezi açıldı. </w:t>
      </w:r>
    </w:p>
    <w:p w14:paraId="276F5233" w14:textId="77777777" w:rsidR="00322004" w:rsidRDefault="00322004" w:rsidP="004248C3"/>
    <w:p w14:paraId="4E188801" w14:textId="77777777" w:rsidR="00322004" w:rsidRDefault="00322004" w:rsidP="004248C3"/>
    <w:p w14:paraId="42EB5F64" w14:textId="77777777" w:rsidR="00322004" w:rsidRPr="00530A20" w:rsidRDefault="00322004" w:rsidP="004248C3">
      <w:pPr>
        <w:rPr>
          <w:rFonts w:cs="Segoe UI"/>
          <w:bCs/>
          <w:szCs w:val="22"/>
        </w:rPr>
      </w:pPr>
    </w:p>
    <w:p w14:paraId="43035D35" w14:textId="21C162AC" w:rsidR="00C8634B" w:rsidRDefault="00E80E69" w:rsidP="004248C3">
      <w:r w:rsidRPr="00E80E69">
        <w:lastRenderedPageBreak/>
        <w:t>Bu yeni test merkezi, Henkel’in e-mobilite alanındaki yetkinliklerini artırarak otomotiv ve batarya üreticileri için önde gelen bir geliştirme ve inovasyon ortağı konumunu pekiştirdi.</w:t>
      </w:r>
    </w:p>
    <w:p w14:paraId="7C35BAF8" w14:textId="77777777" w:rsidR="00E80E69" w:rsidRPr="00530A20" w:rsidRDefault="00E80E69" w:rsidP="004248C3">
      <w:pPr>
        <w:rPr>
          <w:rFonts w:cs="Segoe UI"/>
          <w:bCs/>
          <w:szCs w:val="22"/>
        </w:rPr>
      </w:pPr>
    </w:p>
    <w:p w14:paraId="634BB4BD" w14:textId="64CA2F8E" w:rsidR="00C8634B" w:rsidRDefault="00F22B26" w:rsidP="004248C3">
      <w:r w:rsidRPr="00530A20">
        <w:t>Tüketici Markaları iş birimindeki yeniliklere bir örnek olarak</w:t>
      </w:r>
      <w:r w:rsidR="00CD0D3E">
        <w:t xml:space="preserve"> ise</w:t>
      </w:r>
      <w:r w:rsidRPr="00530A20">
        <w:t xml:space="preserve"> Perwoll için yeni geliştirilen ve tekstil ürünlerine bakım yapmakla kalmayıp aynı zamanda giysilerin renklerinin korunmasına da yardımcı olan enzim teknolojisi gösterilebilir</w:t>
      </w:r>
      <w:r w:rsidR="00431DDF" w:rsidRPr="00431DDF">
        <w:t xml:space="preserve"> </w:t>
      </w:r>
      <w:r w:rsidR="00431DDF" w:rsidRPr="00431DDF">
        <w:t>Lifler üzerindeki yenileme etkisi on yıkama sonrasında dahi fark edilebilir ve böylelikle tekstillerin daha uzun süre kullanılmasına katkı sağlar.</w:t>
      </w:r>
    </w:p>
    <w:p w14:paraId="1EF28CE3" w14:textId="77777777" w:rsidR="00431DDF" w:rsidRPr="00530A20" w:rsidRDefault="00431DDF" w:rsidP="004248C3">
      <w:pPr>
        <w:rPr>
          <w:rFonts w:cs="Segoe UI"/>
          <w:bCs/>
          <w:szCs w:val="22"/>
        </w:rPr>
      </w:pPr>
    </w:p>
    <w:p w14:paraId="310A31CD" w14:textId="3E83D2F5" w:rsidR="002376A9" w:rsidRPr="00530A20" w:rsidRDefault="004B2C19" w:rsidP="00595E5A">
      <w:pPr>
        <w:rPr>
          <w:rFonts w:cs="Segoe UI"/>
          <w:bCs/>
          <w:szCs w:val="22"/>
        </w:rPr>
      </w:pPr>
      <w:r w:rsidRPr="00530A20">
        <w:t xml:space="preserve">Bunların yanında Henkel, </w:t>
      </w:r>
      <w:r w:rsidRPr="00530A20">
        <w:rPr>
          <w:b/>
          <w:bCs/>
        </w:rPr>
        <w:t>sürdürülebilirliği</w:t>
      </w:r>
      <w:r w:rsidRPr="00530A20">
        <w:t xml:space="preserve"> faaliyetlerinin ayrılmaz bir parçası haline getirmiş ve bu alandaki kararlılığını daha da pekiştirmiştir. </w:t>
      </w:r>
      <w:r w:rsidR="008A43D7" w:rsidRPr="008A43D7">
        <w:t>Bu sürecin bir parçası olarak Henkel, tüm değer zinciri boyunca emisyon azaltımına yönelik genişletilmiş hedefleri içeren bir net sıfır yol haritası geliştirdi.</w:t>
      </w:r>
      <w:r w:rsidR="008A43D7">
        <w:t xml:space="preserve"> </w:t>
      </w:r>
      <w:r w:rsidRPr="00530A20">
        <w:t>Şirket, Paris İklim Anlaşması</w:t>
      </w:r>
      <w:r w:rsidR="00CD0D3E">
        <w:t>’nda</w:t>
      </w:r>
      <w:r w:rsidRPr="00530A20">
        <w:t xml:space="preserve"> kararlaştırıldığı üzere küresel ısınmanın 1,5 °C ile sınırlandırılmasına bağlayıcı bir katkıda bulunmayı hedeflemektedir. Henkel'in </w:t>
      </w:r>
      <w:r w:rsidR="00CD0D3E">
        <w:t xml:space="preserve">Bilim Temelli Hedefler Girişimi </w:t>
      </w:r>
      <w:r w:rsidRPr="00530A20">
        <w:t>(</w:t>
      </w:r>
      <w:r w:rsidRPr="00530A20">
        <w:rPr>
          <w:i/>
          <w:iCs/>
        </w:rPr>
        <w:t>Science Based Targets initiative</w:t>
      </w:r>
      <w:r w:rsidRPr="00530A20">
        <w:t xml:space="preserve">) </w:t>
      </w:r>
      <w:r w:rsidR="00DC24CC">
        <w:t>tarafından</w:t>
      </w:r>
      <w:r w:rsidR="00DC24CC" w:rsidRPr="00530A20">
        <w:t xml:space="preserve"> </w:t>
      </w:r>
      <w:r w:rsidRPr="00530A20">
        <w:t>onaylanan yol haritası, 2045 yılına kadar net sıfır sera gazı</w:t>
      </w:r>
      <w:r w:rsidR="007115D0">
        <w:t xml:space="preserve"> emisyonuna</w:t>
      </w:r>
      <w:r w:rsidRPr="00530A20">
        <w:t xml:space="preserve"> ulaşmak için </w:t>
      </w:r>
      <w:r w:rsidR="007115D0">
        <w:t>şirketin</w:t>
      </w:r>
      <w:r w:rsidRPr="00530A20">
        <w:t xml:space="preserve"> yaptıklarının </w:t>
      </w:r>
      <w:r w:rsidR="0065315E">
        <w:t>ana hatlarını ortaya koyuyor.</w:t>
      </w:r>
      <w:r w:rsidRPr="00530A20">
        <w:t xml:space="preserve"> Bu adımlar arasında tüm değer zinciri boyunca </w:t>
      </w:r>
      <w:r w:rsidR="00FE3156">
        <w:t xml:space="preserve">kapsamlı </w:t>
      </w:r>
      <w:r w:rsidR="0065315E">
        <w:t>tedbirler</w:t>
      </w:r>
      <w:r w:rsidRPr="00530A20">
        <w:t xml:space="preserve"> yer alıyor. Ayrıca Henkel, DAX endeksindeki şirketler arasında dünya çapında cinsiyetten bağımsız </w:t>
      </w:r>
      <w:r w:rsidR="00F70467">
        <w:t xml:space="preserve">ücretli </w:t>
      </w:r>
      <w:r w:rsidRPr="00530A20">
        <w:t>ebeveyn</w:t>
      </w:r>
      <w:r w:rsidR="00F70467">
        <w:t xml:space="preserve"> </w:t>
      </w:r>
      <w:r w:rsidRPr="00530A20">
        <w:t>iznini uygulamaya koyan ilk kuruluş oldu. Bu adım hem çalışanlar arasında hem de kamuoyunda son derece olumlu tepkilerle karşılandı.</w:t>
      </w:r>
    </w:p>
    <w:p w14:paraId="07871495" w14:textId="77777777" w:rsidR="002376A9" w:rsidRPr="00530A20" w:rsidRDefault="002376A9" w:rsidP="004B2C19">
      <w:pPr>
        <w:rPr>
          <w:rFonts w:cs="Segoe UI"/>
          <w:bCs/>
          <w:szCs w:val="22"/>
        </w:rPr>
      </w:pPr>
    </w:p>
    <w:p w14:paraId="33E61C4E" w14:textId="680ECA1E" w:rsidR="00B166F8" w:rsidRPr="00530A20" w:rsidRDefault="00F9659D" w:rsidP="00B166F8">
      <w:pPr>
        <w:rPr>
          <w:rFonts w:cs="Segoe UI"/>
          <w:szCs w:val="22"/>
        </w:rPr>
      </w:pPr>
      <w:r w:rsidRPr="00F9659D">
        <w:t xml:space="preserve">Henkel ayrıca </w:t>
      </w:r>
      <w:r w:rsidRPr="00773741">
        <w:rPr>
          <w:b/>
        </w:rPr>
        <w:t>dijitalleşme</w:t>
      </w:r>
      <w:r w:rsidRPr="00F9659D">
        <w:t xml:space="preserve"> alanındaki ilerlemelerini daha da ileriye taşıdı. </w:t>
      </w:r>
      <w:r w:rsidR="004B1F1E" w:rsidRPr="004B1F1E">
        <w:t>2024'te Yapay Zeka (AI) alanındaki hızlı gelişmeler gündemin merkezinde yer aldı.</w:t>
      </w:r>
      <w:r w:rsidR="004B1F1E">
        <w:t xml:space="preserve"> </w:t>
      </w:r>
      <w:r>
        <w:t>Y</w:t>
      </w:r>
      <w:r w:rsidR="004B2C19" w:rsidRPr="00530A20">
        <w:t xml:space="preserve">apay zeka yıllardır </w:t>
      </w:r>
      <w:r>
        <w:t xml:space="preserve">Henkel’in </w:t>
      </w:r>
      <w:r w:rsidR="004B2C19" w:rsidRPr="00530A20">
        <w:t>dijital strateji</w:t>
      </w:r>
      <w:r>
        <w:t>sinin</w:t>
      </w:r>
      <w:r w:rsidR="004B2C19" w:rsidRPr="00530A20">
        <w:t xml:space="preserve"> ayrılmaz bir parçası olagelmiştir. Örne</w:t>
      </w:r>
      <w:r>
        <w:t>k olarak,</w:t>
      </w:r>
      <w:r w:rsidR="004B2C19" w:rsidRPr="00530A20">
        <w:t xml:space="preserve"> yapay zeka </w:t>
      </w:r>
      <w:r>
        <w:t>teknolojisi</w:t>
      </w:r>
      <w:r w:rsidR="00607315">
        <w:t>;</w:t>
      </w:r>
      <w:r>
        <w:t xml:space="preserve"> </w:t>
      </w:r>
      <w:r w:rsidR="004B2C19" w:rsidRPr="00530A20">
        <w:t xml:space="preserve">süreç otomasyonunda, yapıştırıcı geliştirme laboratuvarında, sanal ortamda birbirine bağlı </w:t>
      </w:r>
      <w:r>
        <w:t>olan global</w:t>
      </w:r>
      <w:r w:rsidR="004B2C19" w:rsidRPr="00530A20">
        <w:t xml:space="preserve"> üretim tesislerinde, üretim tesislerindeki otonom robotlarda ve Henkel'in marka web sitelerinde chatbot</w:t>
      </w:r>
      <w:r w:rsidR="00CD7E64">
        <w:t>lar</w:t>
      </w:r>
      <w:r w:rsidR="004B2C19" w:rsidRPr="00530A20">
        <w:t xml:space="preserve"> (sohbet robotu) </w:t>
      </w:r>
      <w:r w:rsidR="00CD7E64">
        <w:t>için</w:t>
      </w:r>
      <w:r w:rsidR="004B2C19" w:rsidRPr="00530A20">
        <w:t xml:space="preserve"> kullanılmaktadır. 2024 yılında dijital birim Henkel dx, iç yapılarını daha da optimize etti, dijital uzmanlığını güçlendirdi ve açık inovasyon kültürünü teşvik etti. Henkel ayrıca SAP, Microsoft ve Adobe gibi dünya genelinde lider dijital şirketlerle stratejik ortaklıklarından da </w:t>
      </w:r>
      <w:r>
        <w:t>fayda sağladı.</w:t>
      </w:r>
      <w:r w:rsidR="004B2C19" w:rsidRPr="00530A20">
        <w:t xml:space="preserve"> Bu ortaklıklar, Henkel'in kendi dijital platformlarına ve projelerine en son teknolojileri entegre etmesini sağlıyor. </w:t>
      </w:r>
      <w:r w:rsidR="00AD3CA6" w:rsidRPr="00AD3CA6">
        <w:t>Henkel, dijital inovasyonlara hız vererek, platform stratejisini geliştirerek ve tüm iş birimleri ile fonksiyonlar arasında iş birliğini artırarak Bilişim Teknolojileri (IT) verimliliğini kayda değer şekilde artırdı.</w:t>
      </w:r>
    </w:p>
    <w:p w14:paraId="360C1A3F" w14:textId="77777777" w:rsidR="004B2C19" w:rsidRPr="00530A20" w:rsidRDefault="004B2C19" w:rsidP="004B2C19">
      <w:pPr>
        <w:rPr>
          <w:rFonts w:cs="Segoe UI"/>
          <w:szCs w:val="22"/>
          <w:lang w:eastAsia="de-DE"/>
        </w:rPr>
      </w:pPr>
    </w:p>
    <w:p w14:paraId="53C103F5" w14:textId="77777777" w:rsidR="00C8634B" w:rsidRDefault="00B166F8" w:rsidP="004B2C19">
      <w:r w:rsidRPr="00530A20">
        <w:t xml:space="preserve">Uzun vadeli büyüme stratejisi kapsamında Henkel, </w:t>
      </w:r>
      <w:r w:rsidRPr="00530A20">
        <w:rPr>
          <w:b/>
          <w:bCs/>
        </w:rPr>
        <w:t>geleceğe hazır işletme modelleriyle</w:t>
      </w:r>
      <w:r w:rsidRPr="00530A20">
        <w:t xml:space="preserve"> uzun vadeli başarı elde etmek için, sürekli olarak iş birimlerini dinamik pazarların gereklilikleri ve değişen müşteri beklentileriyle uyumlu hale getirmektedir. Şirket genelinde iş süreçlerinin sürekli olarak iyileştirilmesi de bu kapsamdadır. </w:t>
      </w:r>
    </w:p>
    <w:p w14:paraId="5D6786AD" w14:textId="77777777" w:rsidR="005E3BE7" w:rsidRDefault="005E3BE7" w:rsidP="004B2C19"/>
    <w:p w14:paraId="78642F45" w14:textId="77777777" w:rsidR="005E3BE7" w:rsidRDefault="005E3BE7" w:rsidP="004B2C19"/>
    <w:p w14:paraId="76425D1F" w14:textId="77777777" w:rsidR="005E3BE7" w:rsidRDefault="005E3BE7" w:rsidP="004B2C19"/>
    <w:p w14:paraId="650F8833" w14:textId="5BA2983B" w:rsidR="00D407F1" w:rsidRPr="00530A20" w:rsidRDefault="00B166F8" w:rsidP="004B2C19">
      <w:pPr>
        <w:rPr>
          <w:rFonts w:cs="Segoe UI"/>
          <w:szCs w:val="22"/>
        </w:rPr>
      </w:pPr>
      <w:r w:rsidRPr="00530A20">
        <w:t xml:space="preserve">Bunun bir örneği, Hindistan'ın Bangalore kentinde, </w:t>
      </w:r>
      <w:r w:rsidR="00C432BC" w:rsidRPr="00C432BC">
        <w:t>500'den fazla IT uzmanının tam entegre bir dijital merkez oluşturmak için çalışmakta olduğu</w:t>
      </w:r>
      <w:r w:rsidR="00C432BC">
        <w:t xml:space="preserve"> </w:t>
      </w:r>
      <w:r w:rsidRPr="00530A20">
        <w:t>global bir teknoloji merkezinin açılması olmuştur. Henkel bu sayede maliyet verimliliğini artırmakta ve şirket içi uzmanlığını geliştirmekte</w:t>
      </w:r>
      <w:r w:rsidR="00F20D82">
        <w:t>dir</w:t>
      </w:r>
      <w:r w:rsidRPr="00530A20">
        <w:t xml:space="preserve">. Teknoloji merkezinin önümüzdeki yıllarda daha da genişletilmesi planlanmaktadır. Henkel ayrıca girişim faaliyetlerini tek bir çatı altında birleştirmiştir. </w:t>
      </w:r>
      <w:r w:rsidR="00D6377E" w:rsidRPr="00D6377E">
        <w:t>Henkel, 2025 ila 2028 yılları arasında S/4Hana yazılımına geçiş sürecinde yapılarını ve süreçlerini nasıl daha çevik ve esnek bir hale dönüştürebileceğini de değerlendirecektir.</w:t>
      </w:r>
      <w:r w:rsidR="00D6377E">
        <w:t xml:space="preserve"> </w:t>
      </w:r>
      <w:r w:rsidRPr="00530A20">
        <w:t>Bu bağlamda, örneğin</w:t>
      </w:r>
      <w:r w:rsidR="004D24AF">
        <w:t>,</w:t>
      </w:r>
      <w:r w:rsidRPr="00530A20">
        <w:t xml:space="preserve"> Almanya'dan başlayarak mevcut iki iş birimi için ayrı tüzel kişilikler kurulması ve şartları sağlayan büyük ülkelerde bu sürecin </w:t>
      </w:r>
      <w:r w:rsidR="00257364" w:rsidRPr="00257364">
        <w:t>kademeli olarak</w:t>
      </w:r>
      <w:r w:rsidRPr="00530A20">
        <w:t xml:space="preserve"> genişletilmesi düşünülmektedir. </w:t>
      </w:r>
      <w:r w:rsidR="00BA3681" w:rsidRPr="00BA3681">
        <w:t>Grup ve iş birimlerinin stratejik ve operasyonel yönetimi aynen korunacaktır.</w:t>
      </w:r>
      <w:r w:rsidRPr="00530A20">
        <w:t xml:space="preserve"> Bu yapılanma ile hem işletmelerin gelecekteki ihtiyaçlarını hem de Henkel'in büyüme gündemini desteklemek amaçlanmaktadır.</w:t>
      </w:r>
    </w:p>
    <w:p w14:paraId="481EF030" w14:textId="77777777" w:rsidR="00D407F1" w:rsidRPr="00530A20" w:rsidRDefault="00D407F1" w:rsidP="004B2C19">
      <w:pPr>
        <w:rPr>
          <w:rFonts w:cs="Segoe UI"/>
          <w:szCs w:val="22"/>
          <w:lang w:eastAsia="de-DE"/>
        </w:rPr>
      </w:pPr>
    </w:p>
    <w:p w14:paraId="2523EFDB" w14:textId="3D61FBD8" w:rsidR="003E275E" w:rsidRDefault="004B2C19" w:rsidP="003E275E">
      <w:r w:rsidRPr="00530A20">
        <w:t xml:space="preserve">Henkel ayrıca geçtiğimiz yıl </w:t>
      </w:r>
      <w:r w:rsidRPr="00530A20">
        <w:rPr>
          <w:b/>
          <w:bCs/>
        </w:rPr>
        <w:t>şirket kültürünü</w:t>
      </w:r>
      <w:r w:rsidRPr="00530A20">
        <w:t xml:space="preserve"> daha da sağlamlaştırdı. 2023'te başlatılan Kültürel Dönüşümü Hızlandırma (</w:t>
      </w:r>
      <w:r w:rsidRPr="00530A20">
        <w:rPr>
          <w:i/>
          <w:iCs/>
        </w:rPr>
        <w:t>Accelerate Cultural Transformation</w:t>
      </w:r>
      <w:r w:rsidRPr="00530A20">
        <w:t xml:space="preserve"> - ACT) girişimi, Gru</w:t>
      </w:r>
      <w:r w:rsidR="00540CF3">
        <w:t>p’un</w:t>
      </w:r>
      <w:r w:rsidRPr="00530A20">
        <w:t xml:space="preserve"> global organizasyonu genelinde başarıyla sürdürülmüştür. </w:t>
      </w:r>
      <w:r w:rsidR="00E95804" w:rsidRPr="00E95804">
        <w:t>Bu girişim, ekipler arasında daha güçlü bir bağ kurulmasını ve daha derin bir diyalog geliştirilmesini teşvik etmektedir.</w:t>
      </w:r>
      <w:r w:rsidR="00E95804">
        <w:t xml:space="preserve"> </w:t>
      </w:r>
      <w:r w:rsidR="00DC5CA8" w:rsidRPr="00DC5CA8">
        <w:t>Geçen yıl ACT girişimi, yapıcı geri bildirim vermeye ve açık şekilde değerlendirmeye odaklanmıştı.</w:t>
      </w:r>
      <w:r w:rsidR="00DC5CA8">
        <w:t xml:space="preserve"> </w:t>
      </w:r>
      <w:r w:rsidRPr="00530A20">
        <w:t>İş</w:t>
      </w:r>
      <w:r w:rsidR="00566774">
        <w:t xml:space="preserve"> </w:t>
      </w:r>
      <w:r w:rsidRPr="00530A20">
        <w:t xml:space="preserve">birliği kültürü, çeşitlilik, eşitlik ve kapsayıcılığın teşvik edilmesiyle yakından bağlantılıdır. Henkel, çeşitliliği daha da geliştirmek için üç temel </w:t>
      </w:r>
      <w:r w:rsidR="00A278FC">
        <w:t>unsuru</w:t>
      </w:r>
      <w:r w:rsidRPr="00530A20">
        <w:t xml:space="preserve"> esas alan bir strateji izlemektedir: Kampanyalar ve etkinlikler gibi çeşitli formatlar</w:t>
      </w:r>
      <w:r w:rsidR="00F5541E">
        <w:t>ı hayata geçirerek</w:t>
      </w:r>
      <w:r w:rsidRPr="00530A20">
        <w:t xml:space="preserve"> farkındalık yaratmak. Liderlere ve çalışanlara yönelik eğitim programları aracılığıyla kapsayıcı davranışı güçlendirmek. </w:t>
      </w:r>
      <w:r w:rsidR="00590511" w:rsidRPr="00590511">
        <w:t>Son olarak, iş-yaşam dengesini destekleyen programlar sunmak ve yapısal engelleri kaldırarak çalışma koşullarını sürekli iyileştirmek.</w:t>
      </w:r>
    </w:p>
    <w:p w14:paraId="4F201FB1" w14:textId="77777777" w:rsidR="00590511" w:rsidRPr="00530A20" w:rsidRDefault="00590511" w:rsidP="003E275E">
      <w:pPr>
        <w:rPr>
          <w:rFonts w:cs="Segoe UI"/>
          <w:szCs w:val="22"/>
          <w:lang w:eastAsia="de-DE"/>
        </w:rPr>
      </w:pPr>
    </w:p>
    <w:p w14:paraId="79AB7DFD" w14:textId="7F54EF2B" w:rsidR="003E275E" w:rsidRPr="00530A20" w:rsidRDefault="002E62F7" w:rsidP="003E275E">
      <w:pPr>
        <w:rPr>
          <w:rFonts w:cs="Segoe UI"/>
          <w:szCs w:val="22"/>
        </w:rPr>
      </w:pPr>
      <w:r w:rsidRPr="00530A20">
        <w:t>Henkel'in hedeflerinden biri, 2025 yılı sonuna kadar tüm yönetim kademelerinde cinsiyet eşitliğini sağlamaktır. Bugün Henkel'in dünya genelinde yönetim pozisyonlarının yaklaşık yüzde 42'sinde kadınlar görev yapmaktadır.</w:t>
      </w:r>
    </w:p>
    <w:p w14:paraId="1CA4A1BB" w14:textId="77777777" w:rsidR="003E275E" w:rsidRPr="00530A20" w:rsidRDefault="003E275E" w:rsidP="00521834">
      <w:pPr>
        <w:rPr>
          <w:rFonts w:cs="Segoe UI"/>
          <w:szCs w:val="22"/>
        </w:rPr>
      </w:pPr>
    </w:p>
    <w:p w14:paraId="1C884603" w14:textId="713ED57C" w:rsidR="004B2C19" w:rsidRPr="00530A20" w:rsidRDefault="00521834" w:rsidP="00521834">
      <w:pPr>
        <w:rPr>
          <w:rFonts w:cs="Segoe UI"/>
          <w:szCs w:val="22"/>
        </w:rPr>
      </w:pPr>
      <w:r w:rsidRPr="00530A20">
        <w:t xml:space="preserve">Carsten Knobel </w:t>
      </w:r>
      <w:r w:rsidR="00447443">
        <w:t>düşüncelerini</w:t>
      </w:r>
      <w:r w:rsidRPr="00530A20">
        <w:t xml:space="preserve"> şu sözlerle özetledi: "2024 mali yılı Henkel için çok başarılı ve önemli bir dönem oldu. Yıl içinde iki kez yükselttiğimiz </w:t>
      </w:r>
      <w:r w:rsidR="00447443">
        <w:t xml:space="preserve">mali </w:t>
      </w:r>
      <w:r w:rsidRPr="00530A20">
        <w:t xml:space="preserve">hedeflerimize ulaştık. </w:t>
      </w:r>
      <w:r w:rsidR="00666398">
        <w:t>‘</w:t>
      </w:r>
      <w:r w:rsidRPr="00530A20">
        <w:t>Amaca yönelik büyüme gündemi</w:t>
      </w:r>
      <w:r w:rsidR="00666398">
        <w:t>’</w:t>
      </w:r>
      <w:r w:rsidRPr="00530A20">
        <w:t xml:space="preserve">mizi tüm stratejik </w:t>
      </w:r>
      <w:r w:rsidR="005B05BE">
        <w:t xml:space="preserve">alanlarda </w:t>
      </w:r>
      <w:r w:rsidRPr="00530A20">
        <w:t xml:space="preserve">istikrarlı bir şekilde uyguladık ve </w:t>
      </w:r>
      <w:r w:rsidR="003A4364">
        <w:t>d</w:t>
      </w:r>
      <w:r w:rsidR="003A4364" w:rsidRPr="003A4364">
        <w:t>önüşüm sürecimizi kararlılıkla ve başarıyla sürdürdük.</w:t>
      </w:r>
      <w:r w:rsidR="003A4364">
        <w:t xml:space="preserve"> </w:t>
      </w:r>
      <w:r w:rsidR="00B12044" w:rsidRPr="00657E45">
        <w:t>Hedeflerimiz doğrultusunda ilerliyoruz</w:t>
      </w:r>
      <w:r w:rsidR="00657E45">
        <w:t xml:space="preserve"> </w:t>
      </w:r>
      <w:r w:rsidRPr="00530A20">
        <w:t>ve şirketimizin dönüşümü somut sonuçlar veriyor. Net bir strateji, güçlü bir ekip ve benzersiz bir şirket kültürüyle geleceğe hazırız."</w:t>
      </w:r>
    </w:p>
    <w:p w14:paraId="23552B25" w14:textId="3279FDCB" w:rsidR="00A15D78" w:rsidRDefault="00A15D78" w:rsidP="00114E6F">
      <w:pPr>
        <w:spacing w:line="240" w:lineRule="auto"/>
        <w:jc w:val="left"/>
        <w:rPr>
          <w:rStyle w:val="Hyperlink"/>
          <w:b/>
          <w:bCs/>
          <w:color w:val="auto"/>
          <w:u w:val="none"/>
        </w:rPr>
      </w:pPr>
    </w:p>
    <w:p w14:paraId="32C4A8ED" w14:textId="77777777" w:rsidR="008A3798" w:rsidRDefault="008A3798" w:rsidP="00114E6F">
      <w:pPr>
        <w:spacing w:line="240" w:lineRule="auto"/>
        <w:jc w:val="left"/>
        <w:rPr>
          <w:rStyle w:val="Hyperlink"/>
          <w:b/>
          <w:bCs/>
          <w:color w:val="auto"/>
          <w:u w:val="none"/>
        </w:rPr>
      </w:pPr>
    </w:p>
    <w:p w14:paraId="0BF83145" w14:textId="77777777" w:rsidR="008A3798" w:rsidRDefault="008A3798" w:rsidP="00114E6F">
      <w:pPr>
        <w:spacing w:line="240" w:lineRule="auto"/>
        <w:jc w:val="left"/>
        <w:rPr>
          <w:rStyle w:val="Hyperlink"/>
          <w:b/>
          <w:bCs/>
          <w:color w:val="auto"/>
          <w:u w:val="none"/>
        </w:rPr>
      </w:pPr>
    </w:p>
    <w:p w14:paraId="11830497" w14:textId="77777777" w:rsidR="008A3798" w:rsidRDefault="008A3798" w:rsidP="00114E6F">
      <w:pPr>
        <w:spacing w:line="240" w:lineRule="auto"/>
        <w:jc w:val="left"/>
        <w:rPr>
          <w:rStyle w:val="Hyperlink"/>
          <w:b/>
          <w:bCs/>
          <w:color w:val="auto"/>
          <w:u w:val="none"/>
        </w:rPr>
      </w:pPr>
    </w:p>
    <w:p w14:paraId="0E15C832" w14:textId="77777777" w:rsidR="00B108E5" w:rsidRDefault="00B108E5" w:rsidP="008A3798">
      <w:pPr>
        <w:rPr>
          <w:sz w:val="18"/>
          <w:szCs w:val="18"/>
        </w:rPr>
      </w:pPr>
    </w:p>
    <w:p w14:paraId="6EECF94C" w14:textId="77777777" w:rsidR="00B108E5" w:rsidRPr="00FE3A29" w:rsidRDefault="00B108E5" w:rsidP="00B108E5">
      <w:pPr>
        <w:rPr>
          <w:b/>
          <w:bCs/>
          <w:sz w:val="18"/>
          <w:szCs w:val="18"/>
        </w:rPr>
      </w:pPr>
      <w:r w:rsidRPr="00FE3A29">
        <w:rPr>
          <w:b/>
          <w:bCs/>
          <w:sz w:val="18"/>
          <w:szCs w:val="18"/>
        </w:rPr>
        <w:lastRenderedPageBreak/>
        <w:t xml:space="preserve">Henkel Hakkında </w:t>
      </w:r>
    </w:p>
    <w:p w14:paraId="1424D48B" w14:textId="77777777" w:rsidR="00B108E5" w:rsidRPr="00CA362F" w:rsidRDefault="00B108E5" w:rsidP="00B108E5">
      <w:pPr>
        <w:rPr>
          <w:sz w:val="18"/>
          <w:szCs w:val="18"/>
        </w:rPr>
      </w:pPr>
      <w:r w:rsidRPr="00FE3A29">
        <w:rPr>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Çamaşır ve Ev Bakım ile Saç olmak üzere, dünya genelinde pek çok piyasa ve kategoride liderliği bulunmaktadır. Henkel’in en güçlü üç markası Loctite, Persil ve Schwarzkopf markalarıdır. 2024 mali yılında Henkel, 21,6 milyar Euro’nun üzerinde satış ve yaklaşık 3,1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w:t>
      </w:r>
      <w:r>
        <w:rPr>
          <w:sz w:val="18"/>
          <w:szCs w:val="18"/>
        </w:rPr>
        <w:t xml:space="preserve">nın dört bir yanında </w:t>
      </w:r>
      <w:r w:rsidRPr="00FE3A29">
        <w:rPr>
          <w:sz w:val="18"/>
          <w:szCs w:val="18"/>
        </w:rPr>
        <w:t>güçlü bir şirket kültürü ile bir araya gelen, ortak değerlerde birleşen ve “Pioneers at heart for the good of generations” (Gelecek Nesiller İçin İyiliğe Öncülük Ediyoruz) amacında buluşan yaklaşık 47.000 kişiyi istihdam etmektedir. Daha fazla bilgiyi www.henkel.com adresinde bulabilirsiniz</w:t>
      </w:r>
      <w:r w:rsidRPr="00F00823">
        <w:rPr>
          <w:sz w:val="18"/>
          <w:szCs w:val="18"/>
        </w:rPr>
        <w:t>.</w:t>
      </w:r>
    </w:p>
    <w:p w14:paraId="4DE1EA79" w14:textId="77777777" w:rsidR="00B108E5" w:rsidRPr="00CA362F" w:rsidRDefault="00B108E5" w:rsidP="008A3798">
      <w:pPr>
        <w:rPr>
          <w:sz w:val="18"/>
          <w:szCs w:val="18"/>
        </w:rPr>
      </w:pPr>
    </w:p>
    <w:p w14:paraId="30599D1F" w14:textId="77777777" w:rsidR="008A3798" w:rsidRPr="00530A20" w:rsidRDefault="008A3798" w:rsidP="00114E6F">
      <w:pPr>
        <w:spacing w:line="240" w:lineRule="auto"/>
        <w:jc w:val="left"/>
        <w:rPr>
          <w:rStyle w:val="Hyperlink"/>
          <w:b/>
          <w:bCs/>
          <w:color w:val="auto"/>
          <w:u w:val="none"/>
        </w:rPr>
      </w:pPr>
    </w:p>
    <w:sectPr w:rsidR="008A3798" w:rsidRPr="00530A20" w:rsidSect="003E137C">
      <w:headerReference w:type="even" r:id="rId12"/>
      <w:footerReference w:type="default" r:id="rId13"/>
      <w:headerReference w:type="first" r:id="rId14"/>
      <w:footerReference w:type="first" r:id="rId15"/>
      <w:pgSz w:w="11907" w:h="16840" w:code="9"/>
      <w:pgMar w:top="1431"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71FDC" w14:textId="77777777" w:rsidR="00E4196A" w:rsidRDefault="00E4196A">
      <w:r>
        <w:separator/>
      </w:r>
    </w:p>
  </w:endnote>
  <w:endnote w:type="continuationSeparator" w:id="0">
    <w:p w14:paraId="261EF33E" w14:textId="77777777" w:rsidR="00E4196A" w:rsidRDefault="00E4196A">
      <w:r>
        <w:continuationSeparator/>
      </w:r>
    </w:p>
  </w:endnote>
  <w:endnote w:type="continuationNotice" w:id="1">
    <w:p w14:paraId="4D51C190" w14:textId="77777777" w:rsidR="00E4196A" w:rsidRDefault="00E419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47E2D6D" w:rsidR="00F9659D" w:rsidRPr="00112A28" w:rsidRDefault="00F9659D" w:rsidP="00112A28">
    <w:pPr>
      <w:pStyle w:val="Footer"/>
      <w:tabs>
        <w:tab w:val="clear" w:pos="7083"/>
        <w:tab w:val="clear" w:pos="8640"/>
        <w:tab w:val="right" w:pos="9071"/>
      </w:tabs>
      <w:jc w:val="both"/>
    </w:pPr>
    <w:r>
      <w:tab/>
    </w:r>
    <w:r>
      <w:t xml:space="preserve">Sayfa </w:t>
    </w:r>
    <w:r w:rsidRPr="00BF6E82">
      <w:fldChar w:fldCharType="begin"/>
    </w:r>
    <w:r w:rsidRPr="00BF6E82">
      <w:instrText xml:space="preserve"> PAGE  \* Arabic  \* MERGEFORMAT </w:instrText>
    </w:r>
    <w:r w:rsidRPr="00BF6E82">
      <w:fldChar w:fldCharType="separate"/>
    </w:r>
    <w:r w:rsidR="00B3728C">
      <w:t>12</w:t>
    </w:r>
    <w:r w:rsidRPr="00BF6E82">
      <w:fldChar w:fldCharType="end"/>
    </w:r>
    <w:r>
      <w:t>/</w:t>
    </w:r>
    <w:fldSimple w:instr="NUMPAGES  \* Arabic  \* MERGEFORMAT">
      <w:r w:rsidR="00B3728C">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F3CA4D" w:rsidR="00F9659D" w:rsidRPr="00992A11" w:rsidRDefault="00F9659D" w:rsidP="00992A11">
    <w:pPr>
      <w:pStyle w:val="Footer"/>
    </w:pPr>
    <w:r>
      <w:rPr>
        <w:lang w:eastAsia="tr-TR"/>
      </w:rPr>
      <w:drawing>
        <wp:inline distT="0" distB="0" distL="0" distR="0" wp14:anchorId="1C787FF5" wp14:editId="342B444F">
          <wp:extent cx="5019675" cy="507538"/>
          <wp:effectExtent l="0" t="0" r="0" b="6985"/>
          <wp:docPr id="1773016627"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130820" cy="518776"/>
                  </a:xfrm>
                  <a:prstGeom prst="rect">
                    <a:avLst/>
                  </a:prstGeom>
                  <a:ln>
                    <a:noFill/>
                  </a:ln>
                  <a:extLst>
                    <a:ext uri="{53640926-AAD7-44D8-BBD7-CCE9431645EC}">
                      <a14:shadowObscured xmlns:a14="http://schemas.microsoft.com/office/drawing/2010/main"/>
                    </a:ext>
                  </a:extLst>
                </pic:spPr>
              </pic:pic>
            </a:graphicData>
          </a:graphic>
        </wp:inline>
      </w:drawing>
    </w:r>
    <w:r>
      <w:t xml:space="preserve">Sayfa </w:t>
    </w:r>
    <w:r w:rsidRPr="00992A11">
      <w:fldChar w:fldCharType="begin"/>
    </w:r>
    <w:r w:rsidRPr="00992A11">
      <w:instrText xml:space="preserve"> PAGE  \* Arabic  \* MERGEFORMAT </w:instrText>
    </w:r>
    <w:r w:rsidRPr="00992A11">
      <w:fldChar w:fldCharType="separate"/>
    </w:r>
    <w:r w:rsidR="00B3728C">
      <w:t>1</w:t>
    </w:r>
    <w:r w:rsidRPr="00992A11">
      <w:fldChar w:fldCharType="end"/>
    </w:r>
    <w:r>
      <w:t>/</w:t>
    </w:r>
    <w:fldSimple w:instr=" NUMPAGES  \* Arabic  \* MERGEFORMAT ">
      <w:r w:rsidR="00B3728C">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7BC9" w14:textId="77777777" w:rsidR="00E4196A" w:rsidRDefault="00E4196A">
      <w:r>
        <w:separator/>
      </w:r>
    </w:p>
  </w:footnote>
  <w:footnote w:type="continuationSeparator" w:id="0">
    <w:p w14:paraId="68E3EBBE" w14:textId="77777777" w:rsidR="00E4196A" w:rsidRDefault="00E4196A">
      <w:r>
        <w:continuationSeparator/>
      </w:r>
    </w:p>
  </w:footnote>
  <w:footnote w:type="continuationNotice" w:id="1">
    <w:p w14:paraId="110E659C" w14:textId="77777777" w:rsidR="00E4196A" w:rsidRDefault="00E419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F9659D" w:rsidRDefault="00F9659D"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F9659D" w:rsidRPr="00EB46D9" w:rsidRDefault="00F9659D" w:rsidP="00EB46D9">
    <w:pPr>
      <w:pStyle w:val="Header"/>
    </w:pPr>
    <w:r>
      <w:rPr>
        <w:noProof/>
        <w:lang w:eastAsia="tr-T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79339593"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CE6AF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31326553">
    <w:abstractNumId w:val="2"/>
  </w:num>
  <w:num w:numId="2" w16cid:durableId="220412915">
    <w:abstractNumId w:val="1"/>
  </w:num>
  <w:num w:numId="3" w16cid:durableId="1421367660">
    <w:abstractNumId w:val="16"/>
  </w:num>
  <w:num w:numId="4" w16cid:durableId="1198278978">
    <w:abstractNumId w:val="10"/>
  </w:num>
  <w:num w:numId="5" w16cid:durableId="2054384063">
    <w:abstractNumId w:val="7"/>
  </w:num>
  <w:num w:numId="6" w16cid:durableId="350566756">
    <w:abstractNumId w:val="12"/>
  </w:num>
  <w:num w:numId="7" w16cid:durableId="347829083">
    <w:abstractNumId w:val="9"/>
  </w:num>
  <w:num w:numId="8" w16cid:durableId="1971738191">
    <w:abstractNumId w:val="15"/>
  </w:num>
  <w:num w:numId="9" w16cid:durableId="1528063902">
    <w:abstractNumId w:val="0"/>
  </w:num>
  <w:num w:numId="10" w16cid:durableId="1856114715">
    <w:abstractNumId w:val="18"/>
  </w:num>
  <w:num w:numId="11" w16cid:durableId="1546990725">
    <w:abstractNumId w:val="8"/>
  </w:num>
  <w:num w:numId="12" w16cid:durableId="281885290">
    <w:abstractNumId w:val="0"/>
  </w:num>
  <w:num w:numId="13" w16cid:durableId="1339818897">
    <w:abstractNumId w:val="3"/>
  </w:num>
  <w:num w:numId="14" w16cid:durableId="1479498107">
    <w:abstractNumId w:val="4"/>
  </w:num>
  <w:num w:numId="15" w16cid:durableId="1176307373">
    <w:abstractNumId w:val="17"/>
  </w:num>
  <w:num w:numId="16" w16cid:durableId="1041595938">
    <w:abstractNumId w:val="13"/>
  </w:num>
  <w:num w:numId="17" w16cid:durableId="428240896">
    <w:abstractNumId w:val="11"/>
  </w:num>
  <w:num w:numId="18" w16cid:durableId="43872343">
    <w:abstractNumId w:val="5"/>
  </w:num>
  <w:num w:numId="19" w16cid:durableId="1671058224">
    <w:abstractNumId w:val="14"/>
  </w:num>
  <w:num w:numId="20" w16cid:durableId="16685517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2E70"/>
    <w:rsid w:val="000136FE"/>
    <w:rsid w:val="000145CB"/>
    <w:rsid w:val="00014FC1"/>
    <w:rsid w:val="00016137"/>
    <w:rsid w:val="00017575"/>
    <w:rsid w:val="000201CB"/>
    <w:rsid w:val="00020DC3"/>
    <w:rsid w:val="00021C67"/>
    <w:rsid w:val="00024147"/>
    <w:rsid w:val="00024284"/>
    <w:rsid w:val="00024483"/>
    <w:rsid w:val="00024A53"/>
    <w:rsid w:val="00024DCA"/>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57C1A"/>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12B"/>
    <w:rsid w:val="00081241"/>
    <w:rsid w:val="00081692"/>
    <w:rsid w:val="00081EF8"/>
    <w:rsid w:val="00082417"/>
    <w:rsid w:val="0008357F"/>
    <w:rsid w:val="00083A35"/>
    <w:rsid w:val="00083A61"/>
    <w:rsid w:val="00083DAB"/>
    <w:rsid w:val="00083F9D"/>
    <w:rsid w:val="0008406B"/>
    <w:rsid w:val="00084918"/>
    <w:rsid w:val="0008581D"/>
    <w:rsid w:val="00085A1B"/>
    <w:rsid w:val="00090DB6"/>
    <w:rsid w:val="00090E73"/>
    <w:rsid w:val="00091F11"/>
    <w:rsid w:val="00094235"/>
    <w:rsid w:val="00095ED7"/>
    <w:rsid w:val="00096AD4"/>
    <w:rsid w:val="00097DB9"/>
    <w:rsid w:val="000A05E0"/>
    <w:rsid w:val="000A06FB"/>
    <w:rsid w:val="000A31D3"/>
    <w:rsid w:val="000A453C"/>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2E"/>
    <w:rsid w:val="000D178A"/>
    <w:rsid w:val="000D18CE"/>
    <w:rsid w:val="000D3226"/>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4ED4"/>
    <w:rsid w:val="000E714B"/>
    <w:rsid w:val="000E745A"/>
    <w:rsid w:val="000E79CD"/>
    <w:rsid w:val="000E7F24"/>
    <w:rsid w:val="000F03BE"/>
    <w:rsid w:val="000F1757"/>
    <w:rsid w:val="000F225B"/>
    <w:rsid w:val="000F333E"/>
    <w:rsid w:val="000F41BC"/>
    <w:rsid w:val="000F48E9"/>
    <w:rsid w:val="000F4CC1"/>
    <w:rsid w:val="000F4DAE"/>
    <w:rsid w:val="000F7ADB"/>
    <w:rsid w:val="000F7FAF"/>
    <w:rsid w:val="0010048F"/>
    <w:rsid w:val="00100BFF"/>
    <w:rsid w:val="00100D8B"/>
    <w:rsid w:val="00100FC9"/>
    <w:rsid w:val="00101CC3"/>
    <w:rsid w:val="00102045"/>
    <w:rsid w:val="00102264"/>
    <w:rsid w:val="00103537"/>
    <w:rsid w:val="00103B01"/>
    <w:rsid w:val="0010421C"/>
    <w:rsid w:val="0010465B"/>
    <w:rsid w:val="00104F62"/>
    <w:rsid w:val="0010570F"/>
    <w:rsid w:val="00105975"/>
    <w:rsid w:val="00110090"/>
    <w:rsid w:val="0011116D"/>
    <w:rsid w:val="00111386"/>
    <w:rsid w:val="001118DF"/>
    <w:rsid w:val="00111F4D"/>
    <w:rsid w:val="00112A28"/>
    <w:rsid w:val="00113571"/>
    <w:rsid w:val="001135E4"/>
    <w:rsid w:val="0011370F"/>
    <w:rsid w:val="00114227"/>
    <w:rsid w:val="00114B27"/>
    <w:rsid w:val="00114DDF"/>
    <w:rsid w:val="00114E6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06A"/>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017"/>
    <w:rsid w:val="00155E7D"/>
    <w:rsid w:val="001577E9"/>
    <w:rsid w:val="00157A59"/>
    <w:rsid w:val="00157F37"/>
    <w:rsid w:val="00160045"/>
    <w:rsid w:val="001600D9"/>
    <w:rsid w:val="00160B8F"/>
    <w:rsid w:val="0016138C"/>
    <w:rsid w:val="00162B5D"/>
    <w:rsid w:val="00162D60"/>
    <w:rsid w:val="00163D1A"/>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7C1"/>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5D28"/>
    <w:rsid w:val="001B65FF"/>
    <w:rsid w:val="001B710A"/>
    <w:rsid w:val="001B771D"/>
    <w:rsid w:val="001B7C20"/>
    <w:rsid w:val="001B7ED7"/>
    <w:rsid w:val="001C0B32"/>
    <w:rsid w:val="001C21A3"/>
    <w:rsid w:val="001C2396"/>
    <w:rsid w:val="001C2D66"/>
    <w:rsid w:val="001C2D7B"/>
    <w:rsid w:val="001C36F7"/>
    <w:rsid w:val="001C4BE1"/>
    <w:rsid w:val="001C5338"/>
    <w:rsid w:val="001C7F21"/>
    <w:rsid w:val="001D1497"/>
    <w:rsid w:val="001D5534"/>
    <w:rsid w:val="001D6015"/>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396D"/>
    <w:rsid w:val="002151DB"/>
    <w:rsid w:val="00215281"/>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8A"/>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6B7"/>
    <w:rsid w:val="00250F80"/>
    <w:rsid w:val="0025124F"/>
    <w:rsid w:val="00251330"/>
    <w:rsid w:val="002518A2"/>
    <w:rsid w:val="002528B3"/>
    <w:rsid w:val="00252C95"/>
    <w:rsid w:val="00253C96"/>
    <w:rsid w:val="0025551F"/>
    <w:rsid w:val="00255F8C"/>
    <w:rsid w:val="00256174"/>
    <w:rsid w:val="002564EC"/>
    <w:rsid w:val="00256F0C"/>
    <w:rsid w:val="00257231"/>
    <w:rsid w:val="00257364"/>
    <w:rsid w:val="00260318"/>
    <w:rsid w:val="00261B24"/>
    <w:rsid w:val="00261C23"/>
    <w:rsid w:val="00262C05"/>
    <w:rsid w:val="0026342A"/>
    <w:rsid w:val="00263868"/>
    <w:rsid w:val="002640CF"/>
    <w:rsid w:val="00266359"/>
    <w:rsid w:val="00266995"/>
    <w:rsid w:val="002700A2"/>
    <w:rsid w:val="002715AF"/>
    <w:rsid w:val="002717F0"/>
    <w:rsid w:val="00272B9F"/>
    <w:rsid w:val="0027301C"/>
    <w:rsid w:val="00273099"/>
    <w:rsid w:val="00275845"/>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A6BE3"/>
    <w:rsid w:val="002B03A5"/>
    <w:rsid w:val="002B1AA8"/>
    <w:rsid w:val="002B1E51"/>
    <w:rsid w:val="002B1E87"/>
    <w:rsid w:val="002B28CF"/>
    <w:rsid w:val="002B35E0"/>
    <w:rsid w:val="002B3BC2"/>
    <w:rsid w:val="002B4447"/>
    <w:rsid w:val="002B5F9F"/>
    <w:rsid w:val="002B687A"/>
    <w:rsid w:val="002C1344"/>
    <w:rsid w:val="002C252E"/>
    <w:rsid w:val="002C3A2A"/>
    <w:rsid w:val="002C458A"/>
    <w:rsid w:val="002C5C44"/>
    <w:rsid w:val="002C63D3"/>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6D"/>
    <w:rsid w:val="002E0EBE"/>
    <w:rsid w:val="002E26B4"/>
    <w:rsid w:val="002E4FFB"/>
    <w:rsid w:val="002E5F73"/>
    <w:rsid w:val="002E6110"/>
    <w:rsid w:val="002E62F7"/>
    <w:rsid w:val="002E63A7"/>
    <w:rsid w:val="002E650E"/>
    <w:rsid w:val="002E6E2F"/>
    <w:rsid w:val="002E7DED"/>
    <w:rsid w:val="002F0334"/>
    <w:rsid w:val="002F2A7B"/>
    <w:rsid w:val="002F3BAD"/>
    <w:rsid w:val="002F4864"/>
    <w:rsid w:val="002F4AB2"/>
    <w:rsid w:val="002F5944"/>
    <w:rsid w:val="002F5B88"/>
    <w:rsid w:val="002F7BC2"/>
    <w:rsid w:val="002F7E11"/>
    <w:rsid w:val="0030037C"/>
    <w:rsid w:val="00301A86"/>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578E"/>
    <w:rsid w:val="00315D40"/>
    <w:rsid w:val="0031621E"/>
    <w:rsid w:val="00316A16"/>
    <w:rsid w:val="00320228"/>
    <w:rsid w:val="00320A26"/>
    <w:rsid w:val="003212F3"/>
    <w:rsid w:val="00321344"/>
    <w:rsid w:val="00321788"/>
    <w:rsid w:val="00322004"/>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0CAE"/>
    <w:rsid w:val="00340D3A"/>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C74"/>
    <w:rsid w:val="00384F62"/>
    <w:rsid w:val="00385438"/>
    <w:rsid w:val="00385816"/>
    <w:rsid w:val="003858E5"/>
    <w:rsid w:val="0038686B"/>
    <w:rsid w:val="00386F29"/>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364"/>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A15"/>
    <w:rsid w:val="003C4EB2"/>
    <w:rsid w:val="003C5E05"/>
    <w:rsid w:val="003C63D0"/>
    <w:rsid w:val="003C7959"/>
    <w:rsid w:val="003D0FD1"/>
    <w:rsid w:val="003D1952"/>
    <w:rsid w:val="003D38D5"/>
    <w:rsid w:val="003D3968"/>
    <w:rsid w:val="003D42AF"/>
    <w:rsid w:val="003D4AD2"/>
    <w:rsid w:val="003D4BFC"/>
    <w:rsid w:val="003D4CC0"/>
    <w:rsid w:val="003D4D58"/>
    <w:rsid w:val="003D5E11"/>
    <w:rsid w:val="003D5F1E"/>
    <w:rsid w:val="003D73C0"/>
    <w:rsid w:val="003E031D"/>
    <w:rsid w:val="003E1343"/>
    <w:rsid w:val="003E137C"/>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3E30"/>
    <w:rsid w:val="004248C3"/>
    <w:rsid w:val="0042630F"/>
    <w:rsid w:val="00427BEA"/>
    <w:rsid w:val="00427EDC"/>
    <w:rsid w:val="00427EF2"/>
    <w:rsid w:val="00430120"/>
    <w:rsid w:val="004313E7"/>
    <w:rsid w:val="00431DDF"/>
    <w:rsid w:val="00432542"/>
    <w:rsid w:val="004339B2"/>
    <w:rsid w:val="004366E6"/>
    <w:rsid w:val="00436CCB"/>
    <w:rsid w:val="00440223"/>
    <w:rsid w:val="00444A70"/>
    <w:rsid w:val="00444D85"/>
    <w:rsid w:val="00446DE2"/>
    <w:rsid w:val="00447443"/>
    <w:rsid w:val="0044763B"/>
    <w:rsid w:val="00447E45"/>
    <w:rsid w:val="00452696"/>
    <w:rsid w:val="00453F32"/>
    <w:rsid w:val="00454665"/>
    <w:rsid w:val="00455770"/>
    <w:rsid w:val="00455E1B"/>
    <w:rsid w:val="00456A53"/>
    <w:rsid w:val="00457083"/>
    <w:rsid w:val="0046213C"/>
    <w:rsid w:val="004622FB"/>
    <w:rsid w:val="00462518"/>
    <w:rsid w:val="0046266D"/>
    <w:rsid w:val="004629B3"/>
    <w:rsid w:val="00463022"/>
    <w:rsid w:val="0046376E"/>
    <w:rsid w:val="00463B50"/>
    <w:rsid w:val="00463C17"/>
    <w:rsid w:val="004647C5"/>
    <w:rsid w:val="0046587C"/>
    <w:rsid w:val="0046690F"/>
    <w:rsid w:val="00466BF9"/>
    <w:rsid w:val="0046792B"/>
    <w:rsid w:val="00470E9C"/>
    <w:rsid w:val="00471116"/>
    <w:rsid w:val="00472FEC"/>
    <w:rsid w:val="00473A2A"/>
    <w:rsid w:val="0047442A"/>
    <w:rsid w:val="0047503A"/>
    <w:rsid w:val="0047600D"/>
    <w:rsid w:val="00476830"/>
    <w:rsid w:val="0047696E"/>
    <w:rsid w:val="004770F6"/>
    <w:rsid w:val="00480128"/>
    <w:rsid w:val="00480AD1"/>
    <w:rsid w:val="004812D2"/>
    <w:rsid w:val="0048202F"/>
    <w:rsid w:val="00482D4B"/>
    <w:rsid w:val="004835F8"/>
    <w:rsid w:val="00483617"/>
    <w:rsid w:val="00483906"/>
    <w:rsid w:val="00483B28"/>
    <w:rsid w:val="004858E1"/>
    <w:rsid w:val="00485EF2"/>
    <w:rsid w:val="004864A1"/>
    <w:rsid w:val="0048662B"/>
    <w:rsid w:val="00486CB5"/>
    <w:rsid w:val="0048769E"/>
    <w:rsid w:val="004901D4"/>
    <w:rsid w:val="00490A03"/>
    <w:rsid w:val="00490B0D"/>
    <w:rsid w:val="00490E5D"/>
    <w:rsid w:val="00491A95"/>
    <w:rsid w:val="00492782"/>
    <w:rsid w:val="00492908"/>
    <w:rsid w:val="00492B0A"/>
    <w:rsid w:val="00492D88"/>
    <w:rsid w:val="00493327"/>
    <w:rsid w:val="0049382E"/>
    <w:rsid w:val="00493B38"/>
    <w:rsid w:val="00494DBE"/>
    <w:rsid w:val="00495CE6"/>
    <w:rsid w:val="0049678F"/>
    <w:rsid w:val="00497524"/>
    <w:rsid w:val="00497D5E"/>
    <w:rsid w:val="004A1001"/>
    <w:rsid w:val="004A144D"/>
    <w:rsid w:val="004A1D27"/>
    <w:rsid w:val="004A323C"/>
    <w:rsid w:val="004A66C7"/>
    <w:rsid w:val="004A799C"/>
    <w:rsid w:val="004A7C07"/>
    <w:rsid w:val="004B0801"/>
    <w:rsid w:val="004B1117"/>
    <w:rsid w:val="004B1A6B"/>
    <w:rsid w:val="004B1F1E"/>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503"/>
    <w:rsid w:val="004C47EA"/>
    <w:rsid w:val="004C4FEB"/>
    <w:rsid w:val="004C6570"/>
    <w:rsid w:val="004C678C"/>
    <w:rsid w:val="004C6B79"/>
    <w:rsid w:val="004C7345"/>
    <w:rsid w:val="004D059B"/>
    <w:rsid w:val="004D09E8"/>
    <w:rsid w:val="004D09F9"/>
    <w:rsid w:val="004D0E64"/>
    <w:rsid w:val="004D24AF"/>
    <w:rsid w:val="004D2AC2"/>
    <w:rsid w:val="004D304E"/>
    <w:rsid w:val="004D4543"/>
    <w:rsid w:val="004D48A8"/>
    <w:rsid w:val="004D4CB6"/>
    <w:rsid w:val="004D4DCB"/>
    <w:rsid w:val="004E0907"/>
    <w:rsid w:val="004E20CF"/>
    <w:rsid w:val="004E2324"/>
    <w:rsid w:val="004E28C9"/>
    <w:rsid w:val="004E31E2"/>
    <w:rsid w:val="004E3341"/>
    <w:rsid w:val="004E5124"/>
    <w:rsid w:val="004E5765"/>
    <w:rsid w:val="004E5FA8"/>
    <w:rsid w:val="004E693B"/>
    <w:rsid w:val="004E7BE2"/>
    <w:rsid w:val="004E7E3A"/>
    <w:rsid w:val="004F0118"/>
    <w:rsid w:val="004F029A"/>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6E"/>
    <w:rsid w:val="00506B8A"/>
    <w:rsid w:val="005070F4"/>
    <w:rsid w:val="005110D3"/>
    <w:rsid w:val="00512642"/>
    <w:rsid w:val="005135FF"/>
    <w:rsid w:val="005152A7"/>
    <w:rsid w:val="00515D8D"/>
    <w:rsid w:val="005168ED"/>
    <w:rsid w:val="00516EBC"/>
    <w:rsid w:val="00520A65"/>
    <w:rsid w:val="00521834"/>
    <w:rsid w:val="00521891"/>
    <w:rsid w:val="005218B8"/>
    <w:rsid w:val="0052212B"/>
    <w:rsid w:val="005221A8"/>
    <w:rsid w:val="005225D6"/>
    <w:rsid w:val="005230C7"/>
    <w:rsid w:val="0052329A"/>
    <w:rsid w:val="00524A45"/>
    <w:rsid w:val="0052625A"/>
    <w:rsid w:val="005266EA"/>
    <w:rsid w:val="00527072"/>
    <w:rsid w:val="00527C1A"/>
    <w:rsid w:val="0053001D"/>
    <w:rsid w:val="00530A20"/>
    <w:rsid w:val="00533DCC"/>
    <w:rsid w:val="00534B46"/>
    <w:rsid w:val="00534CE8"/>
    <w:rsid w:val="00535018"/>
    <w:rsid w:val="00535180"/>
    <w:rsid w:val="005355DB"/>
    <w:rsid w:val="00535866"/>
    <w:rsid w:val="0053628B"/>
    <w:rsid w:val="00540358"/>
    <w:rsid w:val="00540A05"/>
    <w:rsid w:val="00540CF3"/>
    <w:rsid w:val="00540D47"/>
    <w:rsid w:val="005428D7"/>
    <w:rsid w:val="00542D43"/>
    <w:rsid w:val="0054427E"/>
    <w:rsid w:val="00544504"/>
    <w:rsid w:val="00544D99"/>
    <w:rsid w:val="005463C3"/>
    <w:rsid w:val="005465A3"/>
    <w:rsid w:val="00547C7C"/>
    <w:rsid w:val="005506D5"/>
    <w:rsid w:val="00550864"/>
    <w:rsid w:val="00550B92"/>
    <w:rsid w:val="00551D6C"/>
    <w:rsid w:val="00553580"/>
    <w:rsid w:val="005550A8"/>
    <w:rsid w:val="0055571E"/>
    <w:rsid w:val="005559EE"/>
    <w:rsid w:val="00556DF4"/>
    <w:rsid w:val="00556F67"/>
    <w:rsid w:val="00556FE5"/>
    <w:rsid w:val="00557849"/>
    <w:rsid w:val="00563009"/>
    <w:rsid w:val="005635B7"/>
    <w:rsid w:val="00563BC6"/>
    <w:rsid w:val="00564534"/>
    <w:rsid w:val="005652E8"/>
    <w:rsid w:val="00566774"/>
    <w:rsid w:val="0056772E"/>
    <w:rsid w:val="00567A17"/>
    <w:rsid w:val="0057667C"/>
    <w:rsid w:val="00576BDA"/>
    <w:rsid w:val="00577DB4"/>
    <w:rsid w:val="00581B1C"/>
    <w:rsid w:val="00581C27"/>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511"/>
    <w:rsid w:val="00590740"/>
    <w:rsid w:val="00590A34"/>
    <w:rsid w:val="00591180"/>
    <w:rsid w:val="00592E9F"/>
    <w:rsid w:val="00595286"/>
    <w:rsid w:val="00595E5A"/>
    <w:rsid w:val="0059722C"/>
    <w:rsid w:val="005977A6"/>
    <w:rsid w:val="00597D07"/>
    <w:rsid w:val="00597DD6"/>
    <w:rsid w:val="005A16E6"/>
    <w:rsid w:val="005A30D7"/>
    <w:rsid w:val="005A3846"/>
    <w:rsid w:val="005A5E6B"/>
    <w:rsid w:val="005A678F"/>
    <w:rsid w:val="005A76C5"/>
    <w:rsid w:val="005A7DE8"/>
    <w:rsid w:val="005A7E97"/>
    <w:rsid w:val="005B05BE"/>
    <w:rsid w:val="005B0B0D"/>
    <w:rsid w:val="005B0DFE"/>
    <w:rsid w:val="005B25C1"/>
    <w:rsid w:val="005B2B19"/>
    <w:rsid w:val="005B2CD2"/>
    <w:rsid w:val="005B33E0"/>
    <w:rsid w:val="005B37D0"/>
    <w:rsid w:val="005B632A"/>
    <w:rsid w:val="005B6A58"/>
    <w:rsid w:val="005C0195"/>
    <w:rsid w:val="005C082A"/>
    <w:rsid w:val="005C194F"/>
    <w:rsid w:val="005C2D0E"/>
    <w:rsid w:val="005C5A83"/>
    <w:rsid w:val="005C6F54"/>
    <w:rsid w:val="005C7112"/>
    <w:rsid w:val="005C74AF"/>
    <w:rsid w:val="005D0561"/>
    <w:rsid w:val="005D0AD9"/>
    <w:rsid w:val="005D1A67"/>
    <w:rsid w:val="005D1C91"/>
    <w:rsid w:val="005D22F6"/>
    <w:rsid w:val="005D31DA"/>
    <w:rsid w:val="005D491D"/>
    <w:rsid w:val="005D59DE"/>
    <w:rsid w:val="005D6774"/>
    <w:rsid w:val="005D68AA"/>
    <w:rsid w:val="005D6BD1"/>
    <w:rsid w:val="005E060E"/>
    <w:rsid w:val="005E0C30"/>
    <w:rsid w:val="005E1DCB"/>
    <w:rsid w:val="005E2377"/>
    <w:rsid w:val="005E2754"/>
    <w:rsid w:val="005E2EE4"/>
    <w:rsid w:val="005E33E0"/>
    <w:rsid w:val="005E3BE7"/>
    <w:rsid w:val="005E3FBB"/>
    <w:rsid w:val="005E4ADC"/>
    <w:rsid w:val="005E66B4"/>
    <w:rsid w:val="005E69D9"/>
    <w:rsid w:val="005E6CB1"/>
    <w:rsid w:val="005E7116"/>
    <w:rsid w:val="005E7971"/>
    <w:rsid w:val="005F00E8"/>
    <w:rsid w:val="005F17D1"/>
    <w:rsid w:val="005F27F4"/>
    <w:rsid w:val="005F3239"/>
    <w:rsid w:val="005F378D"/>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315"/>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1BDB"/>
    <w:rsid w:val="00643D8A"/>
    <w:rsid w:val="00645A5C"/>
    <w:rsid w:val="00646797"/>
    <w:rsid w:val="00647AB9"/>
    <w:rsid w:val="00650894"/>
    <w:rsid w:val="0065112B"/>
    <w:rsid w:val="00652091"/>
    <w:rsid w:val="00652229"/>
    <w:rsid w:val="00652793"/>
    <w:rsid w:val="006528DE"/>
    <w:rsid w:val="00653020"/>
    <w:rsid w:val="0065315E"/>
    <w:rsid w:val="00654901"/>
    <w:rsid w:val="00655CA6"/>
    <w:rsid w:val="00657789"/>
    <w:rsid w:val="00657E45"/>
    <w:rsid w:val="00660196"/>
    <w:rsid w:val="00660320"/>
    <w:rsid w:val="0066187E"/>
    <w:rsid w:val="00661F33"/>
    <w:rsid w:val="00662375"/>
    <w:rsid w:val="006626CA"/>
    <w:rsid w:val="00663487"/>
    <w:rsid w:val="0066560E"/>
    <w:rsid w:val="006662DE"/>
    <w:rsid w:val="00666398"/>
    <w:rsid w:val="00670B70"/>
    <w:rsid w:val="006711A6"/>
    <w:rsid w:val="00671571"/>
    <w:rsid w:val="00672382"/>
    <w:rsid w:val="006733BB"/>
    <w:rsid w:val="00676E80"/>
    <w:rsid w:val="00677854"/>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5BB"/>
    <w:rsid w:val="006A1ED8"/>
    <w:rsid w:val="006A2EF9"/>
    <w:rsid w:val="006A59E9"/>
    <w:rsid w:val="006A5AB1"/>
    <w:rsid w:val="006A6256"/>
    <w:rsid w:val="006A75B8"/>
    <w:rsid w:val="006A79F0"/>
    <w:rsid w:val="006B048F"/>
    <w:rsid w:val="006B0D77"/>
    <w:rsid w:val="006B359D"/>
    <w:rsid w:val="006B47EE"/>
    <w:rsid w:val="006B499F"/>
    <w:rsid w:val="006B4B96"/>
    <w:rsid w:val="006B54C6"/>
    <w:rsid w:val="006B617F"/>
    <w:rsid w:val="006B788F"/>
    <w:rsid w:val="006B7EEA"/>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41EF"/>
    <w:rsid w:val="006F524E"/>
    <w:rsid w:val="006F5C9C"/>
    <w:rsid w:val="006F5D57"/>
    <w:rsid w:val="006F6125"/>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1AB"/>
    <w:rsid w:val="0070471B"/>
    <w:rsid w:val="00705BBE"/>
    <w:rsid w:val="00706EA5"/>
    <w:rsid w:val="00707172"/>
    <w:rsid w:val="0070733C"/>
    <w:rsid w:val="00707436"/>
    <w:rsid w:val="00707D08"/>
    <w:rsid w:val="007102D5"/>
    <w:rsid w:val="00710C5D"/>
    <w:rsid w:val="007115D0"/>
    <w:rsid w:val="00711C44"/>
    <w:rsid w:val="0071348C"/>
    <w:rsid w:val="0071413A"/>
    <w:rsid w:val="00717273"/>
    <w:rsid w:val="00720C19"/>
    <w:rsid w:val="00720D9C"/>
    <w:rsid w:val="00720FD4"/>
    <w:rsid w:val="00721072"/>
    <w:rsid w:val="0072252B"/>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80D"/>
    <w:rsid w:val="00753A24"/>
    <w:rsid w:val="0075414E"/>
    <w:rsid w:val="0075430D"/>
    <w:rsid w:val="007543C1"/>
    <w:rsid w:val="007558B1"/>
    <w:rsid w:val="00756614"/>
    <w:rsid w:val="007568F2"/>
    <w:rsid w:val="0075702F"/>
    <w:rsid w:val="0075779F"/>
    <w:rsid w:val="00763539"/>
    <w:rsid w:val="0076354B"/>
    <w:rsid w:val="007640FC"/>
    <w:rsid w:val="0076414E"/>
    <w:rsid w:val="007658F3"/>
    <w:rsid w:val="007661FA"/>
    <w:rsid w:val="00766EA2"/>
    <w:rsid w:val="00767034"/>
    <w:rsid w:val="007712DB"/>
    <w:rsid w:val="00771445"/>
    <w:rsid w:val="00771460"/>
    <w:rsid w:val="00771E71"/>
    <w:rsid w:val="00772188"/>
    <w:rsid w:val="0077222A"/>
    <w:rsid w:val="00773741"/>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2BE"/>
    <w:rsid w:val="007B278C"/>
    <w:rsid w:val="007B2927"/>
    <w:rsid w:val="007B2DAD"/>
    <w:rsid w:val="007B3774"/>
    <w:rsid w:val="007B3FC8"/>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44FF"/>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13D"/>
    <w:rsid w:val="007F223A"/>
    <w:rsid w:val="007F2532"/>
    <w:rsid w:val="007F2B1E"/>
    <w:rsid w:val="007F3BC1"/>
    <w:rsid w:val="007F420A"/>
    <w:rsid w:val="007F4590"/>
    <w:rsid w:val="007F5772"/>
    <w:rsid w:val="007F5BC9"/>
    <w:rsid w:val="007F62B4"/>
    <w:rsid w:val="007F7DF9"/>
    <w:rsid w:val="00800FD6"/>
    <w:rsid w:val="00801517"/>
    <w:rsid w:val="00801CCB"/>
    <w:rsid w:val="00802BA7"/>
    <w:rsid w:val="00804053"/>
    <w:rsid w:val="00804966"/>
    <w:rsid w:val="0080510A"/>
    <w:rsid w:val="0080596A"/>
    <w:rsid w:val="00805CBF"/>
    <w:rsid w:val="00806524"/>
    <w:rsid w:val="008079E2"/>
    <w:rsid w:val="00807BD9"/>
    <w:rsid w:val="00810423"/>
    <w:rsid w:val="00810AC4"/>
    <w:rsid w:val="00811EA4"/>
    <w:rsid w:val="0081218E"/>
    <w:rsid w:val="0081228B"/>
    <w:rsid w:val="00813492"/>
    <w:rsid w:val="00813643"/>
    <w:rsid w:val="00813A7E"/>
    <w:rsid w:val="00814DE2"/>
    <w:rsid w:val="008163F5"/>
    <w:rsid w:val="00816F49"/>
    <w:rsid w:val="008177EE"/>
    <w:rsid w:val="00817895"/>
    <w:rsid w:val="00817AE8"/>
    <w:rsid w:val="00817B5C"/>
    <w:rsid w:val="00817DE8"/>
    <w:rsid w:val="008229F5"/>
    <w:rsid w:val="008247B7"/>
    <w:rsid w:val="008259DE"/>
    <w:rsid w:val="0082699A"/>
    <w:rsid w:val="00827418"/>
    <w:rsid w:val="00827872"/>
    <w:rsid w:val="00827BD9"/>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25DA"/>
    <w:rsid w:val="008542A3"/>
    <w:rsid w:val="008558D0"/>
    <w:rsid w:val="00855FD0"/>
    <w:rsid w:val="0085679E"/>
    <w:rsid w:val="008570A5"/>
    <w:rsid w:val="008573B5"/>
    <w:rsid w:val="00857408"/>
    <w:rsid w:val="008578A9"/>
    <w:rsid w:val="0086072A"/>
    <w:rsid w:val="0086088F"/>
    <w:rsid w:val="00860C8A"/>
    <w:rsid w:val="008614F1"/>
    <w:rsid w:val="00862067"/>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05"/>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110"/>
    <w:rsid w:val="008919DB"/>
    <w:rsid w:val="00891A88"/>
    <w:rsid w:val="00891D8A"/>
    <w:rsid w:val="0089256B"/>
    <w:rsid w:val="0089542A"/>
    <w:rsid w:val="00895949"/>
    <w:rsid w:val="0089796A"/>
    <w:rsid w:val="0089799B"/>
    <w:rsid w:val="00897D9B"/>
    <w:rsid w:val="008A09DE"/>
    <w:rsid w:val="008A2375"/>
    <w:rsid w:val="008A3798"/>
    <w:rsid w:val="008A389B"/>
    <w:rsid w:val="008A3AC0"/>
    <w:rsid w:val="008A43D7"/>
    <w:rsid w:val="008A54B6"/>
    <w:rsid w:val="008A56FE"/>
    <w:rsid w:val="008A6622"/>
    <w:rsid w:val="008A7DEB"/>
    <w:rsid w:val="008B07C2"/>
    <w:rsid w:val="008B1B65"/>
    <w:rsid w:val="008B3557"/>
    <w:rsid w:val="008B39E0"/>
    <w:rsid w:val="008B421F"/>
    <w:rsid w:val="008B4302"/>
    <w:rsid w:val="008B605A"/>
    <w:rsid w:val="008B6150"/>
    <w:rsid w:val="008C093B"/>
    <w:rsid w:val="008C0E0A"/>
    <w:rsid w:val="008C0E76"/>
    <w:rsid w:val="008C2665"/>
    <w:rsid w:val="008C2B01"/>
    <w:rsid w:val="008C308E"/>
    <w:rsid w:val="008C54D2"/>
    <w:rsid w:val="008C5CD8"/>
    <w:rsid w:val="008C6041"/>
    <w:rsid w:val="008C68D0"/>
    <w:rsid w:val="008C74E3"/>
    <w:rsid w:val="008D0936"/>
    <w:rsid w:val="008D3A49"/>
    <w:rsid w:val="008D403B"/>
    <w:rsid w:val="008D4707"/>
    <w:rsid w:val="008D5CAF"/>
    <w:rsid w:val="008D76C5"/>
    <w:rsid w:val="008E006C"/>
    <w:rsid w:val="008E077C"/>
    <w:rsid w:val="008E0A04"/>
    <w:rsid w:val="008E0AA0"/>
    <w:rsid w:val="008E0AFA"/>
    <w:rsid w:val="008E0F60"/>
    <w:rsid w:val="008E131A"/>
    <w:rsid w:val="008E26B4"/>
    <w:rsid w:val="008E2799"/>
    <w:rsid w:val="008E411B"/>
    <w:rsid w:val="008E4D82"/>
    <w:rsid w:val="008E4F56"/>
    <w:rsid w:val="008E6193"/>
    <w:rsid w:val="008E63CA"/>
    <w:rsid w:val="008E71E8"/>
    <w:rsid w:val="008E75D3"/>
    <w:rsid w:val="008E7E48"/>
    <w:rsid w:val="008E7F3A"/>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B0C"/>
    <w:rsid w:val="00900D3C"/>
    <w:rsid w:val="00906292"/>
    <w:rsid w:val="00906FA4"/>
    <w:rsid w:val="0090713D"/>
    <w:rsid w:val="00910C40"/>
    <w:rsid w:val="00911AA1"/>
    <w:rsid w:val="00914B5B"/>
    <w:rsid w:val="00915918"/>
    <w:rsid w:val="00916EAB"/>
    <w:rsid w:val="00917162"/>
    <w:rsid w:val="009172B9"/>
    <w:rsid w:val="009178AA"/>
    <w:rsid w:val="00917E35"/>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AB0"/>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429F"/>
    <w:rsid w:val="009555CA"/>
    <w:rsid w:val="00955A9C"/>
    <w:rsid w:val="00955D69"/>
    <w:rsid w:val="00955EC7"/>
    <w:rsid w:val="009577B8"/>
    <w:rsid w:val="00957EFA"/>
    <w:rsid w:val="00960539"/>
    <w:rsid w:val="009605B1"/>
    <w:rsid w:val="00960CBC"/>
    <w:rsid w:val="00961EDD"/>
    <w:rsid w:val="009621EE"/>
    <w:rsid w:val="00963787"/>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0C9"/>
    <w:rsid w:val="009809DA"/>
    <w:rsid w:val="00980E69"/>
    <w:rsid w:val="00982FA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5526"/>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1CD2"/>
    <w:rsid w:val="009C2852"/>
    <w:rsid w:val="009C37AB"/>
    <w:rsid w:val="009C41BB"/>
    <w:rsid w:val="009C4C7A"/>
    <w:rsid w:val="009C4D35"/>
    <w:rsid w:val="009C527C"/>
    <w:rsid w:val="009C5E51"/>
    <w:rsid w:val="009C738F"/>
    <w:rsid w:val="009C79DB"/>
    <w:rsid w:val="009C7B68"/>
    <w:rsid w:val="009D0603"/>
    <w:rsid w:val="009D0BB1"/>
    <w:rsid w:val="009D1522"/>
    <w:rsid w:val="009D21DD"/>
    <w:rsid w:val="009D3919"/>
    <w:rsid w:val="009D3E2E"/>
    <w:rsid w:val="009D51F0"/>
    <w:rsid w:val="009D51F7"/>
    <w:rsid w:val="009D7252"/>
    <w:rsid w:val="009D74DB"/>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1B68"/>
    <w:rsid w:val="00A0375F"/>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5EF6"/>
    <w:rsid w:val="00A16618"/>
    <w:rsid w:val="00A17F5B"/>
    <w:rsid w:val="00A20196"/>
    <w:rsid w:val="00A216E5"/>
    <w:rsid w:val="00A2250A"/>
    <w:rsid w:val="00A24046"/>
    <w:rsid w:val="00A24752"/>
    <w:rsid w:val="00A24BA7"/>
    <w:rsid w:val="00A24BA8"/>
    <w:rsid w:val="00A26744"/>
    <w:rsid w:val="00A26CB6"/>
    <w:rsid w:val="00A278FC"/>
    <w:rsid w:val="00A30A00"/>
    <w:rsid w:val="00A3251C"/>
    <w:rsid w:val="00A32939"/>
    <w:rsid w:val="00A32F82"/>
    <w:rsid w:val="00A32F8B"/>
    <w:rsid w:val="00A3431E"/>
    <w:rsid w:val="00A34F9F"/>
    <w:rsid w:val="00A35AA1"/>
    <w:rsid w:val="00A35E39"/>
    <w:rsid w:val="00A36481"/>
    <w:rsid w:val="00A36675"/>
    <w:rsid w:val="00A3756F"/>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3A20"/>
    <w:rsid w:val="00A53E46"/>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16B"/>
    <w:rsid w:val="00A9149D"/>
    <w:rsid w:val="00A91A70"/>
    <w:rsid w:val="00A92659"/>
    <w:rsid w:val="00A9302F"/>
    <w:rsid w:val="00A940AB"/>
    <w:rsid w:val="00A940AF"/>
    <w:rsid w:val="00A956DA"/>
    <w:rsid w:val="00A957F6"/>
    <w:rsid w:val="00A959CF"/>
    <w:rsid w:val="00A972A9"/>
    <w:rsid w:val="00A97316"/>
    <w:rsid w:val="00A974AA"/>
    <w:rsid w:val="00A977E4"/>
    <w:rsid w:val="00A97D2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C6F72"/>
    <w:rsid w:val="00AD0C22"/>
    <w:rsid w:val="00AD0D7E"/>
    <w:rsid w:val="00AD1AD7"/>
    <w:rsid w:val="00AD1AE2"/>
    <w:rsid w:val="00AD2180"/>
    <w:rsid w:val="00AD3290"/>
    <w:rsid w:val="00AD3CA6"/>
    <w:rsid w:val="00AD442C"/>
    <w:rsid w:val="00AD44FE"/>
    <w:rsid w:val="00AD5A37"/>
    <w:rsid w:val="00AD67D2"/>
    <w:rsid w:val="00AD73BF"/>
    <w:rsid w:val="00AE057C"/>
    <w:rsid w:val="00AE05A4"/>
    <w:rsid w:val="00AE177E"/>
    <w:rsid w:val="00AE244E"/>
    <w:rsid w:val="00AE25F6"/>
    <w:rsid w:val="00AE25FC"/>
    <w:rsid w:val="00AE400C"/>
    <w:rsid w:val="00AE4291"/>
    <w:rsid w:val="00AE4461"/>
    <w:rsid w:val="00AE49F1"/>
    <w:rsid w:val="00AE4A1C"/>
    <w:rsid w:val="00AE4B7A"/>
    <w:rsid w:val="00AE5366"/>
    <w:rsid w:val="00AE5399"/>
    <w:rsid w:val="00AE5532"/>
    <w:rsid w:val="00AE7351"/>
    <w:rsid w:val="00AE74D8"/>
    <w:rsid w:val="00AF0B26"/>
    <w:rsid w:val="00AF0B6F"/>
    <w:rsid w:val="00AF1B37"/>
    <w:rsid w:val="00AF1D69"/>
    <w:rsid w:val="00AF1DE9"/>
    <w:rsid w:val="00AF30D0"/>
    <w:rsid w:val="00AF3FEC"/>
    <w:rsid w:val="00AF41FA"/>
    <w:rsid w:val="00AF551F"/>
    <w:rsid w:val="00AF581E"/>
    <w:rsid w:val="00AF71EB"/>
    <w:rsid w:val="00B0026E"/>
    <w:rsid w:val="00B0028A"/>
    <w:rsid w:val="00B00988"/>
    <w:rsid w:val="00B01405"/>
    <w:rsid w:val="00B03778"/>
    <w:rsid w:val="00B04955"/>
    <w:rsid w:val="00B052E8"/>
    <w:rsid w:val="00B05CCA"/>
    <w:rsid w:val="00B0701C"/>
    <w:rsid w:val="00B100C9"/>
    <w:rsid w:val="00B108E5"/>
    <w:rsid w:val="00B10E8A"/>
    <w:rsid w:val="00B11099"/>
    <w:rsid w:val="00B1118A"/>
    <w:rsid w:val="00B12044"/>
    <w:rsid w:val="00B13624"/>
    <w:rsid w:val="00B14271"/>
    <w:rsid w:val="00B14B4F"/>
    <w:rsid w:val="00B16270"/>
    <w:rsid w:val="00B166F8"/>
    <w:rsid w:val="00B16D70"/>
    <w:rsid w:val="00B17C8C"/>
    <w:rsid w:val="00B22578"/>
    <w:rsid w:val="00B23C16"/>
    <w:rsid w:val="00B23C52"/>
    <w:rsid w:val="00B241F2"/>
    <w:rsid w:val="00B247C7"/>
    <w:rsid w:val="00B2494E"/>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3728C"/>
    <w:rsid w:val="00B40EAF"/>
    <w:rsid w:val="00B422EC"/>
    <w:rsid w:val="00B44335"/>
    <w:rsid w:val="00B44875"/>
    <w:rsid w:val="00B44C07"/>
    <w:rsid w:val="00B4518A"/>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B0B"/>
    <w:rsid w:val="00B72FA4"/>
    <w:rsid w:val="00B758FD"/>
    <w:rsid w:val="00B76807"/>
    <w:rsid w:val="00B77346"/>
    <w:rsid w:val="00B77D24"/>
    <w:rsid w:val="00B80A8C"/>
    <w:rsid w:val="00B81A6C"/>
    <w:rsid w:val="00B8214F"/>
    <w:rsid w:val="00B82B43"/>
    <w:rsid w:val="00B82B48"/>
    <w:rsid w:val="00B8500F"/>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3681"/>
    <w:rsid w:val="00BA465D"/>
    <w:rsid w:val="00BA52C0"/>
    <w:rsid w:val="00BA5B46"/>
    <w:rsid w:val="00BA63D4"/>
    <w:rsid w:val="00BA6770"/>
    <w:rsid w:val="00BB054C"/>
    <w:rsid w:val="00BB0AB3"/>
    <w:rsid w:val="00BB1D8C"/>
    <w:rsid w:val="00BB220C"/>
    <w:rsid w:val="00BB256A"/>
    <w:rsid w:val="00BB2CFE"/>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4C22"/>
    <w:rsid w:val="00BD5A19"/>
    <w:rsid w:val="00BD656A"/>
    <w:rsid w:val="00BD6A0B"/>
    <w:rsid w:val="00BD6D1B"/>
    <w:rsid w:val="00BE05BB"/>
    <w:rsid w:val="00BE13AB"/>
    <w:rsid w:val="00BE1906"/>
    <w:rsid w:val="00BE2403"/>
    <w:rsid w:val="00BE2D0A"/>
    <w:rsid w:val="00BE36F1"/>
    <w:rsid w:val="00BE47D4"/>
    <w:rsid w:val="00BE793A"/>
    <w:rsid w:val="00BE7A0B"/>
    <w:rsid w:val="00BF114D"/>
    <w:rsid w:val="00BF28DA"/>
    <w:rsid w:val="00BF2B82"/>
    <w:rsid w:val="00BF2CEB"/>
    <w:rsid w:val="00BF432A"/>
    <w:rsid w:val="00BF46ED"/>
    <w:rsid w:val="00BF4D62"/>
    <w:rsid w:val="00BF5D70"/>
    <w:rsid w:val="00BF62B7"/>
    <w:rsid w:val="00BF64A6"/>
    <w:rsid w:val="00BF6796"/>
    <w:rsid w:val="00BF69D7"/>
    <w:rsid w:val="00BF6E82"/>
    <w:rsid w:val="00C011CC"/>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1DAD"/>
    <w:rsid w:val="00C22054"/>
    <w:rsid w:val="00C2288E"/>
    <w:rsid w:val="00C22B54"/>
    <w:rsid w:val="00C230C6"/>
    <w:rsid w:val="00C232DB"/>
    <w:rsid w:val="00C24279"/>
    <w:rsid w:val="00C24C17"/>
    <w:rsid w:val="00C25DB0"/>
    <w:rsid w:val="00C2653F"/>
    <w:rsid w:val="00C27AA1"/>
    <w:rsid w:val="00C31595"/>
    <w:rsid w:val="00C31B25"/>
    <w:rsid w:val="00C32B78"/>
    <w:rsid w:val="00C33052"/>
    <w:rsid w:val="00C3309D"/>
    <w:rsid w:val="00C3411D"/>
    <w:rsid w:val="00C34357"/>
    <w:rsid w:val="00C34829"/>
    <w:rsid w:val="00C363B8"/>
    <w:rsid w:val="00C36595"/>
    <w:rsid w:val="00C3758F"/>
    <w:rsid w:val="00C40B88"/>
    <w:rsid w:val="00C41852"/>
    <w:rsid w:val="00C432BC"/>
    <w:rsid w:val="00C44489"/>
    <w:rsid w:val="00C44D0E"/>
    <w:rsid w:val="00C44FC2"/>
    <w:rsid w:val="00C452D4"/>
    <w:rsid w:val="00C457DD"/>
    <w:rsid w:val="00C475EF"/>
    <w:rsid w:val="00C47D87"/>
    <w:rsid w:val="00C47E1B"/>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18A"/>
    <w:rsid w:val="00CA2B10"/>
    <w:rsid w:val="00CA37A2"/>
    <w:rsid w:val="00CA3F11"/>
    <w:rsid w:val="00CA5256"/>
    <w:rsid w:val="00CA5564"/>
    <w:rsid w:val="00CA72AA"/>
    <w:rsid w:val="00CB078E"/>
    <w:rsid w:val="00CB3782"/>
    <w:rsid w:val="00CB4D20"/>
    <w:rsid w:val="00CB4E6C"/>
    <w:rsid w:val="00CB5B6C"/>
    <w:rsid w:val="00CB74E3"/>
    <w:rsid w:val="00CC00ED"/>
    <w:rsid w:val="00CC052E"/>
    <w:rsid w:val="00CC06E5"/>
    <w:rsid w:val="00CC0B14"/>
    <w:rsid w:val="00CC2031"/>
    <w:rsid w:val="00CC31F8"/>
    <w:rsid w:val="00CC5B9C"/>
    <w:rsid w:val="00CC7720"/>
    <w:rsid w:val="00CD02DF"/>
    <w:rsid w:val="00CD0D3E"/>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D7E64"/>
    <w:rsid w:val="00CE0C3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079D4"/>
    <w:rsid w:val="00D10594"/>
    <w:rsid w:val="00D12258"/>
    <w:rsid w:val="00D123AE"/>
    <w:rsid w:val="00D12B87"/>
    <w:rsid w:val="00D148D9"/>
    <w:rsid w:val="00D15CDD"/>
    <w:rsid w:val="00D15E4C"/>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5CA"/>
    <w:rsid w:val="00D35790"/>
    <w:rsid w:val="00D407F1"/>
    <w:rsid w:val="00D41971"/>
    <w:rsid w:val="00D442D5"/>
    <w:rsid w:val="00D449EB"/>
    <w:rsid w:val="00D45043"/>
    <w:rsid w:val="00D47216"/>
    <w:rsid w:val="00D4757A"/>
    <w:rsid w:val="00D5070C"/>
    <w:rsid w:val="00D51576"/>
    <w:rsid w:val="00D51742"/>
    <w:rsid w:val="00D519AF"/>
    <w:rsid w:val="00D51A4E"/>
    <w:rsid w:val="00D51DAA"/>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77E"/>
    <w:rsid w:val="00D6389F"/>
    <w:rsid w:val="00D644CA"/>
    <w:rsid w:val="00D64EA0"/>
    <w:rsid w:val="00D66FC2"/>
    <w:rsid w:val="00D67388"/>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0EA8"/>
    <w:rsid w:val="00D9152C"/>
    <w:rsid w:val="00D92179"/>
    <w:rsid w:val="00D922C6"/>
    <w:rsid w:val="00D9293F"/>
    <w:rsid w:val="00D92DE7"/>
    <w:rsid w:val="00D934E9"/>
    <w:rsid w:val="00D93598"/>
    <w:rsid w:val="00D93FDD"/>
    <w:rsid w:val="00D942F8"/>
    <w:rsid w:val="00D95E36"/>
    <w:rsid w:val="00D96325"/>
    <w:rsid w:val="00D9644B"/>
    <w:rsid w:val="00D966E8"/>
    <w:rsid w:val="00D97844"/>
    <w:rsid w:val="00D97A5B"/>
    <w:rsid w:val="00DA1DB1"/>
    <w:rsid w:val="00DA1E18"/>
    <w:rsid w:val="00DA2009"/>
    <w:rsid w:val="00DA25C2"/>
    <w:rsid w:val="00DA296C"/>
    <w:rsid w:val="00DA5410"/>
    <w:rsid w:val="00DA5833"/>
    <w:rsid w:val="00DA585A"/>
    <w:rsid w:val="00DA659F"/>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24CC"/>
    <w:rsid w:val="00DC41AB"/>
    <w:rsid w:val="00DC4BCA"/>
    <w:rsid w:val="00DC5CA4"/>
    <w:rsid w:val="00DC5CA8"/>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097"/>
    <w:rsid w:val="00DE2ABD"/>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287"/>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379B"/>
    <w:rsid w:val="00E34666"/>
    <w:rsid w:val="00E34793"/>
    <w:rsid w:val="00E3694E"/>
    <w:rsid w:val="00E36A66"/>
    <w:rsid w:val="00E37F70"/>
    <w:rsid w:val="00E405D8"/>
    <w:rsid w:val="00E41377"/>
    <w:rsid w:val="00E4196A"/>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0B7"/>
    <w:rsid w:val="00E561E6"/>
    <w:rsid w:val="00E5669C"/>
    <w:rsid w:val="00E56A58"/>
    <w:rsid w:val="00E57D93"/>
    <w:rsid w:val="00E60ECA"/>
    <w:rsid w:val="00E613AB"/>
    <w:rsid w:val="00E6168B"/>
    <w:rsid w:val="00E61A7F"/>
    <w:rsid w:val="00E631EA"/>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0E69"/>
    <w:rsid w:val="00E816E4"/>
    <w:rsid w:val="00E81BC1"/>
    <w:rsid w:val="00E82FE5"/>
    <w:rsid w:val="00E83724"/>
    <w:rsid w:val="00E84236"/>
    <w:rsid w:val="00E843A4"/>
    <w:rsid w:val="00E8470B"/>
    <w:rsid w:val="00E84C02"/>
    <w:rsid w:val="00E85569"/>
    <w:rsid w:val="00E856AF"/>
    <w:rsid w:val="00E859D9"/>
    <w:rsid w:val="00E86018"/>
    <w:rsid w:val="00E86B83"/>
    <w:rsid w:val="00E86D6E"/>
    <w:rsid w:val="00E86D7D"/>
    <w:rsid w:val="00E878FB"/>
    <w:rsid w:val="00E87C64"/>
    <w:rsid w:val="00E910B7"/>
    <w:rsid w:val="00E912E1"/>
    <w:rsid w:val="00E919C3"/>
    <w:rsid w:val="00E93A01"/>
    <w:rsid w:val="00E93FF8"/>
    <w:rsid w:val="00E948D8"/>
    <w:rsid w:val="00E948F4"/>
    <w:rsid w:val="00E94EB6"/>
    <w:rsid w:val="00E94F16"/>
    <w:rsid w:val="00E950CA"/>
    <w:rsid w:val="00E95804"/>
    <w:rsid w:val="00E95CA8"/>
    <w:rsid w:val="00E96643"/>
    <w:rsid w:val="00E96CE0"/>
    <w:rsid w:val="00E96EAF"/>
    <w:rsid w:val="00E971A3"/>
    <w:rsid w:val="00EA044C"/>
    <w:rsid w:val="00EA1752"/>
    <w:rsid w:val="00EA1911"/>
    <w:rsid w:val="00EA539B"/>
    <w:rsid w:val="00EA5A89"/>
    <w:rsid w:val="00EA5BDB"/>
    <w:rsid w:val="00EA63FA"/>
    <w:rsid w:val="00EA7DEB"/>
    <w:rsid w:val="00EB056C"/>
    <w:rsid w:val="00EB0A73"/>
    <w:rsid w:val="00EB0A9C"/>
    <w:rsid w:val="00EB0B55"/>
    <w:rsid w:val="00EB2D73"/>
    <w:rsid w:val="00EB36DA"/>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C7ED7"/>
    <w:rsid w:val="00ED0024"/>
    <w:rsid w:val="00ED073E"/>
    <w:rsid w:val="00ED0C8E"/>
    <w:rsid w:val="00ED0EA0"/>
    <w:rsid w:val="00ED0F85"/>
    <w:rsid w:val="00ED2B5C"/>
    <w:rsid w:val="00ED3269"/>
    <w:rsid w:val="00ED3A18"/>
    <w:rsid w:val="00ED3AB7"/>
    <w:rsid w:val="00ED3C57"/>
    <w:rsid w:val="00ED42A0"/>
    <w:rsid w:val="00ED50D6"/>
    <w:rsid w:val="00ED7D1B"/>
    <w:rsid w:val="00EE0AA8"/>
    <w:rsid w:val="00EE0D12"/>
    <w:rsid w:val="00EE1A8C"/>
    <w:rsid w:val="00EE1C03"/>
    <w:rsid w:val="00EE2AE6"/>
    <w:rsid w:val="00EE3FED"/>
    <w:rsid w:val="00EE4643"/>
    <w:rsid w:val="00EE4B65"/>
    <w:rsid w:val="00EE529F"/>
    <w:rsid w:val="00EE65B6"/>
    <w:rsid w:val="00EE7970"/>
    <w:rsid w:val="00EE7C86"/>
    <w:rsid w:val="00EF061E"/>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D9D"/>
    <w:rsid w:val="00F04E9B"/>
    <w:rsid w:val="00F0716C"/>
    <w:rsid w:val="00F105AE"/>
    <w:rsid w:val="00F108A8"/>
    <w:rsid w:val="00F12753"/>
    <w:rsid w:val="00F12E8B"/>
    <w:rsid w:val="00F13319"/>
    <w:rsid w:val="00F14353"/>
    <w:rsid w:val="00F1495E"/>
    <w:rsid w:val="00F1628B"/>
    <w:rsid w:val="00F16EBE"/>
    <w:rsid w:val="00F20D82"/>
    <w:rsid w:val="00F20F0C"/>
    <w:rsid w:val="00F226EC"/>
    <w:rsid w:val="00F22B26"/>
    <w:rsid w:val="00F22CAC"/>
    <w:rsid w:val="00F22E81"/>
    <w:rsid w:val="00F23BF1"/>
    <w:rsid w:val="00F24382"/>
    <w:rsid w:val="00F2512C"/>
    <w:rsid w:val="00F26525"/>
    <w:rsid w:val="00F270E9"/>
    <w:rsid w:val="00F273EF"/>
    <w:rsid w:val="00F27440"/>
    <w:rsid w:val="00F275C0"/>
    <w:rsid w:val="00F300B8"/>
    <w:rsid w:val="00F304D0"/>
    <w:rsid w:val="00F317B5"/>
    <w:rsid w:val="00F322E6"/>
    <w:rsid w:val="00F33348"/>
    <w:rsid w:val="00F346B6"/>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6C3B"/>
    <w:rsid w:val="00F47C20"/>
    <w:rsid w:val="00F50B46"/>
    <w:rsid w:val="00F50D1F"/>
    <w:rsid w:val="00F51545"/>
    <w:rsid w:val="00F51901"/>
    <w:rsid w:val="00F521DE"/>
    <w:rsid w:val="00F5371A"/>
    <w:rsid w:val="00F54162"/>
    <w:rsid w:val="00F541D4"/>
    <w:rsid w:val="00F54B00"/>
    <w:rsid w:val="00F553CE"/>
    <w:rsid w:val="00F5541E"/>
    <w:rsid w:val="00F5565A"/>
    <w:rsid w:val="00F56043"/>
    <w:rsid w:val="00F565B2"/>
    <w:rsid w:val="00F5664E"/>
    <w:rsid w:val="00F56BD8"/>
    <w:rsid w:val="00F56FA9"/>
    <w:rsid w:val="00F608FA"/>
    <w:rsid w:val="00F61145"/>
    <w:rsid w:val="00F6171A"/>
    <w:rsid w:val="00F62306"/>
    <w:rsid w:val="00F635FC"/>
    <w:rsid w:val="00F63D03"/>
    <w:rsid w:val="00F65E2F"/>
    <w:rsid w:val="00F664B1"/>
    <w:rsid w:val="00F66520"/>
    <w:rsid w:val="00F66719"/>
    <w:rsid w:val="00F6673F"/>
    <w:rsid w:val="00F67385"/>
    <w:rsid w:val="00F67DF1"/>
    <w:rsid w:val="00F70467"/>
    <w:rsid w:val="00F7054E"/>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59D"/>
    <w:rsid w:val="00F96AFD"/>
    <w:rsid w:val="00F96F4C"/>
    <w:rsid w:val="00F97C64"/>
    <w:rsid w:val="00FA014C"/>
    <w:rsid w:val="00FA07F4"/>
    <w:rsid w:val="00FA1398"/>
    <w:rsid w:val="00FA1515"/>
    <w:rsid w:val="00FA2E19"/>
    <w:rsid w:val="00FA43C8"/>
    <w:rsid w:val="00FA5EBA"/>
    <w:rsid w:val="00FA6176"/>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5EDC"/>
    <w:rsid w:val="00FC6630"/>
    <w:rsid w:val="00FC7B66"/>
    <w:rsid w:val="00FD0D94"/>
    <w:rsid w:val="00FD106C"/>
    <w:rsid w:val="00FD1B08"/>
    <w:rsid w:val="00FD1CB8"/>
    <w:rsid w:val="00FD2BD3"/>
    <w:rsid w:val="00FD3DEF"/>
    <w:rsid w:val="00FD4CA5"/>
    <w:rsid w:val="00FD4CCA"/>
    <w:rsid w:val="00FD58B1"/>
    <w:rsid w:val="00FD62D8"/>
    <w:rsid w:val="00FD7002"/>
    <w:rsid w:val="00FD7610"/>
    <w:rsid w:val="00FE04BA"/>
    <w:rsid w:val="00FE234B"/>
    <w:rsid w:val="00FE2A9E"/>
    <w:rsid w:val="00FE3156"/>
    <w:rsid w:val="00FE34B3"/>
    <w:rsid w:val="00FE4387"/>
    <w:rsid w:val="00FE46B7"/>
    <w:rsid w:val="00FE4CEC"/>
    <w:rsid w:val="00FE4F50"/>
    <w:rsid w:val="00FE6C21"/>
    <w:rsid w:val="00FE6F4B"/>
    <w:rsid w:val="00FE7B54"/>
    <w:rsid w:val="00FF0420"/>
    <w:rsid w:val="00FF2AE1"/>
    <w:rsid w:val="00FF41B8"/>
    <w:rsid w:val="00FF47C1"/>
    <w:rsid w:val="00FF4F5A"/>
    <w:rsid w:val="00FF5237"/>
    <w:rsid w:val="00FF5685"/>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tr-T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tr-TR"/>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tr-TR"/>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DefaultParagraphFont"/>
    <w:link w:val="He05Fett"/>
    <w:rsid w:val="00B33C35"/>
    <w:rPr>
      <w:rFonts w:eastAsiaTheme="minorHAnsi" w:cstheme="minorBidi"/>
      <w:b/>
      <w:szCs w:val="22"/>
      <w:lang w:val="tr-TR"/>
    </w:rPr>
  </w:style>
  <w:style w:type="paragraph" w:customStyle="1" w:styleId="Default">
    <w:name w:val="Default"/>
    <w:rsid w:val="0026342A"/>
    <w:pPr>
      <w:autoSpaceDE w:val="0"/>
      <w:autoSpaceDN w:val="0"/>
      <w:adjustRightInd w:val="0"/>
    </w:pPr>
    <w:rPr>
      <w:rFonts w:cs="Segoe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3A018-70C5-4819-8A4A-F7EEB1E1B74E}">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3142</Words>
  <Characters>21100</Characters>
  <Application>Microsoft Office Word</Application>
  <DocSecurity>0</DocSecurity>
  <Lines>175</Lines>
  <Paragraphs>48</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24194</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Oznur Cati</cp:lastModifiedBy>
  <cp:revision>249</cp:revision>
  <cp:lastPrinted>2025-03-10T20:06:00Z</cp:lastPrinted>
  <dcterms:created xsi:type="dcterms:W3CDTF">2025-03-11T07:31:00Z</dcterms:created>
  <dcterms:modified xsi:type="dcterms:W3CDTF">2025-03-19T13:36:00Z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