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18679" w14:textId="35F4C4AC" w:rsidR="00033476" w:rsidRPr="00662590" w:rsidRDefault="004B2C19" w:rsidP="002D391F">
      <w:pPr>
        <w:pStyle w:val="MonthDayYear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11 มีนาคม 2025</w:t>
      </w:r>
    </w:p>
    <w:p w14:paraId="6E369758" w14:textId="10F86D47" w:rsidR="00E76C67" w:rsidRPr="00662590" w:rsidRDefault="00281B9B" w:rsidP="00B0553A">
      <w:pPr>
        <w:pStyle w:val="Topline"/>
        <w:spacing w:after="360"/>
        <w:jc w:val="left"/>
        <w:rPr>
          <w:rFonts w:ascii="Noto Sans Thai" w:hAnsi="Noto Sans Thai" w:cs="Noto Sans Thai"/>
        </w:rPr>
      </w:pPr>
      <w:r w:rsidRPr="00662590">
        <w:rPr>
          <w:rFonts w:ascii="Noto Sans Thai" w:hAnsi="Noto Sans Thai" w:cs="Noto Sans Thai"/>
          <w:lang w:val="th"/>
        </w:rPr>
        <w:t>Henkel นำเสนอผลประกอบการประจำปี 2024</w:t>
      </w:r>
    </w:p>
    <w:p w14:paraId="520F16C5" w14:textId="0481F579" w:rsidR="00E76C67" w:rsidRPr="00B71489" w:rsidRDefault="004B2C19" w:rsidP="00B0553A">
      <w:pPr>
        <w:jc w:val="left"/>
        <w:rPr>
          <w:rStyle w:val="Headline"/>
          <w:rFonts w:ascii="Noto Sans Thai" w:hAnsi="Noto Sans Thai" w:cs="Noto Sans Thai"/>
          <w:szCs w:val="32"/>
        </w:rPr>
      </w:pPr>
      <w:r w:rsidRPr="00B71489">
        <w:rPr>
          <w:rStyle w:val="Headline"/>
          <w:rFonts w:ascii="Noto Sans Thai" w:hAnsi="Noto Sans Thai" w:cs="Noto Sans Thai"/>
          <w:szCs w:val="32"/>
          <w:lang w:val="th"/>
        </w:rPr>
        <w:t>ผลประกอบการประจำปี 2024 ที่ดีเยี่ยมแสดงให้เห็นถึงความสําเร็จในการนําแผนการเติบโตอย่างมีจุดมุ่งหมายมาใช้</w:t>
      </w:r>
    </w:p>
    <w:p w14:paraId="5DB243D5" w14:textId="77777777" w:rsidR="004B2C19" w:rsidRPr="00662590" w:rsidRDefault="004B2C19" w:rsidP="00B0553A">
      <w:pPr>
        <w:spacing w:line="240" w:lineRule="auto"/>
        <w:jc w:val="left"/>
        <w:rPr>
          <w:rFonts w:ascii="Noto Sans Thai" w:hAnsi="Noto Sans Thai" w:cs="Noto Sans Thai"/>
          <w:szCs w:val="22"/>
        </w:rPr>
      </w:pPr>
    </w:p>
    <w:p w14:paraId="1AE13300" w14:textId="6FF4C516" w:rsidR="004B2C19" w:rsidRPr="00662590" w:rsidRDefault="004B2C19" w:rsidP="00B0553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bookmarkStart w:id="0" w:name="_Hlk64363173"/>
      <w:bookmarkStart w:id="1" w:name="_Hlk43712519"/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ผลการดำเนินงานทางธุรกิจที่แข็งแกร่งในปีงบประมาณ 2024</w:t>
      </w:r>
    </w:p>
    <w:bookmarkEnd w:id="0"/>
    <w:p w14:paraId="4C6E3AB3" w14:textId="1AFDEA77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 xml:space="preserve">ยอดขาย: 21.6 พันล้านยูโร </w:t>
      </w:r>
      <w:bookmarkEnd w:id="1"/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การเติบโตจากภายในที่ดีในระดับ 2.6%</w:t>
      </w:r>
    </w:p>
    <w:p w14:paraId="3BCECB9B" w14:textId="6EA28107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กำไรจากการดำเนินงาน (EBIT)*: 3.1 พันล้านยูโร เพิ่มขึ้นอย่างมากถึง 20.9 เปอร์เซ็นต์</w:t>
      </w:r>
    </w:p>
    <w:p w14:paraId="0765C657" w14:textId="18EECC96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อัตรากำไร EBIT* 14.3 เปอร์เซ็นต์ การปรับปรุงที่โดดเด่น 240 เบซิสพอยท์</w:t>
      </w:r>
    </w:p>
    <w:p w14:paraId="6676A097" w14:textId="75A18D72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กําไรต่อหุ้นบุริมสิทธิ (EPS)* สูงขึ้นอย่างมีนัยสําคัญ: 5.36 ยูโร</w:t>
      </w:r>
      <w:r w:rsidRPr="00662590">
        <w:rPr>
          <w:rFonts w:ascii="Noto Sans Thai" w:hAnsi="Noto Sans Thai" w:cs="Noto Sans Thai"/>
          <w:szCs w:val="22"/>
          <w:lang w:val="th"/>
        </w:rPr>
        <w:br/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+25.1 เปอร์เซ็นต์ที่อัตราแลกเปลี่ยนคงที่</w:t>
      </w:r>
    </w:p>
    <w:p w14:paraId="6FFBA867" w14:textId="17D4C7EC" w:rsidR="004B2C19" w:rsidRPr="00662590" w:rsidRDefault="0047600D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กระแสเงินสดสูงที่แข็งแกร่งถึง 2.4 พันล้านยูโร</w:t>
      </w:r>
    </w:p>
    <w:p w14:paraId="247878AC" w14:textId="73EA4334" w:rsidR="004B2C19" w:rsidRPr="00662590" w:rsidRDefault="00C6636E" w:rsidP="00B0553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การเพิ่มเงินปันผลในช่วงเปอร์เซ็นต์สองหลัก:</w:t>
      </w:r>
      <w:r w:rsidRPr="00662590">
        <w:rPr>
          <w:rFonts w:ascii="Noto Sans Thai" w:hAnsi="Noto Sans Thai" w:cs="Noto Sans Thai"/>
          <w:szCs w:val="22"/>
          <w:lang w:val="th"/>
        </w:rPr>
        <w:br/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2.04 ยูโรต่อหุ้นบุริมสิทธิ (+10.3 เปอร์เซ็นต์)</w:t>
      </w:r>
    </w:p>
    <w:p w14:paraId="1365C118" w14:textId="5E38A16E" w:rsidR="00B0701C" w:rsidRPr="00662590" w:rsidRDefault="00B0701C" w:rsidP="00B0553A">
      <w:pPr>
        <w:pStyle w:val="ListParagraph"/>
        <w:numPr>
          <w:ilvl w:val="0"/>
          <w:numId w:val="7"/>
        </w:numPr>
        <w:spacing w:after="80"/>
        <w:ind w:left="357" w:right="-108" w:hanging="357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มีมติให้ซื้อหุ้นคืนใหม่เป็นมูลค่าสูงสุด 1 พันล้านยูโร</w:t>
      </w:r>
    </w:p>
    <w:p w14:paraId="3CBA1EB3" w14:textId="5C5557AF" w:rsidR="004B2C19" w:rsidRPr="00662590" w:rsidRDefault="004B2C19" w:rsidP="00B0553A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มีความคืบหน้าเพิ่มเติมในการนําแผนการเติบโตอย่างมีจุดมุ่งหมายมาใช้</w:t>
      </w:r>
    </w:p>
    <w:p w14:paraId="4B38860E" w14:textId="4938441C" w:rsidR="004B2C19" w:rsidRPr="00662590" w:rsidRDefault="00E35190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bookmarkStart w:id="2" w:name="_Hlk157433806"/>
      <w:r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คอนซูเมอร์แบรนด์</w:t>
      </w:r>
      <w:r w:rsidR="004B2C19" w:rsidRPr="00662590">
        <w:rPr>
          <w:rFonts w:ascii="Noto Sans Thai" w:hAnsi="Noto Sans Thai" w:cs="Noto Sans Thai"/>
          <w:b/>
          <w:bCs/>
          <w:szCs w:val="22"/>
          <w:lang w:val="th"/>
        </w:rPr>
        <w:t>: การ</w:t>
      </w:r>
      <w:r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ควบรวม</w:t>
      </w:r>
      <w:r w:rsidR="004B2C19" w:rsidRPr="00662590">
        <w:rPr>
          <w:rFonts w:ascii="Noto Sans Thai" w:hAnsi="Noto Sans Thai" w:cs="Noto Sans Thai"/>
          <w:b/>
          <w:bCs/>
          <w:szCs w:val="22"/>
          <w:lang w:val="th"/>
        </w:rPr>
        <w:t>เป็นไปเร็วกว่าที่วางแผนไว้</w:t>
      </w:r>
      <w:bookmarkEnd w:id="2"/>
      <w:r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 xml:space="preserve"> มาตราการปรับ</w:t>
      </w:r>
      <w:r w:rsidR="004B2C19" w:rsidRPr="00662590">
        <w:rPr>
          <w:rFonts w:ascii="Noto Sans Thai" w:hAnsi="Noto Sans Thai" w:cs="Noto Sans Thai"/>
          <w:b/>
          <w:bCs/>
          <w:szCs w:val="22"/>
          <w:lang w:val="th"/>
        </w:rPr>
        <w:t>พอร์ตโฟลิโอได้ข้อสรุปแล้ว และจะบรรลุเป้าหมายการประหยัด</w:t>
      </w:r>
      <w:r w:rsidR="00AF2D3B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ค่าใช้จ่าย</w:t>
      </w:r>
      <w:r w:rsidR="004B2C19" w:rsidRPr="00662590">
        <w:rPr>
          <w:rFonts w:ascii="Noto Sans Thai" w:hAnsi="Noto Sans Thai" w:cs="Noto Sans Thai"/>
          <w:b/>
          <w:bCs/>
          <w:szCs w:val="22"/>
          <w:lang w:val="th"/>
        </w:rPr>
        <w:t>ทั้งหมดภายในสิ้นปี 2025</w:t>
      </w:r>
    </w:p>
    <w:p w14:paraId="527B966F" w14:textId="31AAF34A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เทคโนโลยีกาว: การติดตั้งใหม่ที่นํามาใช้ในปี 2023 กำลังเริ่มให้ผลตอบแทนที่น่าพอใจ</w:t>
      </w:r>
    </w:p>
    <w:p w14:paraId="4205F743" w14:textId="42F18C57" w:rsidR="004B2C19" w:rsidRPr="00662590" w:rsidRDefault="00C82433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เป้าหมายการ</w:t>
      </w:r>
      <w:r w:rsidR="00E35190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รักษา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สภาพ</w:t>
      </w:r>
      <w:r w:rsidR="00E35190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ภูมิ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อากาศ: กําหนดแผนการ</w:t>
      </w:r>
      <w:r w:rsidR="00E35190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ลดการ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ปล่อยก๊าซเรือนกระจกสุทธิ</w:t>
      </w:r>
      <w:r w:rsidR="00A64167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เป็น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ศูนย์</w:t>
      </w:r>
    </w:p>
    <w:p w14:paraId="79EBABD7" w14:textId="1892EE51" w:rsidR="004B2C19" w:rsidRPr="00662590" w:rsidRDefault="004B2C19" w:rsidP="00B0553A">
      <w:pPr>
        <w:numPr>
          <w:ilvl w:val="0"/>
          <w:numId w:val="7"/>
        </w:numPr>
        <w:spacing w:after="80"/>
        <w:ind w:left="357" w:right="-108" w:hanging="357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lastRenderedPageBreak/>
        <w:t>แนวโน้มสําหรับปีงบประมาณ 2025: พร้อมสำหรับการเติบโตทั้งด้านรายได้และกำไรสุทธิอย่างต่อเนื่อง โดยเริ่มต้นปีได้อย่างช้า ๆ และจะเร่งตัวขึ้นในระหว่างปี</w:t>
      </w:r>
    </w:p>
    <w:p w14:paraId="612C4386" w14:textId="3A4EE9A5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การเติบโตของยอดขายจากภายใน: 1.5 ถึง 3.5 เปอร์เซ็นต์</w:t>
      </w:r>
    </w:p>
    <w:p w14:paraId="7A276596" w14:textId="2DDC128A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อัตรากำไร EBIT* 14.0 ถึง 15.5 เปอร์เซ็นต์</w:t>
      </w:r>
    </w:p>
    <w:p w14:paraId="547119A3" w14:textId="2C1163C1" w:rsidR="004B2C19" w:rsidRPr="00662590" w:rsidRDefault="004B2C19" w:rsidP="00B0553A">
      <w:pPr>
        <w:pStyle w:val="ListParagraph"/>
        <w:numPr>
          <w:ilvl w:val="1"/>
          <w:numId w:val="7"/>
        </w:numPr>
        <w:spacing w:after="80" w:line="266" w:lineRule="auto"/>
        <w:ind w:left="567" w:right="-108" w:hanging="283"/>
        <w:contextualSpacing w:val="0"/>
        <w:jc w:val="left"/>
        <w:rPr>
          <w:rFonts w:ascii="Noto Sans Thai" w:hAnsi="Noto Sans Thai" w:cs="Noto Sans Thai"/>
          <w:b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กําไรต่อหุ้นบุริมสิทธิ (EPS)* การเพิ่มขึ้น</w:t>
      </w:r>
      <w:bookmarkStart w:id="3" w:name="_Hlk191544887"/>
      <w:r w:rsidRPr="00662590">
        <w:rPr>
          <w:rFonts w:ascii="Noto Sans Thai" w:hAnsi="Noto Sans Thai" w:cs="Noto Sans Thai"/>
          <w:b/>
          <w:bCs/>
          <w:szCs w:val="22"/>
          <w:lang w:val="th"/>
        </w:rPr>
        <w:t>ของช่วงเปอร์เซ็นต์ตัวเลขเดียว</w:t>
      </w:r>
      <w:r w:rsidR="002C77A3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จาก</w:t>
      </w:r>
      <w:r w:rsidR="00F65D1E" w:rsidRPr="00662590">
        <w:rPr>
          <w:rFonts w:ascii="Noto Sans Thai" w:hAnsi="Noto Sans Thai" w:cs="Noto Sans Thai"/>
          <w:b/>
          <w:bCs/>
          <w:szCs w:val="22"/>
          <w:cs/>
          <w:lang w:bidi="th-TH"/>
        </w:rPr>
        <w:t>หลัก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ต่ำ</w:t>
      </w:r>
      <w:r w:rsidR="00F65D1E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ถึง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สูง (ณ อัตราแลกเปลี่ยนคงที่)</w:t>
      </w:r>
      <w:bookmarkEnd w:id="3"/>
    </w:p>
    <w:p w14:paraId="36C5D4A3" w14:textId="5ABB91EC" w:rsidR="00662590" w:rsidRDefault="00662590" w:rsidP="002A04BE">
      <w:pPr>
        <w:spacing w:line="240" w:lineRule="auto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noProof/>
          <w:szCs w:val="22"/>
          <w:lang w:val="t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F2AA26" wp14:editId="338356E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413973" cy="232834"/>
                <wp:effectExtent l="0" t="0" r="0" b="0"/>
                <wp:wrapNone/>
                <wp:docPr id="10" name="Textfeld 10" descr="P21TB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3973" cy="232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5F8CB" w14:textId="77777777" w:rsidR="004B2C19" w:rsidRPr="00662590" w:rsidRDefault="004B2C19" w:rsidP="004B2C19">
                            <w:pPr>
                              <w:pStyle w:val="He04Funote"/>
                              <w:rPr>
                                <w:rFonts w:ascii="Noto Sans Thai" w:hAnsi="Noto Sans Thai" w:cs="Noto Sans Thai"/>
                                <w:sz w:val="12"/>
                                <w:szCs w:val="12"/>
                              </w:rPr>
                            </w:pPr>
                            <w:r w:rsidRPr="00662590">
                              <w:rPr>
                                <w:rFonts w:ascii="Noto Sans Thai" w:hAnsi="Noto Sans Thai" w:cs="Noto Sans Thai"/>
                                <w:sz w:val="12"/>
                                <w:szCs w:val="12"/>
                                <w:lang w:val="th"/>
                              </w:rPr>
                              <w:t>* ปรับค่าใช้จ่ายและรายได้แบบครั้งเดียว และค่าใช้จ่ายจากการปรับโครงสร้างแล้ว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2AA26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alt="P21TB1#y1" style="position:absolute;margin-left:0;margin-top:.8pt;width:426.3pt;height:18.3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" stroked="f">
                <v:textbox>
                  <w:txbxContent>
                    <w:p w14:paraId="5ED5F8CB" w14:textId="77777777" w:rsidR="004B2C19" w:rsidRPr="00662590" w:rsidRDefault="004B2C19" w:rsidP="004B2C19">
                      <w:pPr>
                        <w:pStyle w:val="He04Funote"/>
                        <w:rPr>
                          <w:rFonts w:ascii="Noto Sans Thai" w:hAnsi="Noto Sans Thai" w:cs="Noto Sans Thai"/>
                          <w:sz w:val="12"/>
                          <w:szCs w:val="12"/>
                        </w:rPr>
                      </w:pPr>
                      <w:r w:rsidRPr="00662590">
                        <w:rPr>
                          <w:rFonts w:ascii="Noto Sans Thai" w:hAnsi="Noto Sans Thai" w:cs="Noto Sans Thai"/>
                          <w:sz w:val="12"/>
                          <w:szCs w:val="12"/>
                          <w:lang w:val="th"/>
                        </w:rPr>
                        <w:t>* ปรับค่าใช้จ่ายและรายได้แบบครั้งเดียว และค่าใช้จ่ายจากการปรับโครงสร้างแล้ว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ADE445" w14:textId="77777777" w:rsidR="00662590" w:rsidRDefault="00662590" w:rsidP="002A04BE">
      <w:pPr>
        <w:spacing w:line="240" w:lineRule="auto"/>
        <w:jc w:val="left"/>
        <w:rPr>
          <w:rFonts w:ascii="Noto Sans Thai" w:hAnsi="Noto Sans Thai" w:cs="Noto Sans Thai"/>
          <w:b/>
          <w:bCs/>
          <w:szCs w:val="22"/>
        </w:rPr>
      </w:pPr>
    </w:p>
    <w:p w14:paraId="61BB7992" w14:textId="672D950A" w:rsidR="004B2C19" w:rsidRPr="00662590" w:rsidRDefault="004B2C19" w:rsidP="002A04BE">
      <w:pPr>
        <w:spacing w:line="240" w:lineRule="auto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เมืองดุสเซลดอร์ฟ – “ปีงบประมาณ 2024 ยังคงเต็มไปด้วยความท้าทายใหญ่หลวงและความไม่แน่นอนทางเศรษฐกิจมากมาย อย่างไรก็ตาม เราได้ขับเคลื่อน Henkel อย่างต่อเนื่องตลอดปีที่ผ่านมา และสามารถบรรลุจุดหมายสําคัญต่าง ๆ เหนือสิ่งอื่นใด ผลประกอบการที่ดีเยี่ยมสําหรับปี 2024 แสดงให้เห็นถึงความสําเร็จในการนําแผนการเติบโตอย่างมีจุดมุ่งหมายของเรามาปรับใช้" Carsten Knobel ซีอีโอของ Henkel กล่าว "ในปี 2024 เราบรรลุการเติบโตของยอดขายจากภายในที่ดีและสามารถปรับปรุงความสามารถในการทำกำไรได้อย่างมีนัยสำคัญ โดยมีอัตรากําไรขั้นต้นเพิ่มขึ้น 2.4 จุดเปอร์เซ็นต์ ซึ่งได้รับแรงสนับสนุนมาจากการพัฒนาอัตรากำไรขั้นต้นที่ยอดเยี่ยม และมีกำไรต่อหุ้นบุริมสิทธิเพิ่มขึ้นอย่างโดดเด่นถึง 25 เปอร์เซ็นต์ การเพิ่มมูลค่าของผลิตภัณฑ์อย่างมีเป้าหมายเพื่อตอบสนองความต้องการของลูกค้าและผู้บริโภค เป็นปัจจัยสำคัญที่ขับเคลื่อนการปรับปรุงผลกำไรของเรา นอกจากนี้ การประหยัดจากการ</w:t>
      </w:r>
      <w:r w:rsidR="00E35190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ควบ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รวม</w:t>
      </w:r>
      <w:r w:rsidR="00E35190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ของหน่วยธุรกิจคอนซูเมอร์</w:t>
      </w:r>
      <w:r w:rsidR="00A77230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แบรนด์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 xml:space="preserve"> ตลอดจนมาตรการปรับพอร์ตโฟลิโอที่ได้ประกาศ</w:t>
      </w:r>
      <w:r w:rsidR="00722EF5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ไปก่อนหน้านี้</w:t>
      </w:r>
      <w:r w:rsidR="000A3AF9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ก็มีส่วนช่วยใน</w:t>
      </w:r>
      <w:r w:rsidR="000A3AF9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การผลักดัน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ผลลัพธ์ที่แข็งแกร่งเหล่านี้ด้วย"</w:t>
      </w:r>
    </w:p>
    <w:p w14:paraId="47932080" w14:textId="77777777" w:rsidR="008465DB" w:rsidRPr="00662590" w:rsidRDefault="008465DB" w:rsidP="00B0553A">
      <w:pPr>
        <w:jc w:val="left"/>
        <w:rPr>
          <w:rFonts w:ascii="Noto Sans Thai" w:hAnsi="Noto Sans Thai" w:cs="Noto Sans Thai"/>
          <w:b/>
          <w:bCs/>
          <w:szCs w:val="22"/>
          <w:lang w:bidi="th-TH"/>
        </w:rPr>
      </w:pPr>
    </w:p>
    <w:p w14:paraId="05FB5F36" w14:textId="5C6B3621" w:rsidR="00BB0AB3" w:rsidRPr="00662590" w:rsidRDefault="00C82433" w:rsidP="00B0553A">
      <w:pPr>
        <w:jc w:val="left"/>
        <w:rPr>
          <w:rFonts w:ascii="Noto Sans Thai" w:hAnsi="Noto Sans Thai" w:cs="Noto Sans Thai"/>
          <w:b/>
          <w:bCs/>
          <w:szCs w:val="22"/>
          <w:highlight w:val="yellow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"ในขณะเดียวกัน สิ่งสําคัญอย่างยิ่งก็คือการที่เรายังคงให้ความสำคัญกับการลงทุนในธุรกิจและการเติบโตในอนาคต ตัวอย่างเช่น ไม่ว่าจะเป็นการเพิ่มกิจกรรมทางการตลาดในกลุ่มธุรกิจผู้บริโภค และนวัตกรรมที่ประสบความสําเร็จในทั้งสองหน่วยธุรกิจ เราต้องการให้ผู้ถือหุ้นมีส่วนร่วมในการพัฒนาอย่างประสบความสำเร็จของบริษัท ดังนั้น เราจะเสนอการปรับเพิ่มเงินปันผล</w:t>
      </w:r>
      <w:r w:rsidR="00414ABA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เป็นร้อยละสองหลักในการประชุมสามัญประจําปี นอกจากนี้ เรายังได้ตัดสินใจเกี่ยวกับโปรแกรมซื้อคืนหุ้นใหม่ที่</w:t>
      </w:r>
      <w:r w:rsidR="00414ABA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มี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มูลค่าสูงถึง 1 พันล้านยูโร" Carsten Knobel กล่าวต่อ</w:t>
      </w:r>
    </w:p>
    <w:p w14:paraId="30A83BBC" w14:textId="77777777" w:rsidR="00BB0AB3" w:rsidRPr="00662590" w:rsidRDefault="00BB0AB3" w:rsidP="00B0553A">
      <w:pPr>
        <w:jc w:val="left"/>
        <w:rPr>
          <w:rFonts w:ascii="Noto Sans Thai" w:hAnsi="Noto Sans Thai" w:cs="Noto Sans Thai"/>
          <w:b/>
          <w:bCs/>
          <w:szCs w:val="22"/>
          <w:highlight w:val="yellow"/>
        </w:rPr>
      </w:pPr>
    </w:p>
    <w:p w14:paraId="6DC448CD" w14:textId="07264BBD" w:rsidR="006745DD" w:rsidRPr="00682CD3" w:rsidRDefault="0000752F" w:rsidP="00682CD3">
      <w:pPr>
        <w:jc w:val="left"/>
        <w:rPr>
          <w:rFonts w:ascii="Noto Sans Thai" w:hAnsi="Noto Sans Thai" w:cs="Noto Sans Thai"/>
          <w:b/>
          <w:bCs/>
          <w:szCs w:val="22"/>
          <w:highlight w:val="yellow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lastRenderedPageBreak/>
        <w:t>"ผลลัพธ์ของปีที่ผ่านมาเป็นหลักฐานชัดเจนว่าการเปลี่ยนแปลงของ Henkel กําลังก้าวไปข้างหน้าอย่างประสบความสําเร็จ และด้วยแผนกลยุทธ์เพื่อการเติบโตอย่างมีจุดมุ่งหมาย เรากำลังอยู่บนเส้นทางที่ถูกต้องเพื่อวางตำแหน่งบริษัทให้พร้อมสำหรับอนาคต" Carsten Knobel สรุป "นอกจากนี้ยังสะท้อนให้เห็นในแนวโน้มสำหรับปีงบประมาณ 2025 ซึ่งเราคาดว่าจะมีการเติบโตของยอดขายและ</w:t>
      </w:r>
      <w:r w:rsidR="00FE0203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ผลกำไรต่อไป</w:t>
      </w:r>
      <w:r w:rsidR="00FE0203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แม้ว่าสภาพแวดล้อมทางธุรกิจจะยังคงมีความท้าทาย ผมขอขอบคุณพนักงานทุกคนของ Henkel สําหรับผลการปฏิบัติงานที่ยอดเยี่ยม ด้วยการทํางานเป็นทีมและความมุ่งมั่น</w:t>
      </w:r>
      <w:r w:rsidR="006745DD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ที่เหนือความคาดหมาย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 xml:space="preserve"> เราจึงสามารถนำบริษัทฝ่าความท้าทายในปีที่ผ่านมาได้</w:t>
      </w:r>
      <w:r w:rsidR="006745DD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อีกครั้งอย่างประสบความสำเร็จ</w:t>
      </w:r>
    </w:p>
    <w:p w14:paraId="48459AD3" w14:textId="77777777" w:rsidR="00CC0CED" w:rsidRPr="00CC0CED" w:rsidRDefault="00CC0CED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  <w:lang w:bidi="th-TH"/>
        </w:rPr>
      </w:pPr>
    </w:p>
    <w:p w14:paraId="4B7A0C05" w14:textId="235422B5" w:rsidR="00A43578" w:rsidRPr="00662590" w:rsidRDefault="00A43578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แนวโน้มปี 2025</w:t>
      </w:r>
    </w:p>
    <w:p w14:paraId="47172A5B" w14:textId="0077CCD3" w:rsidR="00A43578" w:rsidRPr="00662590" w:rsidRDefault="00A43578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 xml:space="preserve">หลังจากแรงขับเคลื่อนการเติบโตที่อยู่ระดับปานกลางในปี 2024 การเติบโตทางเศรษฐกิจโลกในปี 2025 คาดว่าจะยังคงอยู่ในระดับปานกลางอีกครั้ง </w:t>
      </w:r>
      <w:r w:rsidR="007914A2" w:rsidRPr="00662590">
        <w:rPr>
          <w:rFonts w:ascii="Noto Sans Thai" w:hAnsi="Noto Sans Thai" w:cs="Noto Sans Thai"/>
          <w:szCs w:val="22"/>
          <w:lang w:val="th"/>
        </w:rPr>
        <w:t xml:space="preserve">สำหรับ Henkel </w:t>
      </w:r>
      <w:r w:rsidRPr="00662590">
        <w:rPr>
          <w:rFonts w:ascii="Noto Sans Thai" w:hAnsi="Noto Sans Thai" w:cs="Noto Sans Thai"/>
          <w:szCs w:val="22"/>
          <w:lang w:val="th"/>
        </w:rPr>
        <w:t>คาดว่าจะมีการเ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ติบโต</w:t>
      </w:r>
      <w:r w:rsidRPr="00662590">
        <w:rPr>
          <w:rFonts w:ascii="Noto Sans Thai" w:hAnsi="Noto Sans Thai" w:cs="Noto Sans Thai"/>
          <w:szCs w:val="22"/>
          <w:lang w:val="th"/>
        </w:rPr>
        <w:t>ระดับปานกลางทั้งในด้านความต้องการของภาคอุตสาหกรรมและความต้องการของผู้บริโภค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ใน</w:t>
      </w:r>
      <w:r w:rsidR="00562EE3" w:rsidRPr="00662590">
        <w:rPr>
          <w:rFonts w:ascii="Noto Sans Thai" w:hAnsi="Noto Sans Thai" w:cs="Noto Sans Thai"/>
          <w:szCs w:val="22"/>
          <w:lang w:val="th"/>
        </w:rPr>
        <w:t>ธุรกิจ</w:t>
      </w:r>
      <w:r w:rsidR="00562EE3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>นอกจากนี้ จากการประเมินในปัจจุบัน คาดว่าอัตราเงินเฟ้อทั่วโลกจะยังคงลดลงต่อ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เนื่อง</w:t>
      </w:r>
      <w:r w:rsidRPr="00662590">
        <w:rPr>
          <w:rFonts w:ascii="Noto Sans Thai" w:hAnsi="Noto Sans Thai" w:cs="Noto Sans Thai"/>
          <w:szCs w:val="22"/>
          <w:lang w:val="th"/>
        </w:rPr>
        <w:t>ในปีงบประมาณ 2025 เมื่อเทียบกับปีก่อน ๆ และคาดว่าอัตราดอกเบี้ยก็จะลดลงเช่นกัน</w:t>
      </w:r>
    </w:p>
    <w:p w14:paraId="00CBF97A" w14:textId="77777777" w:rsidR="00B607D2" w:rsidRPr="00662590" w:rsidRDefault="00B607D2" w:rsidP="00B0553A">
      <w:pPr>
        <w:jc w:val="left"/>
        <w:rPr>
          <w:rFonts w:ascii="Noto Sans Thai" w:hAnsi="Noto Sans Thai" w:cs="Noto Sans Thai"/>
          <w:szCs w:val="22"/>
          <w:lang w:bidi="th"/>
        </w:rPr>
      </w:pPr>
    </w:p>
    <w:p w14:paraId="03A991AB" w14:textId="7284C3D4" w:rsidR="00A43578" w:rsidRPr="00662590" w:rsidRDefault="00B548CE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ในส่วนของราคาวัตถุดิบ Henkel คาดว่า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ราคาวัตถุดิบ</w:t>
      </w:r>
      <w:r w:rsidRPr="00662590">
        <w:rPr>
          <w:rFonts w:ascii="Noto Sans Thai" w:hAnsi="Noto Sans Thai" w:cs="Noto Sans Thai"/>
          <w:szCs w:val="22"/>
          <w:lang w:val="th"/>
        </w:rPr>
        <w:t>จะเพิ่มขึ้นในช่วงเปอร์เซ็นต์ตัวเลขหลัก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หน่วย</w:t>
      </w:r>
      <w:r w:rsidR="00D34C71" w:rsidRPr="00662590">
        <w:rPr>
          <w:rFonts w:ascii="Noto Sans Thai" w:hAnsi="Noto Sans Thai" w:cs="Noto Sans Thai"/>
          <w:szCs w:val="22"/>
          <w:cs/>
          <w:lang w:val="th" w:bidi="th-TH"/>
        </w:rPr>
        <w:t>ระดับ</w:t>
      </w:r>
      <w:r w:rsidRPr="00662590">
        <w:rPr>
          <w:rFonts w:ascii="Noto Sans Thai" w:hAnsi="Noto Sans Thai" w:cs="Noto Sans Thai"/>
          <w:szCs w:val="22"/>
          <w:lang w:val="th"/>
        </w:rPr>
        <w:t xml:space="preserve">ต่ำถึงกลางเมื่อเทียบกับค่าเฉลี่ยประจําปีในปี 2024 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อัตราแลกเปลี่ยน</w:t>
      </w:r>
      <w:r w:rsidRPr="00662590">
        <w:rPr>
          <w:rFonts w:ascii="Noto Sans Thai" w:hAnsi="Noto Sans Thai" w:cs="Noto Sans Thai"/>
          <w:szCs w:val="22"/>
          <w:lang w:val="th"/>
        </w:rPr>
        <w:t>คาดว่าจะมีผลกระทบในระดับกลางถึงลบ ในช่วงเปอร์เซ็นต์ตัวเลขหลักเดียว</w:t>
      </w:r>
      <w:r w:rsidR="00432907" w:rsidRPr="00662590">
        <w:rPr>
          <w:rFonts w:ascii="Noto Sans Thai" w:hAnsi="Noto Sans Thai" w:cs="Noto Sans Thai"/>
          <w:szCs w:val="22"/>
          <w:cs/>
          <w:lang w:bidi="th-TH"/>
        </w:rPr>
        <w:t>ระดับ</w:t>
      </w:r>
      <w:r w:rsidRPr="00662590">
        <w:rPr>
          <w:rFonts w:ascii="Noto Sans Thai" w:hAnsi="Noto Sans Thai" w:cs="Noto Sans Thai"/>
          <w:szCs w:val="22"/>
          <w:lang w:val="th"/>
        </w:rPr>
        <w:t xml:space="preserve">ต่ำ </w:t>
      </w:r>
    </w:p>
    <w:p w14:paraId="1B45ED31" w14:textId="77777777" w:rsidR="00A43578" w:rsidRPr="00662590" w:rsidRDefault="00A43578" w:rsidP="00B0553A">
      <w:pPr>
        <w:jc w:val="left"/>
        <w:rPr>
          <w:rFonts w:ascii="Noto Sans Thai" w:hAnsi="Noto Sans Thai" w:cs="Noto Sans Thai"/>
          <w:szCs w:val="22"/>
          <w:lang w:bidi="th"/>
        </w:rPr>
      </w:pPr>
    </w:p>
    <w:p w14:paraId="56DD1AE2" w14:textId="3198FE9C" w:rsidR="00BD6A0B" w:rsidRPr="00662590" w:rsidRDefault="00BD6A0B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นอกจากนี้ความผันผวนและความไม่แน่นอนในด้านสภาพแวดล้อมทางเศรษฐกิจมหภาคและภูมิรัฐศาสตร์โดยรวมคาดว่าจะยังคงอยู่ในระดับสูงตลอดทั้งปี</w:t>
      </w:r>
    </w:p>
    <w:p w14:paraId="449E40E9" w14:textId="77777777" w:rsidR="00916EAB" w:rsidRPr="00662590" w:rsidRDefault="00916EAB" w:rsidP="00B0553A">
      <w:pPr>
        <w:jc w:val="left"/>
        <w:rPr>
          <w:rFonts w:ascii="Noto Sans Thai" w:hAnsi="Noto Sans Thai" w:cs="Noto Sans Thai"/>
          <w:szCs w:val="22"/>
        </w:rPr>
      </w:pPr>
    </w:p>
    <w:p w14:paraId="64A940BF" w14:textId="2BC14727" w:rsidR="00A43578" w:rsidRPr="00662590" w:rsidRDefault="00A43578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เมื่อพิจารณาจากสมมติฐานเหล่านี้ Henkel คาดว่าจะสามารถสร้าง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การเติบโตของยอดขายจากภายใน</w:t>
      </w:r>
      <w:r w:rsidRPr="00662590">
        <w:rPr>
          <w:rFonts w:ascii="Noto Sans Thai" w:hAnsi="Noto Sans Thai" w:cs="Noto Sans Thai"/>
          <w:szCs w:val="22"/>
          <w:lang w:val="th"/>
        </w:rPr>
        <w:t xml:space="preserve">ได้ระหว่าง 1.5 ถึง 3.5 เปอร์เซ็นต์ในปีงบประมาณ 2025 </w:t>
      </w:r>
      <w:r w:rsidR="00D745CD" w:rsidRPr="00662590">
        <w:rPr>
          <w:rFonts w:ascii="Noto Sans Thai" w:hAnsi="Noto Sans Thai" w:cs="Noto Sans Thai"/>
          <w:szCs w:val="22"/>
          <w:lang w:val="th"/>
        </w:rPr>
        <w:t>คาดว่า</w:t>
      </w:r>
      <w:r w:rsidRPr="00662590">
        <w:rPr>
          <w:rFonts w:ascii="Noto Sans Thai" w:hAnsi="Noto Sans Thai" w:cs="Noto Sans Thai"/>
          <w:szCs w:val="22"/>
          <w:lang w:val="th"/>
        </w:rPr>
        <w:t>หน่วยธุรกิจเทคโนโลยีกาวจะมีการเติบโตจากภายในระหว่าง 2.0 และ 4.0 เปอร์เซ็นต์ และหน่วยธุรกิจ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คอนซูเมอร์แบรนด์จ</w:t>
      </w:r>
      <w:r w:rsidRPr="00662590">
        <w:rPr>
          <w:rFonts w:ascii="Noto Sans Thai" w:hAnsi="Noto Sans Thai" w:cs="Noto Sans Thai"/>
          <w:szCs w:val="22"/>
          <w:lang w:val="th"/>
        </w:rPr>
        <w:t xml:space="preserve">ะมีการเติบโตระหว่าง 1.0 และ 3.0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ผลตอบแทนจากยอดขายที่ปรับแล้ว (อัตรากำไร EBIT ที่ปรับแล้ว)</w:t>
      </w:r>
      <w:r w:rsidRPr="00662590">
        <w:rPr>
          <w:rFonts w:ascii="Noto Sans Thai" w:hAnsi="Noto Sans Thai" w:cs="Noto Sans Thai"/>
          <w:szCs w:val="22"/>
          <w:lang w:val="th"/>
        </w:rPr>
        <w:t xml:space="preserve"> คาดว่าจะอยู่ในช่วง 14.0 ถึง 15.5 เปอร์เซ็นต์ สําหรับเทคโนโลยีกาว คาดว่าผลตอบแทนจากยอดขายที่ปรับแล้วจะอยู่ระหว่าง 16.0 ถึง 17.5 เปอร์เซ็นต์ และสําหรับ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ธุรกิจคอนซูเมอร์แบรนด์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จะอยู่ระหว่าง 13.5 ถึง 15.0 เปอร์เซ็นต์ สำหรับ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 xml:space="preserve">กําไรต่อหุ้นบุริมสิทธิ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lastRenderedPageBreak/>
        <w:t>(EPS) 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>ที่อัตราแลกเปลี่ยนคงที่ คาดว่าจะมีการเพิ่มขึ้นในช่วงเปอร์เซ็นต์ตัวเลข</w:t>
      </w:r>
      <w:r w:rsidR="007343F0" w:rsidRPr="00662590">
        <w:rPr>
          <w:rFonts w:ascii="Noto Sans Thai" w:hAnsi="Noto Sans Thai" w:cs="Noto Sans Thai"/>
          <w:szCs w:val="22"/>
          <w:cs/>
          <w:lang w:val="th" w:bidi="th-TH"/>
        </w:rPr>
        <w:t>หลัก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หน่วย</w:t>
      </w:r>
      <w:r w:rsidR="007343F0" w:rsidRPr="00662590">
        <w:rPr>
          <w:rFonts w:ascii="Noto Sans Thai" w:hAnsi="Noto Sans Thai" w:cs="Noto Sans Thai"/>
          <w:szCs w:val="22"/>
          <w:cs/>
          <w:lang w:val="th" w:bidi="th-TH"/>
        </w:rPr>
        <w:t>ระดับ</w:t>
      </w:r>
      <w:r w:rsidRPr="00662590">
        <w:rPr>
          <w:rFonts w:ascii="Noto Sans Thai" w:hAnsi="Noto Sans Thai" w:cs="Noto Sans Thai"/>
          <w:szCs w:val="22"/>
          <w:lang w:val="th"/>
        </w:rPr>
        <w:t xml:space="preserve">ต่ำถึงสูง </w:t>
      </w:r>
    </w:p>
    <w:p w14:paraId="4C25D852" w14:textId="77777777" w:rsidR="00A43578" w:rsidRPr="00662590" w:rsidRDefault="00A43578" w:rsidP="00B0553A">
      <w:pPr>
        <w:jc w:val="left"/>
        <w:rPr>
          <w:rFonts w:ascii="Noto Sans Thai" w:hAnsi="Noto Sans Thai" w:cs="Noto Sans Thai"/>
          <w:szCs w:val="22"/>
        </w:rPr>
      </w:pPr>
    </w:p>
    <w:p w14:paraId="62BC6F57" w14:textId="7F886CAF" w:rsidR="00BD6A0B" w:rsidRPr="00662590" w:rsidRDefault="00364F24" w:rsidP="00B0553A">
      <w:pPr>
        <w:jc w:val="left"/>
        <w:rPr>
          <w:rFonts w:ascii="Noto Sans Thai" w:hAnsi="Noto Sans Thai" w:cs="Noto Sans Thai"/>
          <w:color w:val="000000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ดังนั้น จึงคาดว่าจะมีการเริ่มต้นปีที่ช้ากว่าปกติ อย่างไรก็ตาม คาดว่าการเติบโตของยอดขายจากภายในจะ</w:t>
      </w:r>
      <w:r w:rsidR="004A52E0" w:rsidRPr="00662590">
        <w:rPr>
          <w:rFonts w:ascii="Noto Sans Thai" w:hAnsi="Noto Sans Thai" w:cs="Noto Sans Thai"/>
          <w:szCs w:val="22"/>
          <w:cs/>
          <w:lang w:val="th" w:bidi="th-TH"/>
        </w:rPr>
        <w:t>ดี</w:t>
      </w:r>
      <w:r w:rsidRPr="00662590">
        <w:rPr>
          <w:rFonts w:ascii="Noto Sans Thai" w:hAnsi="Noto Sans Thai" w:cs="Noto Sans Thai"/>
          <w:szCs w:val="22"/>
          <w:lang w:val="th"/>
        </w:rPr>
        <w:t>ขึ้นในช่วงระหว่าง</w:t>
      </w:r>
      <w:r w:rsidR="00754B40" w:rsidRPr="00662590">
        <w:rPr>
          <w:rFonts w:ascii="Noto Sans Thai" w:hAnsi="Noto Sans Thai" w:cs="Noto Sans Thai"/>
          <w:szCs w:val="22"/>
          <w:cs/>
          <w:lang w:val="th" w:bidi="th-TH"/>
        </w:rPr>
        <w:t>ปี</w:t>
      </w:r>
      <w:r w:rsidRPr="00662590">
        <w:rPr>
          <w:rFonts w:ascii="Noto Sans Thai" w:hAnsi="Noto Sans Thai" w:cs="Noto Sans Thai"/>
          <w:szCs w:val="22"/>
          <w:lang w:val="th"/>
        </w:rPr>
        <w:t xml:space="preserve"> ส่งผลให้ครึ่งหลังของปีงบประมาณ 2025 มีผลการดำเนินงานที่ดีกว่าครึ่งแรก </w:t>
      </w:r>
      <w:r w:rsidR="00C458FF" w:rsidRPr="00662590">
        <w:rPr>
          <w:rFonts w:ascii="Noto Sans Thai" w:hAnsi="Noto Sans Thai" w:cs="Noto Sans Thai"/>
          <w:szCs w:val="22"/>
          <w:cs/>
          <w:lang w:val="th" w:bidi="th-TH"/>
        </w:rPr>
        <w:t>โดยสิ่งนี้จะเกิดขึ้น</w:t>
      </w:r>
      <w:r w:rsidRPr="00662590">
        <w:rPr>
          <w:rFonts w:ascii="Noto Sans Thai" w:hAnsi="Noto Sans Thai" w:cs="Noto Sans Thai"/>
          <w:szCs w:val="22"/>
          <w:lang w:val="th"/>
        </w:rPr>
        <w:t>สําหรับทั้งสองหน่วยธุรกิจ สาเหตุเกิดจากสภาพแวดล้อมทางอุตสาหกรรมที่ท้าทายใน</w:t>
      </w:r>
      <w:r w:rsidR="003047B4" w:rsidRPr="00662590">
        <w:rPr>
          <w:rFonts w:ascii="Noto Sans Thai" w:hAnsi="Noto Sans Thai" w:cs="Noto Sans Thai"/>
          <w:szCs w:val="22"/>
          <w:cs/>
          <w:lang w:val="th" w:bidi="th-TH"/>
        </w:rPr>
        <w:t>ปัจจุบัน</w:t>
      </w:r>
      <w:r w:rsidRPr="00662590">
        <w:rPr>
          <w:rFonts w:ascii="Noto Sans Thai" w:hAnsi="Noto Sans Thai" w:cs="Noto Sans Thai"/>
          <w:szCs w:val="22"/>
          <w:lang w:val="th"/>
        </w:rPr>
        <w:t xml:space="preserve"> และการเติบโตของตลาดที่ชะลอตัวรวมถึงความเชื่อมั่นของผู้บริโภคที่ซบเซา</w:t>
      </w:r>
      <w:r w:rsidR="00B83F8B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 xml:space="preserve">ในบางตลาดของเรา </w:t>
      </w:r>
      <w:r w:rsidRPr="00662590">
        <w:rPr>
          <w:rFonts w:ascii="Noto Sans Thai" w:hAnsi="Noto Sans Thai" w:cs="Noto Sans Thai"/>
          <w:color w:val="000000"/>
          <w:szCs w:val="22"/>
          <w:lang w:val="th"/>
        </w:rPr>
        <w:t>โดยเฉพาะในอเมริกาเหนือ</w:t>
      </w:r>
    </w:p>
    <w:p w14:paraId="016DC96A" w14:textId="77777777" w:rsidR="00364F24" w:rsidRPr="00662590" w:rsidRDefault="00364F24" w:rsidP="00B0553A">
      <w:pPr>
        <w:jc w:val="left"/>
        <w:rPr>
          <w:rFonts w:ascii="Noto Sans Thai" w:hAnsi="Noto Sans Thai" w:cs="Noto Sans Thai"/>
          <w:szCs w:val="22"/>
        </w:rPr>
      </w:pPr>
    </w:p>
    <w:p w14:paraId="1E257DC6" w14:textId="3F291EE3" w:rsidR="00364F24" w:rsidRPr="00662590" w:rsidRDefault="00364F24" w:rsidP="00B0553A">
      <w:pPr>
        <w:jc w:val="left"/>
        <w:rPr>
          <w:rFonts w:ascii="Noto Sans Thai" w:hAnsi="Noto Sans Thai" w:cs="Noto Sans Thai"/>
          <w:szCs w:val="22"/>
          <w:lang w:val="th" w:bidi="th-TH"/>
        </w:rPr>
      </w:pPr>
      <w:r w:rsidRPr="00662590">
        <w:rPr>
          <w:rFonts w:ascii="Noto Sans Thai" w:hAnsi="Noto Sans Thai" w:cs="Noto Sans Thai"/>
          <w:szCs w:val="22"/>
          <w:lang w:val="th"/>
        </w:rPr>
        <w:t>ในหน่วยธุรกิจ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 xml:space="preserve"> จําเป็นต้องพิจารณาถึงการเติบโตของยอดขายจากภายในที่สูงในปีก่อนหน้า โดยเฉพาะอย่างยิ่ง</w:t>
      </w:r>
      <w:r w:rsidR="007914A2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>จากการเปิดตัวผลิตภัณฑ์นวัตกรรมที่แข็งแกร่งในครึ่งแรกของปี 2024 ในปี 2025 การเปิดตัวนวัตกรรมเน้นไปยังครึ่ง</w:t>
      </w:r>
      <w:r w:rsidR="00DF295F" w:rsidRPr="00662590">
        <w:rPr>
          <w:rFonts w:ascii="Noto Sans Thai" w:hAnsi="Noto Sans Thai" w:cs="Noto Sans Thai"/>
          <w:szCs w:val="22"/>
          <w:cs/>
          <w:lang w:val="th" w:bidi="th-TH"/>
        </w:rPr>
        <w:t>ปี</w:t>
      </w:r>
      <w:r w:rsidRPr="00662590">
        <w:rPr>
          <w:rFonts w:ascii="Noto Sans Thai" w:hAnsi="Noto Sans Thai" w:cs="Noto Sans Thai"/>
          <w:szCs w:val="22"/>
          <w:lang w:val="th"/>
        </w:rPr>
        <w:t xml:space="preserve">หลัง นอกจากนี้ </w:t>
      </w:r>
      <w:r w:rsidR="00F67BB8" w:rsidRPr="00662590">
        <w:rPr>
          <w:rFonts w:ascii="Noto Sans Thai" w:hAnsi="Noto Sans Thai" w:cs="Noto Sans Thai"/>
          <w:szCs w:val="22"/>
          <w:cs/>
          <w:lang w:val="th" w:bidi="th-TH"/>
        </w:rPr>
        <w:t>การรวบ</w:t>
      </w:r>
      <w:r w:rsidRPr="00662590">
        <w:rPr>
          <w:rFonts w:ascii="Noto Sans Thai" w:hAnsi="Noto Sans Thai" w:cs="Noto Sans Thai"/>
          <w:szCs w:val="22"/>
          <w:lang w:val="th"/>
        </w:rPr>
        <w:t>การดำเนินงาน</w:t>
      </w:r>
      <w:r w:rsidR="00DF1E7E" w:rsidRPr="00662590">
        <w:rPr>
          <w:rFonts w:ascii="Noto Sans Thai" w:hAnsi="Noto Sans Thai" w:cs="Noto Sans Thai"/>
          <w:szCs w:val="22"/>
          <w:cs/>
          <w:lang w:val="th" w:bidi="th-TH"/>
        </w:rPr>
        <w:t>ของ</w:t>
      </w:r>
      <w:r w:rsidR="001A0DE4" w:rsidRPr="00662590">
        <w:rPr>
          <w:rFonts w:ascii="Noto Sans Thai" w:hAnsi="Noto Sans Thai" w:cs="Noto Sans Thai"/>
          <w:szCs w:val="22"/>
          <w:cs/>
          <w:lang w:bidi="th-TH"/>
        </w:rPr>
        <w:t>กิจ</w:t>
      </w:r>
      <w:r w:rsidR="00FF128D" w:rsidRPr="00662590">
        <w:rPr>
          <w:rFonts w:ascii="Noto Sans Thai" w:hAnsi="Noto Sans Thai" w:cs="Noto Sans Thai"/>
          <w:szCs w:val="22"/>
          <w:cs/>
          <w:lang w:bidi="th-TH"/>
        </w:rPr>
        <w:t>กรรม</w:t>
      </w:r>
      <w:r w:rsidR="00CA145A" w:rsidRPr="00662590">
        <w:rPr>
          <w:rFonts w:ascii="Noto Sans Thai" w:hAnsi="Noto Sans Thai" w:cs="Noto Sans Thai"/>
          <w:szCs w:val="22"/>
          <w:cs/>
          <w:lang w:bidi="th-TH"/>
        </w:rPr>
        <w:t>ซัพพลายเชน</w:t>
      </w:r>
      <w:r w:rsidR="00FF128D" w:rsidRPr="00662590">
        <w:rPr>
          <w:rFonts w:ascii="Noto Sans Thai" w:hAnsi="Noto Sans Thai" w:cs="Noto Sans Thai"/>
          <w:szCs w:val="22"/>
          <w:lang w:bidi="th-TH"/>
        </w:rPr>
        <w:t xml:space="preserve"> </w:t>
      </w:r>
      <w:r w:rsidR="00FF128D" w:rsidRPr="00662590">
        <w:rPr>
          <w:rFonts w:ascii="Noto Sans Thai" w:hAnsi="Noto Sans Thai" w:cs="Noto Sans Thai"/>
          <w:szCs w:val="22"/>
          <w:cs/>
          <w:lang w:bidi="th-TH"/>
        </w:rPr>
        <w:t>ผ่านโ</w:t>
      </w:r>
      <w:r w:rsidR="00D86191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ปรเจค </w:t>
      </w:r>
      <w:r w:rsidR="00D86191" w:rsidRPr="00662590">
        <w:rPr>
          <w:rFonts w:ascii="Noto Sans Thai" w:hAnsi="Noto Sans Thai" w:cs="Noto Sans Thai"/>
          <w:szCs w:val="22"/>
          <w:lang w:bidi="th-TH"/>
        </w:rPr>
        <w:t xml:space="preserve">1-1-1 </w:t>
      </w:r>
      <w:r w:rsidRPr="00662590">
        <w:rPr>
          <w:rFonts w:ascii="Noto Sans Thai" w:hAnsi="Noto Sans Thai" w:cs="Noto Sans Thai"/>
          <w:szCs w:val="22"/>
          <w:lang w:val="th"/>
        </w:rPr>
        <w:t>รวม</w:t>
      </w:r>
      <w:r w:rsidR="006013B7" w:rsidRPr="00662590">
        <w:rPr>
          <w:rFonts w:ascii="Noto Sans Thai" w:hAnsi="Noto Sans Thai" w:cs="Noto Sans Thai"/>
          <w:szCs w:val="22"/>
          <w:cs/>
          <w:lang w:val="th" w:bidi="th-TH"/>
        </w:rPr>
        <w:t>ไป</w:t>
      </w:r>
      <w:r w:rsidRPr="00662590">
        <w:rPr>
          <w:rFonts w:ascii="Noto Sans Thai" w:hAnsi="Noto Sans Thai" w:cs="Noto Sans Thai"/>
          <w:szCs w:val="22"/>
          <w:lang w:val="th"/>
        </w:rPr>
        <w:t>ถึง</w:t>
      </w:r>
      <w:r w:rsidR="006013B7" w:rsidRPr="00662590">
        <w:rPr>
          <w:rFonts w:ascii="Noto Sans Thai" w:hAnsi="Noto Sans Thai" w:cs="Noto Sans Thai"/>
          <w:szCs w:val="22"/>
          <w:cs/>
          <w:lang w:val="th" w:bidi="th-TH"/>
        </w:rPr>
        <w:t>กิจกรรม</w:t>
      </w:r>
      <w:r w:rsidR="009F324F" w:rsidRPr="00662590">
        <w:rPr>
          <w:rFonts w:ascii="Noto Sans Thai" w:hAnsi="Noto Sans Thai" w:cs="Noto Sans Thai"/>
          <w:szCs w:val="22"/>
          <w:cs/>
          <w:lang w:val="th" w:bidi="th-TH"/>
        </w:rPr>
        <w:t>ทาง</w:t>
      </w:r>
      <w:r w:rsidRPr="00662590">
        <w:rPr>
          <w:rFonts w:ascii="Noto Sans Thai" w:hAnsi="Noto Sans Thai" w:cs="Noto Sans Thai"/>
          <w:szCs w:val="22"/>
          <w:lang w:val="th"/>
        </w:rPr>
        <w:t xml:space="preserve">การขาย จะส่งผลให้การเติบโตของยอดขายในไตรมาสที่ 1 อยู่ต่ำกว่าปีก่อนหน้า สําหรับไตรมาสที่ 1 การเติบโตของยอดขายจากภายในคาดว่าจะอยู่ในช่วงระหว่าง </w:t>
      </w:r>
      <w:r w:rsidRPr="00662590">
        <w:rPr>
          <w:rFonts w:ascii="Noto Sans Thai" w:hAnsi="Noto Sans Thai" w:cs="Noto Sans Thai"/>
          <w:szCs w:val="22"/>
          <w:lang w:val="th"/>
        </w:rPr>
        <w:br/>
        <w:t>-2 และ -4 เปอร์เซ็นต์ ในขณะที่ราคา</w:t>
      </w:r>
      <w:r w:rsidR="0047316D" w:rsidRPr="00662590">
        <w:rPr>
          <w:rFonts w:ascii="Noto Sans Thai" w:hAnsi="Noto Sans Thai" w:cs="Noto Sans Thai"/>
          <w:szCs w:val="22"/>
          <w:cs/>
          <w:lang w:val="th" w:bidi="th-TH"/>
        </w:rPr>
        <w:t>ขาย</w:t>
      </w:r>
      <w:r w:rsidRPr="00662590">
        <w:rPr>
          <w:rFonts w:ascii="Noto Sans Thai" w:hAnsi="Noto Sans Thai" w:cs="Noto Sans Thai"/>
          <w:szCs w:val="22"/>
          <w:lang w:val="th"/>
        </w:rPr>
        <w:t>คาดว่าจะ</w:t>
      </w:r>
      <w:r w:rsidR="00A71A7F" w:rsidRPr="00662590">
        <w:rPr>
          <w:rFonts w:ascii="Noto Sans Thai" w:hAnsi="Noto Sans Thai" w:cs="Noto Sans Thai"/>
          <w:szCs w:val="22"/>
          <w:cs/>
          <w:lang w:val="th" w:bidi="th-TH"/>
        </w:rPr>
        <w:t>สูงขึ้น</w:t>
      </w:r>
      <w:r w:rsidRPr="00662590">
        <w:rPr>
          <w:rFonts w:ascii="Noto Sans Thai" w:hAnsi="Noto Sans Thai" w:cs="Noto Sans Thai"/>
          <w:szCs w:val="22"/>
          <w:lang w:val="th"/>
        </w:rPr>
        <w:t xml:space="preserve"> สำหรับปี 2025 ตลอดทั้งปี </w:t>
      </w:r>
      <w:r w:rsidR="004A363A" w:rsidRPr="00662590">
        <w:rPr>
          <w:rFonts w:ascii="Noto Sans Thai" w:hAnsi="Noto Sans Thai" w:cs="Noto Sans Thai"/>
          <w:szCs w:val="22"/>
          <w:lang w:val="th"/>
        </w:rPr>
        <w:t>โดยรวม</w:t>
      </w:r>
      <w:r w:rsidRPr="00662590">
        <w:rPr>
          <w:rFonts w:ascii="Noto Sans Thai" w:hAnsi="Noto Sans Thai" w:cs="Noto Sans Thai"/>
          <w:szCs w:val="22"/>
          <w:lang w:val="th"/>
        </w:rPr>
        <w:t>คาดว่าจะมีการเติบโตของยอดขายในเชิงบวก ซึ่งได้รับแรงขับเคลื่อนจากทั้งปริมาณ</w:t>
      </w:r>
      <w:r w:rsidR="004A363A" w:rsidRPr="00662590">
        <w:rPr>
          <w:rFonts w:ascii="Noto Sans Thai" w:hAnsi="Noto Sans Thai" w:cs="Noto Sans Thai"/>
          <w:szCs w:val="22"/>
          <w:cs/>
          <w:lang w:val="th" w:bidi="th-TH"/>
        </w:rPr>
        <w:t>ขาย</w:t>
      </w:r>
      <w:r w:rsidRPr="00662590">
        <w:rPr>
          <w:rFonts w:ascii="Noto Sans Thai" w:hAnsi="Noto Sans Thai" w:cs="Noto Sans Thai"/>
          <w:szCs w:val="22"/>
          <w:lang w:val="th"/>
        </w:rPr>
        <w:t>และราคา</w:t>
      </w:r>
      <w:r w:rsidR="004A363A" w:rsidRPr="00662590">
        <w:rPr>
          <w:rFonts w:ascii="Noto Sans Thai" w:hAnsi="Noto Sans Thai" w:cs="Noto Sans Thai"/>
          <w:szCs w:val="22"/>
          <w:cs/>
          <w:lang w:val="th" w:bidi="th-TH"/>
        </w:rPr>
        <w:t>ขาย</w:t>
      </w:r>
    </w:p>
    <w:p w14:paraId="1D3698A5" w14:textId="77777777" w:rsidR="000910FF" w:rsidRPr="00662590" w:rsidRDefault="000910FF" w:rsidP="00B0553A">
      <w:pPr>
        <w:jc w:val="left"/>
        <w:rPr>
          <w:rFonts w:ascii="Noto Sans Thai" w:hAnsi="Noto Sans Thai" w:cs="Noto Sans Thai"/>
          <w:szCs w:val="22"/>
          <w:lang w:val="th" w:bidi="th-TH"/>
        </w:rPr>
      </w:pPr>
    </w:p>
    <w:p w14:paraId="57F1AD3A" w14:textId="77777777" w:rsidR="000E745A" w:rsidRPr="00662590" w:rsidRDefault="000E745A" w:rsidP="00B0553A">
      <w:pPr>
        <w:jc w:val="left"/>
        <w:rPr>
          <w:rFonts w:ascii="Noto Sans Thai" w:hAnsi="Noto Sans Thai" w:cs="Noto Sans Thai"/>
          <w:szCs w:val="22"/>
        </w:rPr>
      </w:pPr>
      <w:bookmarkStart w:id="4" w:name="_Hlk192504294"/>
      <w:r w:rsidRPr="00662590">
        <w:rPr>
          <w:rFonts w:ascii="Noto Sans Thai" w:hAnsi="Noto Sans Thai" w:cs="Noto Sans Thai"/>
          <w:szCs w:val="22"/>
          <w:lang w:val="th"/>
        </w:rPr>
        <w:t xml:space="preserve">สำหรับปี 2025 ตลอดทั้งปี คาดว่าทั้งสองหน่วยธุรกิจและกลุ่มบริษัทจะมีการปรับปรุงอัตรากำไรและความสามารถในการทำกำไรเพิ่มขึ้นเมื่อเทียบกับปีก่อนหน้า การพัฒนาในช่วงสองเดือนแรกของปีงบประมาณ 2025 แสดงให้เห็นว่า Henkel และทั้งสองหน่วยธุรกิจกำลังดำเนินไปได้ด้วยดี </w:t>
      </w:r>
    </w:p>
    <w:bookmarkEnd w:id="4"/>
    <w:p w14:paraId="682FD8E7" w14:textId="77777777" w:rsidR="00916EAB" w:rsidRPr="00662590" w:rsidRDefault="00916EAB" w:rsidP="00B0553A">
      <w:pPr>
        <w:jc w:val="left"/>
        <w:rPr>
          <w:rFonts w:ascii="Noto Sans Thai" w:hAnsi="Noto Sans Thai" w:cs="Noto Sans Thai"/>
          <w:color w:val="000000"/>
          <w:szCs w:val="22"/>
        </w:rPr>
      </w:pPr>
    </w:p>
    <w:p w14:paraId="72462B2D" w14:textId="21BB0D4F" w:rsidR="004B2C19" w:rsidRPr="00662590" w:rsidRDefault="004B2C19" w:rsidP="00CC0CED">
      <w:pPr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ผลการดำเนินงานด้านยอดขายและกำไรของกลุ่มบริษัทในปีงบประมาณ 2024</w:t>
      </w:r>
    </w:p>
    <w:p w14:paraId="2D0CB629" w14:textId="1FFA6319" w:rsidR="0037555D" w:rsidRPr="00662590" w:rsidRDefault="004B2C19" w:rsidP="00CC0CED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ยอดขาย</w:t>
      </w:r>
      <w:r w:rsidRPr="00662590">
        <w:rPr>
          <w:rFonts w:ascii="Noto Sans Thai" w:hAnsi="Noto Sans Thai" w:cs="Noto Sans Thai"/>
          <w:szCs w:val="22"/>
          <w:lang w:val="th"/>
        </w:rPr>
        <w:t xml:space="preserve">ของกลุ่มบริษัท Henkel สูงถึง 21,586 ล้านยูโรในปีงบประมาณ 2024 ซึ่งเพิ่มขึ้น 0.3 เปอร์เซ็นต์เมื่อเทียบกับปีก่อนหน้า ผลกระทบจากอัตราแลกเปลี่ยนเงินตราต่างประเทศส่งผลเชิงลบกับยอดขาย -1.8 เปอร์เซ็นต์ หากปรับผลกระทบจากอัตราแลกเปลี่ยนเงินตราต่างประเทศดังกล่าว การเติบโตของยอดขายจะอยู่ที่ 2.1 เปอร์เซ็นต์ การเข้าซื้อกิจการ/การถอนการลงทุนมีผลกระทบในเชิงลบเล็กน้อยที่ -0.4 เปอร์เซ็นต์ต่อยอดขาย ซึ่งส่วนใหญ่เกิดจากการละทิ้งกิจกรรมทางธุรกิจของเราในรัสเซียในปี 2023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การเติบโตของยอดขายจากภายใน</w:t>
      </w:r>
      <w:r w:rsidRPr="00662590">
        <w:rPr>
          <w:rFonts w:ascii="Noto Sans Thai" w:hAnsi="Noto Sans Thai" w:cs="Noto Sans Thai"/>
          <w:szCs w:val="22"/>
          <w:lang w:val="th"/>
        </w:rPr>
        <w:t xml:space="preserve"> ซึ่งปรับผลกระทบจากอัตราแลกเปลี่ยนเงินตราต่างประเทศและการเข้าซื้อกิจการ/การถอนการลงทุน แสดงให้เห็นถึงการพัฒนาที่ดีที่ 2.6 เปอร์เซ็นต์ ซึ่งได้รับแรงผลักดันจากการพัฒนาราคาที่ดีและปริมาณในเชิงบวก</w:t>
      </w:r>
    </w:p>
    <w:p w14:paraId="4CBD79BF" w14:textId="77777777" w:rsidR="0037555D" w:rsidRPr="00662590" w:rsidRDefault="0037555D" w:rsidP="00B0553A">
      <w:pPr>
        <w:jc w:val="left"/>
        <w:rPr>
          <w:rFonts w:ascii="Noto Sans Thai" w:hAnsi="Noto Sans Thai" w:cs="Noto Sans Thai"/>
          <w:szCs w:val="22"/>
        </w:rPr>
      </w:pPr>
    </w:p>
    <w:p w14:paraId="37236882" w14:textId="05970D98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หน่วยธุรกิจ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เทคโนโลยีกาว</w:t>
      </w:r>
      <w:r w:rsidRPr="00662590">
        <w:rPr>
          <w:rFonts w:ascii="Noto Sans Thai" w:hAnsi="Noto Sans Thai" w:cs="Noto Sans Thai"/>
          <w:szCs w:val="22"/>
          <w:lang w:val="th"/>
        </w:rPr>
        <w:t>สามารถสร้างการเติบโตของยอดขายจากภายในที่ดีถึง 2.4 เปอร์เซ็นต์ โดยได้รับแรงผลักดันจากธุรกิจการเคลื่อนที่และอิเล็กทรอนิกส์ หน่วยธุรกิจ</w:t>
      </w:r>
      <w:r w:rsidR="004A363A" w:rsidRPr="00662590">
        <w:rPr>
          <w:rFonts w:ascii="Noto Sans Thai" w:hAnsi="Noto Sans Thai" w:cs="Noto Sans Thai"/>
          <w:b/>
          <w:bCs/>
          <w:szCs w:val="22"/>
          <w:cs/>
          <w:lang w:val="th" w:bidi="th"/>
        </w:rPr>
        <w:t>คอนซูเมอร์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แบรนด์</w:t>
      </w:r>
      <w:r w:rsidRPr="00662590">
        <w:rPr>
          <w:rFonts w:ascii="Noto Sans Thai" w:hAnsi="Noto Sans Thai" w:cs="Noto Sans Thai"/>
          <w:szCs w:val="22"/>
          <w:lang w:val="th"/>
        </w:rPr>
        <w:t>สามารถสร้างการเติบโตของยอดขายภายในที่แข็งแกร่งถึง 3.0 เปอร์เซ็นต์ โดยได้รับแรงผลักดันหลักจากธุรกิจด้านเส้นผม</w:t>
      </w:r>
    </w:p>
    <w:p w14:paraId="646D16FF" w14:textId="77777777" w:rsidR="004B2C19" w:rsidRPr="00662590" w:rsidRDefault="004B2C19" w:rsidP="00B0553A">
      <w:pPr>
        <w:jc w:val="left"/>
        <w:rPr>
          <w:rFonts w:ascii="Noto Sans Thai" w:hAnsi="Noto Sans Thai" w:cs="Noto Sans Thai"/>
          <w:b/>
          <w:bCs/>
          <w:szCs w:val="22"/>
        </w:rPr>
      </w:pPr>
    </w:p>
    <w:p w14:paraId="124DA277" w14:textId="60F67880" w:rsidR="00D24C2D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กําไรจากการดําเนินงานที่ปรับแล้ว (EBIT ที่ปรับแล้ว)</w:t>
      </w:r>
      <w:r w:rsidRPr="00662590">
        <w:rPr>
          <w:rFonts w:ascii="Noto Sans Thai" w:hAnsi="Noto Sans Thai" w:cs="Noto Sans Thai"/>
          <w:szCs w:val="22"/>
          <w:lang w:val="th"/>
        </w:rPr>
        <w:t xml:space="preserve"> เพิ่มขึ้นอย่างมีนัยสําคัญ 20.9 เปอร์เซ็นต์เป็น 3,089 ล้านยูโร (ปีก่อนหน้า: 2,556 ล้านยูโร)</w:t>
      </w:r>
    </w:p>
    <w:p w14:paraId="7FD4D2EF" w14:textId="77777777" w:rsidR="00D24C2D" w:rsidRPr="00662590" w:rsidRDefault="00D24C2D" w:rsidP="00B0553A">
      <w:pPr>
        <w:jc w:val="left"/>
        <w:rPr>
          <w:rFonts w:ascii="Noto Sans Thai" w:hAnsi="Noto Sans Thai" w:cs="Noto Sans Thai"/>
          <w:szCs w:val="22"/>
        </w:rPr>
      </w:pPr>
    </w:p>
    <w:p w14:paraId="110A83FF" w14:textId="77777777" w:rsidR="00D24C2D" w:rsidRPr="00662590" w:rsidRDefault="00D24C2D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ผลตอบแทนจากยอดขายที่ปรับแล้ว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 xml:space="preserve">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(อัตรากำไร EBIT ที่ปรับแล้ว)</w:t>
      </w:r>
      <w:r w:rsidRPr="00662590">
        <w:rPr>
          <w:rFonts w:ascii="Noto Sans Thai" w:hAnsi="Noto Sans Thai" w:cs="Noto Sans Thai"/>
          <w:szCs w:val="22"/>
          <w:lang w:val="th"/>
        </w:rPr>
        <w:t xml:space="preserve"> ในปีงบประมาณ 2024 ยังสูงขึ้นอย่างมีนัยสําคัญเมื่อเทียบกับปีที่แล้วที่ 14.3 เปอร์เซ็นต์ (2023: 11.9 เปอร์เซ็นต์)</w:t>
      </w:r>
    </w:p>
    <w:p w14:paraId="6D43DBB2" w14:textId="77777777" w:rsidR="00D24C2D" w:rsidRPr="00662590" w:rsidRDefault="00D24C2D" w:rsidP="00B0553A">
      <w:pPr>
        <w:jc w:val="left"/>
        <w:rPr>
          <w:rFonts w:ascii="Noto Sans Thai" w:hAnsi="Noto Sans Thai" w:cs="Noto Sans Thai"/>
          <w:szCs w:val="22"/>
        </w:rPr>
      </w:pPr>
    </w:p>
    <w:p w14:paraId="7BF5A3FA" w14:textId="6161930A" w:rsidR="00D24C2D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กำไรต่อหุ้นบุริมสิทธิที่ปรับแล้ว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>เพิ่มขึ้นอย่างมีนัยสำคัญถึง 23.2 เปอร์เซ็นต์ เป็น 5.36 ยูโร (ปีก่อนหน้า: 4.35 ยูโร) หากใช้อัตราแลกเปลี่ยนคงที่ กำไรต่อหุ้นบุริมสิทธิที่ปรับแล้วเพิ่มขึ้น 25.1 เปอร์เซ็นต์</w:t>
      </w:r>
    </w:p>
    <w:p w14:paraId="565CE265" w14:textId="77777777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</w:p>
    <w:p w14:paraId="44661807" w14:textId="64B9B094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เงินทุนหมุนเวียนสุทธิเป็นเปอร์เซ็นต์ของยอดขายอยู่ที่</w:t>
      </w:r>
      <w:r w:rsidRPr="00662590">
        <w:rPr>
          <w:rFonts w:ascii="Noto Sans Thai" w:hAnsi="Noto Sans Thai" w:cs="Noto Sans Thai"/>
          <w:szCs w:val="22"/>
          <w:lang w:val="th"/>
        </w:rPr>
        <w:t xml:space="preserve"> 3.0 เปอร์เซ็นต์ ซึ่งเพิ่มขึ้นเล็กน้อยเมื่อเทียบกับปีก่อนหน้า (2023: 2.6 เปอร์เซ็นต์)</w:t>
      </w:r>
    </w:p>
    <w:p w14:paraId="1BB4AE7E" w14:textId="77777777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</w:p>
    <w:p w14:paraId="2DCFF1AF" w14:textId="7915DAC0" w:rsidR="00D24C2D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กระแสเงินสด</w:t>
      </w:r>
      <w:r w:rsidRPr="00662590">
        <w:rPr>
          <w:rFonts w:ascii="Noto Sans Thai" w:hAnsi="Noto Sans Thai" w:cs="Noto Sans Thai"/>
          <w:szCs w:val="22"/>
          <w:lang w:val="th"/>
        </w:rPr>
        <w:t xml:space="preserve">รวมทั้งสิ้น 2,362 ล้านยูโร ซึ่งลดลงเมื่อเทียบกับตัวเลขของปีที่ผ่านมา (2023: 2,603 ล้านยูโร) โดยตัวเลขปีก่อนหน้าได้รับผลกระทบเชิงบวกจากการปรับตัวของทุนหมุนเวียนสุทธิให้เป็นปกติ </w:t>
      </w:r>
    </w:p>
    <w:p w14:paraId="0EBCB1EE" w14:textId="77777777" w:rsidR="00D24C2D" w:rsidRPr="00662590" w:rsidRDefault="00D24C2D" w:rsidP="00B0553A">
      <w:pPr>
        <w:jc w:val="left"/>
        <w:rPr>
          <w:rFonts w:ascii="Noto Sans Thai" w:hAnsi="Noto Sans Thai" w:cs="Noto Sans Thai"/>
          <w:szCs w:val="22"/>
        </w:rPr>
      </w:pPr>
    </w:p>
    <w:p w14:paraId="644E3F1B" w14:textId="55D202DA" w:rsidR="004B2C19" w:rsidRPr="00662590" w:rsidRDefault="00D24C2D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สถานะทางการเงินสุทธิ</w:t>
      </w:r>
      <w:r w:rsidRPr="00662590">
        <w:rPr>
          <w:rFonts w:ascii="Noto Sans Thai" w:hAnsi="Noto Sans Thai" w:cs="Noto Sans Thai"/>
          <w:szCs w:val="22"/>
          <w:lang w:val="th"/>
        </w:rPr>
        <w:t>อยู่ที่ -93 ล้านยูโร ซึ่งต่ำกว่าระดับของปีที่ผ่านมาเล็กน้อย โดยเฉพาะอย่างยิ่งเนื่องจากการชำระเงินสำหรับการเข้าซื้อกิจการ (ณ วันที่ 31 ธันวาคม 2023: 12 ล้านยูโร)</w:t>
      </w:r>
    </w:p>
    <w:p w14:paraId="64F72D82" w14:textId="77777777" w:rsidR="000E68E4" w:rsidRDefault="000E68E4" w:rsidP="00195E58">
      <w:pPr>
        <w:spacing w:line="240" w:lineRule="auto"/>
        <w:jc w:val="left"/>
        <w:rPr>
          <w:rFonts w:ascii="Noto Sans Thai" w:hAnsi="Noto Sans Thai" w:cs="Noto Sans Thai"/>
          <w:szCs w:val="22"/>
        </w:rPr>
      </w:pPr>
    </w:p>
    <w:p w14:paraId="7E60BE9D" w14:textId="478F7137" w:rsidR="004B2C19" w:rsidRPr="00662590" w:rsidRDefault="004B2C19" w:rsidP="00195E58">
      <w:pPr>
        <w:spacing w:line="240" w:lineRule="auto"/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คณะกรรมการบริหาร คณะกรรมการกำกับดูแล และคณะกรรมการผู้ถือหุ้นจะเสนอให้ที่ประชุมผู้ถือหุ้นสามัญประจำปีในวันที่ 28 เมษายน 2025 เพิ่ม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เงินปันผล</w:t>
      </w:r>
      <w:r w:rsidRPr="00662590">
        <w:rPr>
          <w:rFonts w:ascii="Noto Sans Thai" w:hAnsi="Noto Sans Thai" w:cs="Noto Sans Thai"/>
          <w:szCs w:val="22"/>
          <w:lang w:val="th"/>
        </w:rPr>
        <w:t xml:space="preserve"> 10.3 เปอร์เซ็นต์เมื่อเทียบกับปีก่อนหน้า ซึ่งเท่ากับ 2.04 ยูโรต่อหุ้นบุริมสิทธิ และ 2.02 ยูโรต่อหุ้นสามัญ (+10.4 เปอร์เซ็นต์) อัตราส่วนการจ่ายเงินปันผลคิดเป็น 37.9 เปอร์เซ็นต์ ซึ่งอยู่ในช่วงเป้าหมายที่กำหนดไว้ระหว่าง 30 ถึง 40 เปอร์เซ็นต์ การเพิ่มขึ้นของเงินปันผลเป็นไปได้ด้วยผลการดำเนินงานทางการเงินที่แข็งแกร่งในปีงบประมาณที่ผ่านมา และฐานะทางการเงินที่แข็งแกร่ง</w:t>
      </w:r>
      <w:r w:rsidR="00AE18EB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>ของกลุ่มบริษัท Henkel</w:t>
      </w:r>
    </w:p>
    <w:p w14:paraId="607D8106" w14:textId="77777777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</w:p>
    <w:p w14:paraId="6894D2A4" w14:textId="77777777" w:rsidR="00682CD3" w:rsidRDefault="00682CD3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</w:p>
    <w:p w14:paraId="340AA466" w14:textId="77777777" w:rsidR="00682CD3" w:rsidRDefault="00682CD3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</w:p>
    <w:p w14:paraId="49CBA3E9" w14:textId="3061D3E4" w:rsidR="004B2C19" w:rsidRPr="00662590" w:rsidRDefault="004B2C19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lastRenderedPageBreak/>
        <w:t>ผลการดําเนินงานของหน่วยธุรกิจในปีงบประมาณ 2024</w:t>
      </w:r>
    </w:p>
    <w:p w14:paraId="245C0E98" w14:textId="17C44A1A" w:rsidR="004B2C19" w:rsidRPr="00662590" w:rsidRDefault="009E6215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ยอดขาย</w:t>
      </w:r>
      <w:r w:rsidRPr="00662590">
        <w:rPr>
          <w:rFonts w:ascii="Noto Sans Thai" w:hAnsi="Noto Sans Thai" w:cs="Noto Sans Thai"/>
          <w:szCs w:val="22"/>
          <w:lang w:val="th"/>
        </w:rPr>
        <w:t>ของหน่วยธุรกิจ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เทคโนโลยีกาว</w:t>
      </w:r>
      <w:r w:rsidRPr="00662590">
        <w:rPr>
          <w:rFonts w:ascii="Noto Sans Thai" w:hAnsi="Noto Sans Thai" w:cs="Noto Sans Thai"/>
          <w:szCs w:val="22"/>
          <w:lang w:val="th"/>
        </w:rPr>
        <w:t>ในปีงบประมาณ 2024 อยู่ที่ 10,970 ล้านยูโร เพิ่มขึ้น 1.7 เปอร์เซ็นต์เมื่อเทียบกับปีก่อนในแง่ตัวเลขที่รายงาน แม้ว่าผลกระทบจากอัตราแลกเปลี่ยนเงินตราต่างประเทศจะส่งผลกระทบเชิงลบที่ -1.8 เปอร์เซ็นต์ การเข้าซื้อกิจการ/การถอนการลงทุนช่วยเพิ่มยอดขายขึ้น 1.1 เปอร์เซ็นต์ ยอดขาย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ที่มาจากตัวธุรกิจเอง</w:t>
      </w:r>
      <w:r w:rsidRPr="00662590">
        <w:rPr>
          <w:rFonts w:ascii="Noto Sans Thai" w:hAnsi="Noto Sans Thai" w:cs="Noto Sans Thai"/>
          <w:szCs w:val="22"/>
          <w:lang w:val="th"/>
        </w:rPr>
        <w:t xml:space="preserve">เพิ่มขึ้น 2.4 เปอร์เซ็นต์ การเติบโตของยอดขายนี้ได้รับแรงขับเคลื่อนเป็นพิเศษจากการเพิ่มขึ้นของปริมาณในช่วงครึ่งหลังของปีเมื่อเทียบกับปีก่อนหน้า ซึ่งส่วนใหญ่มาจากอุปสงค์ที่เพิ่มขึ้นในตลาดปลายทางหลักบางแห่ง ราคายังคงไม่เปลี่ยนแปลงเมื่อเทียบกับปีก่อนหน้า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ผลกําไรจากการดำเนินงานที่ปรับแล้ว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>อยู่ที่ 1,817 ล้านยูโร โดยเพิ่มขึ้นเป็นเปอร์เซ็นต์ตัวเลขสองหลักเมื่อเทียบกับปีก่อน ซึ่งถือเป็น</w:t>
      </w:r>
      <w:r w:rsidR="008D50A2" w:rsidRPr="00662590">
        <w:rPr>
          <w:rFonts w:ascii="Noto Sans Thai" w:hAnsi="Noto Sans Thai" w:cs="Noto Sans Thai"/>
          <w:szCs w:val="22"/>
          <w:cs/>
          <w:lang w:val="th" w:bidi="th-TH"/>
        </w:rPr>
        <w:t>สถิติ</w:t>
      </w:r>
      <w:r w:rsidR="008D50A2" w:rsidRPr="00662590">
        <w:rPr>
          <w:rFonts w:ascii="Noto Sans Thai" w:hAnsi="Noto Sans Thai" w:cs="Noto Sans Thai"/>
          <w:szCs w:val="22"/>
          <w:lang w:val="th"/>
        </w:rPr>
        <w:t>ใหม่</w:t>
      </w:r>
      <w:r w:rsidRPr="00662590">
        <w:rPr>
          <w:rFonts w:ascii="Noto Sans Thai" w:hAnsi="Noto Sans Thai" w:cs="Noto Sans Thai"/>
          <w:szCs w:val="22"/>
          <w:lang w:val="th"/>
        </w:rPr>
        <w:t xml:space="preserve">ระดับสูงสุดสำหรับหน่วยธุรกิจนี้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ผลตอบแทนจากยอดขายที่ปรับแล้ว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>ยังเพิ่มขึ้นอย่างมีนัยสำคัญที่ 190 เบซิสพอยท์ เป็น 16.6 เปอร์เซ็นต์</w:t>
      </w:r>
    </w:p>
    <w:p w14:paraId="7AA894BD" w14:textId="77777777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</w:p>
    <w:p w14:paraId="305F075B" w14:textId="4A71E95D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ยอดขาย</w:t>
      </w:r>
      <w:r w:rsidRPr="00662590">
        <w:rPr>
          <w:rFonts w:ascii="Noto Sans Thai" w:hAnsi="Noto Sans Thai" w:cs="Noto Sans Thai"/>
          <w:szCs w:val="22"/>
          <w:lang w:val="th"/>
        </w:rPr>
        <w:t>ของหน่วยธุรกิจ</w:t>
      </w:r>
      <w:r w:rsidR="001C0D67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คอนซูเมอร์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แบรนด์</w:t>
      </w:r>
      <w:r w:rsidRPr="00662590">
        <w:rPr>
          <w:rFonts w:ascii="Noto Sans Thai" w:hAnsi="Noto Sans Thai" w:cs="Noto Sans Thai"/>
          <w:szCs w:val="22"/>
          <w:lang w:val="th"/>
        </w:rPr>
        <w:t>ในปีที่รายงานมีมูลค่ารวม 10,467 ล้านยูโร ลดลง -0.9 เปอร์เซ็นต์เมื่อเทียบกับปีก่อนในแง่ตัวเลขที่รายงาน ผลกระทบจากอัตราแลกเปลี่ยนเงินตราต่างประเทศทำให้ยอดขายลดลง -1.8 เปอร์เซ็นต์ การเข้าซื้อกิจการ/การถอนการลงทุนมีผลกระทบในเชิงลบที่ -2.0 เปอร์เซ็นต์ต่อยอดขาย โดยการละทิ้งกิจกรรมทางธุรกิจในรัสเซียในเดือนเมษายน 2023 ยังคงเป็นสาเหตุหลัก ยอดขาย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ที่มาจากตัวธุรกิจเอง</w:t>
      </w:r>
      <w:r w:rsidRPr="00662590">
        <w:rPr>
          <w:rFonts w:ascii="Noto Sans Thai" w:hAnsi="Noto Sans Thai" w:cs="Noto Sans Thai"/>
          <w:szCs w:val="22"/>
          <w:lang w:val="th"/>
        </w:rPr>
        <w:t xml:space="preserve">เพิ่มขึ้น 3.0 เปอร์เซ็นต์ การเติบโตของยอดขายนี้เกิดจากการพัฒนาราคาที่แข็งแกร่งอย่างมาก ในขณะที่ปริมาณการขายลดลงเนื่องจากมาตรการเพิ่มประสิทธิภาพพอร์ตโฟลิโออย่างต่อเนื่องเป็นหลัก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ผลกําไรจากการดําเนินงานที่ปรับแล้ว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 xml:space="preserve">มีมูลค่า 1,419 ล้านยูโร ซึ่งสูงกว่าปีก่อนหน้าอย่างมีนัยสําคัญ (1,115 ล้านยูโร) 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ผลตอบแทนจากยอดขายที่ปรับแล้ว</w:t>
      </w:r>
      <w:r w:rsidRPr="00662590">
        <w:rPr>
          <w:rFonts w:ascii="Noto Sans Thai" w:hAnsi="Noto Sans Thai" w:cs="Noto Sans Thai"/>
          <w:szCs w:val="22"/>
          <w:lang w:val="th"/>
        </w:rPr>
        <w:t>อยู่ที่ 13.6 เปอร์เซ็นต์ และเพิ่มขึ้นอย่างมีนัยสําคัญ 300 เบสิสพอยท์เมื่อเทียบกับปีก่อนหน้า</w:t>
      </w:r>
    </w:p>
    <w:p w14:paraId="48A9E8BA" w14:textId="77777777" w:rsidR="004B2C19" w:rsidRPr="00662590" w:rsidRDefault="004B2C19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</w:p>
    <w:p w14:paraId="19A4602E" w14:textId="25AF1650" w:rsidR="004B2C19" w:rsidRPr="00662590" w:rsidRDefault="00D04EC3" w:rsidP="00B0553A">
      <w:pPr>
        <w:spacing w:after="120"/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ความก้าวหน้าครั้งสำคัญในการเปลี่ยนแปลง</w:t>
      </w:r>
    </w:p>
    <w:p w14:paraId="6BC02054" w14:textId="54371F5F" w:rsidR="00D04EC3" w:rsidRPr="00662590" w:rsidRDefault="00D04EC3" w:rsidP="00B0553A">
      <w:pPr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ในช่วงหลายปีที่ผ่านมา Henkel ได้ทำการเปลี่ยนแปลงอย่างลึกซึ้งในหลายด้าน และได้ดำเนินการตามแผนกลยุทธ์เพื่อการเติบโตอย่างมีจุดมุ่งหมายอย่างต่อเนื่อง ปัจจัยสำคัญที่ขับเคลื่อนความสำเร็จระยะยาวและยั่งยืนคือความเต็มใจและความมุ่งมั่นในการเปลี่ยนแปลงอย่างต่อเนื่อง เป้าหมายคือการบรรลุผลลัพธ์ที่ดีขึ้นอย่างยั่งยืน เพื่อบรรลุเป้าหมายนี้ บริษัทต้องมีการเปลี่ยนแปลงและพัฒนาอย่างต่อเนื่องในทุกด้าน</w:t>
      </w:r>
    </w:p>
    <w:p w14:paraId="35C9DD3C" w14:textId="77777777" w:rsidR="00C8634B" w:rsidRPr="00662590" w:rsidRDefault="00C8634B" w:rsidP="00B0553A">
      <w:pPr>
        <w:jc w:val="left"/>
        <w:rPr>
          <w:rFonts w:ascii="Noto Sans Thai" w:hAnsi="Noto Sans Thai" w:cs="Noto Sans Thai"/>
          <w:bCs/>
          <w:szCs w:val="22"/>
        </w:rPr>
      </w:pPr>
    </w:p>
    <w:p w14:paraId="223274DA" w14:textId="5C20ED90" w:rsidR="00C8634B" w:rsidRPr="00662590" w:rsidRDefault="00C8634B" w:rsidP="00B0553A">
      <w:pPr>
        <w:spacing w:line="240" w:lineRule="auto"/>
        <w:jc w:val="left"/>
        <w:rPr>
          <w:rFonts w:ascii="Noto Sans Thai" w:hAnsi="Noto Sans Thai" w:cs="Noto Sans Thai"/>
          <w:b/>
          <w:bCs/>
          <w:i/>
          <w:iCs/>
          <w:szCs w:val="22"/>
        </w:rPr>
      </w:pPr>
      <w:r w:rsidRPr="00662590">
        <w:rPr>
          <w:rFonts w:ascii="Noto Sans Thai" w:hAnsi="Noto Sans Thai" w:cs="Noto Sans Thai"/>
          <w:b/>
          <w:bCs/>
          <w:i/>
          <w:iCs/>
          <w:szCs w:val="22"/>
          <w:lang w:val="th"/>
        </w:rPr>
        <w:br w:type="page"/>
      </w:r>
    </w:p>
    <w:p w14:paraId="04B987EC" w14:textId="3613A5E5" w:rsidR="004B2C19" w:rsidRPr="00662590" w:rsidRDefault="00AA5131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lastRenderedPageBreak/>
        <w:t>ธุรกิจคอนซูเมอร์</w:t>
      </w:r>
      <w:r w:rsidR="004B2C19" w:rsidRPr="00662590">
        <w:rPr>
          <w:rFonts w:ascii="Noto Sans Thai" w:hAnsi="Noto Sans Thai" w:cs="Noto Sans Thai"/>
          <w:b/>
          <w:bCs/>
          <w:szCs w:val="22"/>
          <w:lang w:val="th"/>
        </w:rPr>
        <w:t>แบรนด์: การควบรวมกิจการดําเนินไปเร็วกว่าที่วางแผน</w:t>
      </w:r>
    </w:p>
    <w:p w14:paraId="5A238EE7" w14:textId="17E77D8A" w:rsidR="00D407F1" w:rsidRPr="00662590" w:rsidRDefault="00D407F1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การเปลี่ยนแปลงที่อาจจะสำคัญที่สุดในประวัติศาสตร์ล่าสุดของ Henkel คือการควบรวมธุรกิจสินค้าอุปโภคบริโภคของเราเข้าเป็นหน่วยธุรกิจ</w:t>
      </w:r>
      <w:r w:rsidR="00AA5131" w:rsidRPr="00662590">
        <w:rPr>
          <w:rFonts w:ascii="Noto Sans Thai" w:hAnsi="Noto Sans Thai" w:cs="Noto Sans Thai"/>
          <w:b/>
          <w:bCs/>
          <w:szCs w:val="22"/>
          <w:cs/>
          <w:lang w:val="th" w:bidi="th-TH"/>
        </w:rPr>
        <w:t>คอนซูเมอร์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แบรนด์</w:t>
      </w:r>
      <w:r w:rsidRPr="00662590">
        <w:rPr>
          <w:rFonts w:ascii="Noto Sans Thai" w:hAnsi="Noto Sans Thai" w:cs="Noto Sans Thai"/>
          <w:szCs w:val="22"/>
          <w:lang w:val="th"/>
        </w:rPr>
        <w:t xml:space="preserve"> ซึ่งได้รับการประกาศในช่วงต้นปี 2022 นับตั้งแต่นั้นเป็นต้นมา มีหลายอย่างเกิดขึ้น หน่วยธุรกิจได้เริ่มดำเนินการในรูปแบบใหม่ตั้งแต่ต้นปี 2023 และการพัฒนาในทางบวกได้เริ่มปรากฏชัดในปีนั้นแล้ว ในปีงบประมาณ 2024 ที่ผ่านมา เห็นได้ชัดว่าการตัดสินใจของเราในการรวมธุรกิจ</w:t>
      </w:r>
      <w:r w:rsidR="00AA5131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ที่เคยแยกออกจากกันก่อนหน้านี้เข้าเป็นแพลตฟอร์มเดียวของเราเป็นการตัดสินใจที่ถูกต้อง</w:t>
      </w:r>
    </w:p>
    <w:p w14:paraId="7F6AF64A" w14:textId="77777777" w:rsidR="00D407F1" w:rsidRPr="00662590" w:rsidRDefault="00D407F1" w:rsidP="00B0553A">
      <w:pPr>
        <w:jc w:val="left"/>
        <w:rPr>
          <w:rFonts w:ascii="Noto Sans Thai" w:hAnsi="Noto Sans Thai" w:cs="Noto Sans Thai"/>
          <w:szCs w:val="22"/>
        </w:rPr>
      </w:pPr>
    </w:p>
    <w:p w14:paraId="2CC342F6" w14:textId="6EAB60CD" w:rsidR="00D407F1" w:rsidRPr="00662590" w:rsidRDefault="00D407F1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การผสานรวมหน่วยธุรกิจ</w:t>
      </w:r>
      <w:r w:rsidR="00AA5131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ได้ดำเนินไปอย่างรวดเร็วกว่าที่วางแผนไว้ในตอนแรก ทั้งในด้านการผสานรวมทีม การปรับโครงสร้างพอร์ตโฟลิโอ ตลอดจนความสําเร็จของการทํางานร่วมกัน ระยะแรกของการผสานรวม ซึ่งเกี่ยวข้องกับการผนวกรวมทีมขายและทีมการตลาดเข้าด้วยกันเป็นหลักเสร็จสมบูรณ์ในปี 2024 ในระยะที่สอง ซึ่งดําเนินต่อเนื่องมาตั้งแต่ปี 2023 การประหยัดต้นทุนทั้งหมดจาก</w:t>
      </w:r>
      <w:r w:rsidR="00AA5131" w:rsidRPr="00662590">
        <w:rPr>
          <w:rFonts w:ascii="Noto Sans Thai" w:hAnsi="Noto Sans Thai" w:cs="Noto Sans Thai"/>
          <w:szCs w:val="22"/>
          <w:cs/>
          <w:lang w:val="th" w:bidi="th-TH"/>
        </w:rPr>
        <w:t>กิจกรรม</w:t>
      </w:r>
      <w:r w:rsidR="00C47EEF" w:rsidRPr="00662590">
        <w:rPr>
          <w:rFonts w:ascii="Noto Sans Thai" w:hAnsi="Noto Sans Thai" w:cs="Noto Sans Thai"/>
          <w:szCs w:val="22"/>
          <w:cs/>
          <w:lang w:val="th" w:bidi="th-TH"/>
        </w:rPr>
        <w:t>ซัพพลายเชน</w:t>
      </w:r>
      <w:r w:rsidRPr="00662590">
        <w:rPr>
          <w:rFonts w:ascii="Noto Sans Thai" w:hAnsi="Noto Sans Thai" w:cs="Noto Sans Thai"/>
          <w:szCs w:val="22"/>
          <w:lang w:val="th"/>
        </w:rPr>
        <w:t xml:space="preserve"> กล่าวคือ เครือข่ายการผลิตและ</w:t>
      </w:r>
      <w:r w:rsidR="003C691D" w:rsidRPr="00662590">
        <w:rPr>
          <w:rFonts w:ascii="Noto Sans Thai" w:hAnsi="Noto Sans Thai" w:cs="Noto Sans Thai"/>
          <w:szCs w:val="22"/>
          <w:cs/>
          <w:lang w:val="th" w:bidi="th-TH"/>
        </w:rPr>
        <w:t>กิจกรรมซัพพลายเชน</w:t>
      </w:r>
      <w:r w:rsidR="003C691D" w:rsidRPr="00662590">
        <w:rPr>
          <w:rFonts w:ascii="Noto Sans Thai" w:hAnsi="Noto Sans Thai" w:cs="Noto Sans Thai"/>
          <w:szCs w:val="22"/>
          <w:lang w:val="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>คาดว่าจะบรรลุผลภายในสิ้นปี 2025</w:t>
      </w:r>
    </w:p>
    <w:p w14:paraId="67F27473" w14:textId="77777777" w:rsidR="00D407F1" w:rsidRPr="00662590" w:rsidRDefault="00D407F1" w:rsidP="00B0553A">
      <w:pPr>
        <w:jc w:val="left"/>
        <w:rPr>
          <w:rFonts w:ascii="Noto Sans Thai" w:hAnsi="Noto Sans Thai" w:cs="Noto Sans Thai"/>
          <w:szCs w:val="22"/>
        </w:rPr>
      </w:pPr>
    </w:p>
    <w:p w14:paraId="15E51F02" w14:textId="64D92C2B" w:rsidR="007E4FB6" w:rsidRPr="00662590" w:rsidRDefault="007E4FB6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ในขณะเดียวกัน หน่วยธุรกิจ</w:t>
      </w:r>
      <w:r w:rsidR="003C691D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มุ่งเน้น</w:t>
      </w:r>
      <w:r w:rsidR="009F5AE9" w:rsidRPr="00662590">
        <w:rPr>
          <w:rFonts w:ascii="Noto Sans Thai" w:hAnsi="Noto Sans Thai" w:cs="Noto Sans Thai"/>
          <w:szCs w:val="22"/>
          <w:cs/>
          <w:lang w:val="th" w:bidi="th-TH"/>
        </w:rPr>
        <w:t>กิจกรรม</w:t>
      </w:r>
      <w:r w:rsidRPr="00662590">
        <w:rPr>
          <w:rFonts w:ascii="Noto Sans Thai" w:hAnsi="Noto Sans Thai" w:cs="Noto Sans Thai"/>
          <w:szCs w:val="22"/>
          <w:lang w:val="th"/>
        </w:rPr>
        <w:t>อย่างต่อเนื่องในแบรนด์และธุรกิจที่แข็งแกร่ง</w:t>
      </w:r>
      <w:r w:rsidR="009F5AE9" w:rsidRPr="00662590">
        <w:rPr>
          <w:rFonts w:ascii="Noto Sans Thai" w:hAnsi="Noto Sans Thai" w:cs="Noto Sans Thai"/>
          <w:szCs w:val="22"/>
          <w:cs/>
          <w:lang w:val="th" w:bidi="th-TH"/>
        </w:rPr>
        <w:t>และ</w:t>
      </w:r>
      <w:r w:rsidRPr="00662590">
        <w:rPr>
          <w:rFonts w:ascii="Noto Sans Thai" w:hAnsi="Noto Sans Thai" w:cs="Noto Sans Thai"/>
          <w:szCs w:val="22"/>
          <w:lang w:val="th"/>
        </w:rPr>
        <w:t>ที่มีอัตรากำไรขั้นต้นสูง ตลอดจนตำแหน่งผู้นำในตลาดและหมวดหมู่สินค้า ผลกระทบเชิงบวกจากการมุ่งเน้นที่การเติบโตที่แข็งแกร่ง</w:t>
      </w:r>
      <w:r w:rsidR="00151429" w:rsidRPr="00662590">
        <w:rPr>
          <w:rFonts w:ascii="Noto Sans Thai" w:hAnsi="Noto Sans Thai" w:cs="Noto Sans Thai"/>
          <w:szCs w:val="22"/>
          <w:cs/>
          <w:lang w:val="th" w:bidi="th-TH"/>
        </w:rPr>
        <w:t>ของ</w:t>
      </w:r>
      <w:r w:rsidRPr="00662590">
        <w:rPr>
          <w:rFonts w:ascii="Noto Sans Thai" w:hAnsi="Noto Sans Thai" w:cs="Noto Sans Thai"/>
          <w:szCs w:val="22"/>
          <w:lang w:val="th"/>
        </w:rPr>
        <w:t>แบรนด์และธุรกิจที่มีอัตรากำไรสูงกำลังให้ผลลัพธ์ที่ดี: แบรนด์สิบอันดับแรกในกลุ่ม</w:t>
      </w:r>
      <w:r w:rsidR="00151429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</w:t>
      </w:r>
      <w:r w:rsidRPr="00662590">
        <w:rPr>
          <w:rFonts w:ascii="Noto Sans Thai" w:hAnsi="Noto Sans Thai" w:cs="Noto Sans Thai"/>
          <w:szCs w:val="22"/>
          <w:lang w:val="th"/>
        </w:rPr>
        <w:t xml:space="preserve">แบรนด์ ซึ่งมีสัดส่วนมากกว่าครึ่งหนึ่งของรายได้ในปี 2024 ประสบความสำเร็จในการเติบโตภายในอย่างแข็งแกร่งมาก พร้อมกับการเติบโตของปริมาณที่เป็นบวก </w:t>
      </w:r>
    </w:p>
    <w:p w14:paraId="52EA2509" w14:textId="1E8866CC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</w:p>
    <w:p w14:paraId="7B9B9917" w14:textId="77777777" w:rsidR="004B2C19" w:rsidRPr="00662590" w:rsidRDefault="004B2C19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การพัฒนาอย่างต่อเนื่องของหน่วยธุรกิจเทคโนโลยีกาว</w:t>
      </w:r>
    </w:p>
    <w:p w14:paraId="59CC5833" w14:textId="761F804E" w:rsidR="007E4FB6" w:rsidRPr="00662590" w:rsidRDefault="007E4FB6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นอกจากนี้ หน่วยธุรกิจ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เทคโนโลยีกาว</w:t>
      </w:r>
      <w:r w:rsidRPr="00662590">
        <w:rPr>
          <w:rFonts w:ascii="Noto Sans Thai" w:hAnsi="Noto Sans Thai" w:cs="Noto Sans Thai"/>
          <w:szCs w:val="22"/>
          <w:lang w:val="th"/>
        </w:rPr>
        <w:t xml:space="preserve">ก็ยังมีความก้าวหน้าอย่างมีนัยสำคัญในช่วงปีที่นํามาพิจารณา โดยมีผลการดำเนินงานทางธุรกิจโดยรวมที่ดี หน่วยธุรกิจนี้นำเสนอผลิตภัณฑ์และโซลูชันประมาณ 20,000 รายการให้กับลูกค้ากว่า 100,000 รายทั่วโลก ครอบคลุมอุตสาหกรรมมากกว่า 800 กลุ่มธุรกิจ ความกว้างขวางและความลึกของพอร์ตโฟลิโอนี้ ผสานกับการมีสํานักงานทั่วโลกและความเชี่ยวชาญในการพัฒนาโซลูชันที่มุ่งเน้นลูกค้าเป็นศูนย์กลาง ทําให้ Henkel มีเอกลักษณ์เฉพาะตัวในตลาดและช่วยให้บริษัทสามารถขยายตำแหน่งผู้นำในตลาดโลกได้ต่อไป เทคโนโลยีกาวกำลังมุ่งเน้นไปยังแนวโน้มสำคัญในอนาคตผ่านสามกลุ่มธุรกิจหลัก ได้แก่ การเคลื่อนที่และอิเล็กทรอนิกส์ บรรจุภัณฑ์และสินค้าอุปโภคบริโภค และช่างฝีมือ การก่อสร้าง และมืออาชีพ </w:t>
      </w:r>
      <w:r w:rsidRPr="00662590">
        <w:rPr>
          <w:rFonts w:ascii="Noto Sans Thai" w:hAnsi="Noto Sans Thai" w:cs="Noto Sans Thai"/>
          <w:szCs w:val="22"/>
          <w:lang w:val="th"/>
        </w:rPr>
        <w:lastRenderedPageBreak/>
        <w:t>สิ่งเหล่านี้รวมถึงการขับเคลื่อนด้วยพลังงานไฟฟ้า (e-mobility) และการเชื่อมต่อ ซึ่งหมายถึงการเชื่อมต่อระหว่างระบบเพิ่มมากขึ้น ตลอดจนความยั่งยืน</w:t>
      </w:r>
    </w:p>
    <w:p w14:paraId="0372FCC6" w14:textId="77777777" w:rsidR="007E4FB6" w:rsidRPr="00662590" w:rsidRDefault="007E4FB6" w:rsidP="00B0553A">
      <w:pPr>
        <w:jc w:val="left"/>
        <w:rPr>
          <w:rFonts w:ascii="Noto Sans Thai" w:hAnsi="Noto Sans Thai" w:cs="Noto Sans Thai"/>
          <w:szCs w:val="22"/>
        </w:rPr>
      </w:pPr>
    </w:p>
    <w:p w14:paraId="770C1800" w14:textId="31EC6B36" w:rsidR="007E4FB6" w:rsidRPr="00662590" w:rsidRDefault="007E4FB6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โครงสร้างที่กระชับของพื้นที่ธุรกิจ ซึ่งบางส่วนประกอบด้วยทีมผู้นําใหม่ และการมุ่งเน้นอย่างต่อเนื่องในแนวโน้มของอนาคต มีส่วนช่วยส่งเสริมการพัฒนาหน่วยธุรกิจที่ประสบความสําเร็จในปี 2024 ที่ท้าทาย</w:t>
      </w:r>
    </w:p>
    <w:p w14:paraId="294408D0" w14:textId="77777777" w:rsidR="007E4FB6" w:rsidRPr="00662590" w:rsidRDefault="007E4FB6" w:rsidP="00B0553A">
      <w:pPr>
        <w:jc w:val="left"/>
        <w:rPr>
          <w:rFonts w:ascii="Noto Sans Thai" w:hAnsi="Noto Sans Thai" w:cs="Noto Sans Thai"/>
          <w:szCs w:val="22"/>
        </w:rPr>
      </w:pPr>
    </w:p>
    <w:p w14:paraId="06B22237" w14:textId="77777777" w:rsidR="004B2C19" w:rsidRPr="00662590" w:rsidRDefault="004B2C19" w:rsidP="00B0553A">
      <w:pPr>
        <w:spacing w:after="120"/>
        <w:jc w:val="left"/>
        <w:rPr>
          <w:rFonts w:ascii="Noto Sans Thai" w:hAnsi="Noto Sans Thai" w:cs="Noto Sans Thai"/>
          <w:b/>
          <w:bCs/>
          <w:szCs w:val="22"/>
        </w:rPr>
      </w:pPr>
      <w:r w:rsidRPr="00662590">
        <w:rPr>
          <w:rFonts w:ascii="Noto Sans Thai" w:hAnsi="Noto Sans Thai" w:cs="Noto Sans Thai"/>
          <w:b/>
          <w:bCs/>
          <w:szCs w:val="22"/>
          <w:lang w:val="th"/>
        </w:rPr>
        <w:t>ความก้าวหน้าต่อไปในทุกลําดับความสําคัญเชิงกลยุทธ์</w:t>
      </w:r>
    </w:p>
    <w:p w14:paraId="7AD74C5A" w14:textId="67137C63" w:rsidR="004B2C19" w:rsidRPr="00662590" w:rsidRDefault="00B0701C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ในสภาพแวดล้อมทางเศรษฐกิจมหภาคและภูมิรัฐศาสตร์ที่ท้าทาย Henkel ยังคงดําเนินการตามกลยุทธ์การเติบโตอย่างต่อเนื่องในปีงบประมาณที่ผ่านมา และมีความก้าวหน้าที่สําคัญในทุกด้าน บริษัทได้พัฒนาพอร์ตโฟลิโอธุรกิจและแบรนด์ของตนต่อไป เสริมสร้างความได้เปรียบในการแข่งขันด้านนวัตกรรม ความยั่งยืน และการแปลงเป็นระบบดิจิทัล ปรับรูปแบบการดําเนินงานให้เหมาะสม และเสริมสร้างวัฒนธรรมองค์กร</w:t>
      </w:r>
    </w:p>
    <w:p w14:paraId="309917A0" w14:textId="77777777" w:rsidR="004B2C19" w:rsidRPr="00662590" w:rsidRDefault="004B2C19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</w:p>
    <w:p w14:paraId="69AC24CE" w14:textId="0A4A54A7" w:rsidR="008F3112" w:rsidRPr="00662590" w:rsidRDefault="004B2C19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ในฐานะส่วนหนึ่งของ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การบริหารจัดการพอร์ตโฟลิโอแบบเชิงรุก</w:t>
      </w:r>
      <w:r w:rsidRPr="00662590">
        <w:rPr>
          <w:rFonts w:ascii="Noto Sans Thai" w:hAnsi="Noto Sans Thai" w:cs="Noto Sans Thai"/>
          <w:szCs w:val="22"/>
          <w:lang w:val="th"/>
        </w:rPr>
        <w:t xml:space="preserve"> Henkel ได้พัฒนาพอร์ตโฟลิโอต่อไปโดยการยุติหรือถอนการลงทุนกิจกรรมบางส่วน รวมถึงการเข้าซื้อกิจการ ด้วยการขายของธุรกิจแบรนด์ร้านค้าปลีกในอเมริกาเหนือเมื่อต้นปีนี้ จึงทำให้ Henkel สามารถสรุปมาตรการพอร์ตโฟลิโอได้แล้ว ซึ่งได้มีการประกาศพร้อมกับการเริ่มต้นการควบรวมกิจการธุรกิจ</w:t>
      </w:r>
      <w:r w:rsidR="00C52DD5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ที่เคยแยกออกจากกันก่อนหน้านี้ ธุรกิจแบรนด์ร้านค้าปลีกถูกระบุว่าเป็นกิจกรรมที่ไม่ใช่แกนหลักภายในหน่วย</w:t>
      </w:r>
      <w:r w:rsidR="0026469B" w:rsidRPr="00662590">
        <w:rPr>
          <w:rFonts w:ascii="Noto Sans Thai" w:hAnsi="Noto Sans Thai" w:cs="Noto Sans Thai"/>
          <w:szCs w:val="22"/>
          <w:lang w:val="th"/>
        </w:rPr>
        <w:t>ธุรกิจ</w:t>
      </w:r>
      <w:r w:rsidR="0026469B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เนื่องจากศักยภาพในการใช้ประโยชน์จากการทำงานร่วมกันและความเหมาะสมเชิงกลยุทธ์ในอนาคตกับแพลตฟอร์</w:t>
      </w:r>
      <w:r w:rsidR="00B23541" w:rsidRPr="00662590">
        <w:rPr>
          <w:rFonts w:ascii="Noto Sans Thai" w:hAnsi="Noto Sans Thai" w:cs="Noto Sans Thai"/>
          <w:szCs w:val="22"/>
          <w:cs/>
          <w:lang w:val="th" w:bidi="th-TH"/>
        </w:rPr>
        <w:t>ม</w:t>
      </w:r>
      <w:r w:rsidR="00B23541" w:rsidRPr="00662590">
        <w:rPr>
          <w:rFonts w:ascii="Noto Sans Thai" w:hAnsi="Noto Sans Thai" w:cs="Noto Sans Thai"/>
          <w:szCs w:val="22"/>
          <w:lang w:val="th"/>
        </w:rPr>
        <w:t>ธุรกิจ</w:t>
      </w:r>
      <w:r w:rsidR="00B23541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บริโภคแบบบูรณาการนั้นมีจำกัด รวมการทําธุรกรรมนี้ด้วย Henkel ได้ถอนการลงทุนหรือยุติแบรนด์และกิจกรรมต่าง ๆ ที่มียอดขายรวมมากกว่า 1 พันล้านยูโรเล็กน้อยตั้งแต่ต้นปี 2022</w:t>
      </w:r>
    </w:p>
    <w:p w14:paraId="67B7D999" w14:textId="77777777" w:rsidR="008F3112" w:rsidRPr="00662590" w:rsidRDefault="008F3112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</w:p>
    <w:p w14:paraId="7FB92549" w14:textId="26F668CE" w:rsidR="004248C3" w:rsidRPr="00662590" w:rsidRDefault="004248C3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การบริหารจัดการพอร์ตโฟลิโอแบบเชิงรุกยังรวมถึงการเสริมสร้างและขยายพอร์ตโฟลิโอผ่าน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การเข้าซื้อกิจการ</w:t>
      </w:r>
      <w:r w:rsidRPr="00662590">
        <w:rPr>
          <w:rFonts w:ascii="Noto Sans Thai" w:hAnsi="Noto Sans Thai" w:cs="Noto Sans Thai"/>
          <w:szCs w:val="22"/>
          <w:lang w:val="th"/>
        </w:rPr>
        <w:t>ด้วย: เมื่อต้นปี 2024 Henkel ได้เข้าซื้อกิจการแบรนด์ผลิตภัณฑ์ดูแลเส้นผมที่มีชื่อเสียงอย่าง Vidal Sassoon ในประเทศจีน การเข้าซื้อกิจการครั้งนี้ช่วยเสริมความแข็งแกร่งให้กับพอร์ตโฟลิโอท้องถิ่นของ</w:t>
      </w:r>
      <w:r w:rsidR="007C01B1" w:rsidRPr="00662590">
        <w:rPr>
          <w:rFonts w:ascii="Noto Sans Thai" w:hAnsi="Noto Sans Thai" w:cs="Noto Sans Thai"/>
          <w:szCs w:val="22"/>
          <w:lang w:val="th"/>
        </w:rPr>
        <w:t>ธุรกิจ</w:t>
      </w:r>
      <w:r w:rsidR="007C01B1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ในประเทศจีนได้อย่างสมบูรณ์แบบ โดยครอบคลุมกลุ่มผลิตภัณฑ์ระดับพรีเมียมในธุรกิจค้าปลีก พอร์ตโฟลิโอของแบรนด์ Vidal Sassoon มุ่งเน้นตลาดผลิตภัณฑ์ดูแลเส้นผมระดับพรีเมียมเป็นหลัก โดยประกอบด้วยแชมพูและครีมนวดผม รวมถึงผลิตภัณฑ์สำหรับจัดแต่งทรงผมและบำรุงเส้นผมอีกด้วย</w:t>
      </w:r>
    </w:p>
    <w:p w14:paraId="157738F4" w14:textId="77777777" w:rsidR="004248C3" w:rsidRPr="00662590" w:rsidRDefault="004248C3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</w:p>
    <w:p w14:paraId="54F7BEA9" w14:textId="58EB61BB" w:rsidR="004248C3" w:rsidRPr="00662590" w:rsidRDefault="004248C3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นอกจากนี้ Henkel ยังได้ลงทุนในการเข้าซื้อกิจการเพื่อขยายพอร์ตโฟลิโอภายในหน่วยธุรกิจเทคโนโลยีกาว โดยเข้าซื้อกิจการของบริษัท Seal for Life Industries ที่มีฐานอยู่ในสหรัฐอเมริกา บริษัทแห่งนี้ให้บริการสารเคลือบป้องกันและโซลูชันการซีลสำหรับโครงสร้างพื้นฐานในอุตสาหกรรมต่าง ๆ เช่น พลังงานหมุนเวียน ก๊าซ และน้ำ การเข้าซื้อกิจการครั้งนี้ช่วยเสริมการเข้าซื้อกิจการ Critica Infrastructure ในปี 2023 ซึ่งเป็นบริษัทที่เชี่ยวชาญด้านการบํารุงรักษาและซ่อมแซมโครงสร้างพื้นฐาน ด้วยการเข้าซื้อกิจการเหล่านี้ เราจึงได้ขยายพอร์ตโฟลิโอที่มีอยู่ของเราในธุรกิจการ</w:t>
      </w:r>
      <w:r w:rsidR="00681BE9" w:rsidRPr="00662590">
        <w:rPr>
          <w:rFonts w:ascii="Noto Sans Thai" w:hAnsi="Noto Sans Thai" w:cs="Noto Sans Thai"/>
          <w:szCs w:val="22"/>
          <w:lang w:val="th"/>
        </w:rPr>
        <w:t>ซ่อม</w:t>
      </w:r>
      <w:r w:rsidRPr="00662590">
        <w:rPr>
          <w:rFonts w:ascii="Noto Sans Thai" w:hAnsi="Noto Sans Thai" w:cs="Noto Sans Thai"/>
          <w:szCs w:val="22"/>
          <w:lang w:val="th"/>
        </w:rPr>
        <w:t>บํารุง และการยกเครื่องที่น่าดึงดูดและมีแนวโน้มดี ช่วยสร้างแพลตฟอร์มสําหรับการเติบโตต่อไป</w:t>
      </w:r>
    </w:p>
    <w:p w14:paraId="484CFB14" w14:textId="77777777" w:rsidR="000E79CD" w:rsidRPr="00662590" w:rsidRDefault="000E79CD" w:rsidP="00B0553A">
      <w:pPr>
        <w:autoSpaceDE w:val="0"/>
        <w:autoSpaceDN w:val="0"/>
        <w:adjustRightInd w:val="0"/>
        <w:jc w:val="left"/>
        <w:rPr>
          <w:rFonts w:ascii="Noto Sans Thai" w:hAnsi="Noto Sans Thai" w:cs="Noto Sans Thai"/>
          <w:bCs/>
          <w:szCs w:val="22"/>
        </w:rPr>
      </w:pPr>
    </w:p>
    <w:p w14:paraId="6DF74260" w14:textId="77777777" w:rsidR="00C8634B" w:rsidRPr="00662590" w:rsidRDefault="004B2C19" w:rsidP="00B0553A">
      <w:pPr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ในปี 2024 Henkel ได้เปิดตัว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นวัตกรรม</w:t>
      </w:r>
      <w:r w:rsidRPr="00662590">
        <w:rPr>
          <w:rFonts w:ascii="Noto Sans Thai" w:hAnsi="Noto Sans Thai" w:cs="Noto Sans Thai"/>
          <w:szCs w:val="22"/>
          <w:lang w:val="th"/>
        </w:rPr>
        <w:t xml:space="preserve">มากมายสู่ตลาด ซึ่งตอบสนองต่อแนวโน้มที่สําคัญและสร้างคุณค่าให้กับลูกค้าและผู้บริโภค สำหรับธุรกิจหน่วยเทคโนโลยีกาว ได้มีการเปิดศูนย์ทดสอบแบตเตอรี่ที่ทันสมัยแห่งหนึ่งเมื่อปีที่แล้วที่สำนักงานใหญ่ ซึ่งเชื่อมต่อโดยตรงกับศูนย์นวัตกรรมระดับโลกที่ใหญ่ที่สุดของหน่วยธุรกิจ Inspiration Center Düsseldor </w:t>
      </w:r>
    </w:p>
    <w:p w14:paraId="7B52B3EB" w14:textId="6C4A0038" w:rsidR="00C8634B" w:rsidRPr="00662590" w:rsidRDefault="006159CF" w:rsidP="00B0553A">
      <w:pPr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 xml:space="preserve">ด้วยศูนย์ทดสอบแห่งใหม่นี้ Henkel จึงได้ขยายขีดความสามารถของตนในภาคส่วนการขับเคลื่อนด้วยพลังงานไฟฟ้า (e-mobility) อย่างมีนัยสําคัญ และเสริมสร้างตําแหน่งของตนในฐานะพันธมิตรด้านการพัฒนาและนวัตกรรมชั้นนําสําหรับผู้ผลิตยานยนต์และผู้ผลิตแบตเตอรี่ </w:t>
      </w:r>
    </w:p>
    <w:p w14:paraId="43035D35" w14:textId="77777777" w:rsidR="00C8634B" w:rsidRPr="00662590" w:rsidRDefault="00C8634B" w:rsidP="00B0553A">
      <w:pPr>
        <w:jc w:val="left"/>
        <w:rPr>
          <w:rFonts w:ascii="Noto Sans Thai" w:hAnsi="Noto Sans Thai" w:cs="Noto Sans Thai"/>
          <w:bCs/>
          <w:szCs w:val="22"/>
        </w:rPr>
      </w:pPr>
    </w:p>
    <w:p w14:paraId="6350BDD8" w14:textId="23584DDD" w:rsidR="004248C3" w:rsidRPr="00662590" w:rsidRDefault="00F22B26" w:rsidP="00B0553A">
      <w:pPr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ตัวอย่างของนวัตกรรมใน</w:t>
      </w:r>
      <w:r w:rsidR="00C34AB6" w:rsidRPr="00662590">
        <w:rPr>
          <w:rFonts w:ascii="Noto Sans Thai" w:hAnsi="Noto Sans Thai" w:cs="Noto Sans Thai"/>
          <w:szCs w:val="22"/>
          <w:lang w:val="th"/>
        </w:rPr>
        <w:t>ธุรกิจ</w:t>
      </w:r>
      <w:r w:rsidR="00C34AB6" w:rsidRPr="00662590">
        <w:rPr>
          <w:rFonts w:ascii="Noto Sans Thai" w:hAnsi="Noto Sans Thai" w:cs="Noto Sans Thai"/>
          <w:szCs w:val="22"/>
          <w:cs/>
          <w:lang w:val="th" w:bidi="th-TH"/>
        </w:rPr>
        <w:t>คอนซูเมอร์แบรนด์</w:t>
      </w:r>
      <w:r w:rsidRPr="00662590">
        <w:rPr>
          <w:rFonts w:ascii="Noto Sans Thai" w:hAnsi="Noto Sans Thai" w:cs="Noto Sans Thai"/>
          <w:szCs w:val="22"/>
          <w:lang w:val="th"/>
        </w:rPr>
        <w:t>คือเทคโนโลยีเอนไซม์ที่พัฒนาขึ้นใหม่สําหรับ Perwoll ซึ่งไม่เพียงแค่ดูแลสิ่งทอเท่านั้น แต่ยังช่วยรักษาสีของเสื้อผ้าให้คงทนยาวนานขึ้นอีกด้วย ผลกระทบจากการฟื้นฟูเส้นใยจะมองเห็นได้หลังจากซักสิบครั้งแล้ว ซึ่งช่วยส่งเสริมความทนทานของเนื้อผ้าให้ยาวนานยิ่งขึ้น</w:t>
      </w:r>
    </w:p>
    <w:p w14:paraId="634BB4BD" w14:textId="77777777" w:rsidR="00C8634B" w:rsidRPr="00662590" w:rsidRDefault="00C8634B" w:rsidP="00B0553A">
      <w:pPr>
        <w:jc w:val="left"/>
        <w:rPr>
          <w:rFonts w:ascii="Noto Sans Thai" w:hAnsi="Noto Sans Thai" w:cs="Noto Sans Thai"/>
          <w:bCs/>
          <w:szCs w:val="22"/>
        </w:rPr>
      </w:pPr>
    </w:p>
    <w:p w14:paraId="310A31CD" w14:textId="02B59255" w:rsidR="002376A9" w:rsidRPr="00662590" w:rsidRDefault="004B2C19" w:rsidP="00B0553A">
      <w:pPr>
        <w:jc w:val="left"/>
        <w:rPr>
          <w:rFonts w:ascii="Noto Sans Thai" w:hAnsi="Noto Sans Thai" w:cs="Noto Sans Thai"/>
          <w:bCs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นอกจากนี้ Henkel ยังได้ฝังรากลึกด้าน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ความยั่งยืน</w:t>
      </w:r>
      <w:r w:rsidRPr="00662590">
        <w:rPr>
          <w:rFonts w:ascii="Noto Sans Thai" w:hAnsi="Noto Sans Thai" w:cs="Noto Sans Thai"/>
          <w:szCs w:val="22"/>
          <w:lang w:val="th"/>
        </w:rPr>
        <w:t>ในธุรกิจและเพิ่มความมุ่งมั่นในด้านนี้อย่างต่อเนื่อง เพื่อบรรลุเป้าหมายนี้ Henkel จึงได้พัฒนาแผนงานการลดการปล่อยก๊าซ</w:t>
      </w:r>
      <w:r w:rsidR="00F2682A" w:rsidRPr="00662590">
        <w:rPr>
          <w:rFonts w:ascii="Noto Sans Thai" w:hAnsi="Noto Sans Thai" w:cs="Noto Sans Thai"/>
          <w:szCs w:val="22"/>
          <w:cs/>
          <w:lang w:val="th" w:bidi="th-TH"/>
        </w:rPr>
        <w:t>คาร์บอน</w:t>
      </w:r>
      <w:r w:rsidRPr="00662590">
        <w:rPr>
          <w:rFonts w:ascii="Noto Sans Thai" w:hAnsi="Noto Sans Thai" w:cs="Noto Sans Thai"/>
          <w:szCs w:val="22"/>
          <w:lang w:val="th"/>
        </w:rPr>
        <w:t xml:space="preserve">สุทธิเป็นศูนย์ขึ้นมาเป็นส่วนหนึ่งของกระบวนการนี้ ซึ่งรวมถึงเป้าหมายที่ขยายออกไปสำหรับการลดการปล่อยก๊าซเรือนกระจกตลอดทั้งห่วงโซ่คุณค่า บริษัทมีเป้าหมายที่จะมีส่วนร่วมอย่างมีผลผูกพันในการจำกัดการเพิ่มขึ้นของอุณหภูมิโลกให้เหลือ 1.5 °C ตามที่ตกลงกันไว้ในข้อตกลงปารีสว่าด้วยสภาพภูมิอากาศ แผนงานของ Henkel ได้รับการรับรองจากโครงการ Science Based Targets ซึ่งมีรายละเอียดระบุถึงสิ่งที่บริษัทกำลังดำเนินการของเราเพื่อบรรลุเป้าหมายการปล่อยก๊าซเรือนกระจกสุทธิเป็นศูนย์ภายในปี 2045 ซึ่งรวมถึงมาตรการที่หลากหลายตลอดห่วงโซ่คุณค่าทั้งหมด นอกจากนี้ Henkel </w:t>
      </w:r>
      <w:r w:rsidRPr="00662590">
        <w:rPr>
          <w:rFonts w:ascii="Noto Sans Thai" w:hAnsi="Noto Sans Thai" w:cs="Noto Sans Thai"/>
          <w:szCs w:val="22"/>
          <w:lang w:val="th"/>
        </w:rPr>
        <w:lastRenderedPageBreak/>
        <w:t>ยังเป็นบริษัทรายแรกที่จดทะเบียนในดัชนี DAX ที่นำการลา</w:t>
      </w:r>
      <w:r w:rsidR="00D624F7" w:rsidRPr="00662590">
        <w:rPr>
          <w:rFonts w:ascii="Noto Sans Thai" w:hAnsi="Noto Sans Thai" w:cs="Noto Sans Thai"/>
          <w:szCs w:val="22"/>
          <w:cs/>
          <w:lang w:val="th" w:bidi="th-TH"/>
        </w:rPr>
        <w:t>หยุดเพื่อดูแลบุตรหลัง</w:t>
      </w:r>
      <w:r w:rsidRPr="00662590">
        <w:rPr>
          <w:rFonts w:ascii="Noto Sans Thai" w:hAnsi="Noto Sans Thai" w:cs="Noto Sans Thai"/>
          <w:szCs w:val="22"/>
          <w:lang w:val="th"/>
        </w:rPr>
        <w:t>คลอดที่เท่าเทียมทางเพศมาใช้ทั่วโลก – โดยมีการชดเชยเงินเดือนเต็มจำนวน การดำเนินการนี้ได้รับการตอบรับอย่างดีมากจากทั้งพนักงานและสาธารณชน</w:t>
      </w:r>
    </w:p>
    <w:p w14:paraId="07871495" w14:textId="77777777" w:rsidR="002376A9" w:rsidRPr="00662590" w:rsidRDefault="002376A9" w:rsidP="00B0553A">
      <w:pPr>
        <w:jc w:val="left"/>
        <w:rPr>
          <w:rFonts w:ascii="Noto Sans Thai" w:hAnsi="Noto Sans Thai" w:cs="Noto Sans Thai"/>
          <w:bCs/>
          <w:szCs w:val="22"/>
        </w:rPr>
      </w:pPr>
    </w:p>
    <w:p w14:paraId="33E61C4E" w14:textId="4F968856" w:rsidR="00B166F8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นอกจากนี้ Henkel ยังมีความก้าวหน้ามากขึ้นในด้าน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การแปลงเป็นระบบดิจิทัล</w:t>
      </w:r>
      <w:r w:rsidRPr="00662590">
        <w:rPr>
          <w:rFonts w:ascii="Noto Sans Thai" w:hAnsi="Noto Sans Thai" w:cs="Noto Sans Thai"/>
          <w:szCs w:val="22"/>
          <w:lang w:val="th"/>
        </w:rPr>
        <w:t>อีกด้วย ในปี 2024 ความก้าวหน้าอย่างรวดเร็วในปัญญาประดิษฐ์ (AI) ถือเป็นหัวข้อสำคัญ ที่ Henkel AI เป็นส่วนสำคัญของกลยุทธ์ดิจิทัลของเรามาเป็นเวลาหลายปี ตัวอย่างเช่น AI ถูกนําไปใช้ในกระบวนการอัตโนมัติ ในห้องปฏิบัติการพัฒนากาว ในสถานที่ผลิตที่เชื่อมต่อกันทั่วโลกแบบเสมือนจริง ในหุ่นยนต์อัตโนมัติในสถานที่ผลิต และในการใช้แชทบอทบนเว็บไซต์แบรนด์ของ Henkel ในปี 2024 หน่วยงานดิจิทัล Henkel dx ได้ปรับปรุงโครงสร้างภายในให้เหมาะสมยิ่งขึ้น เสริมสร้างความเชี่ยวชาญด้านดิจิทัลให้แข็งแกร่ง และส่งเสริมวัฒนธรรมแห่งนวัตกรรมแบบเปิด นอกจากนี้ Henkel ยังได้รับประโยชน์จากความร่วมมือเชิงกลยุทธ์กับบริษัทดิจิทัลชั้นนําระดับโลก อย่างเช่น SAP, Microsoft และ Adobe อีกด้วย ความร่วมมือเหล่านี้ช่วยให้ Henkel สามารถผสานรวมเทคโนโลยีล้ำสมัยเข้ากับแพลตฟอร์มและโครงการดิจิทัลของตนได้ ด้วยการเร่งนวัตกรรมดิจิทัล การปรับปรุงกลยุทธ์แพลตฟอร์ม และการเพิ่มความร่วมมือข้ามสายงานทั่วทั้งหน่วยธุรกิจและ</w:t>
      </w:r>
      <w:r w:rsidR="001A01B3" w:rsidRPr="00662590">
        <w:rPr>
          <w:rFonts w:ascii="Noto Sans Thai" w:hAnsi="Noto Sans Thai" w:cs="Noto Sans Thai"/>
          <w:szCs w:val="22"/>
          <w:cs/>
          <w:lang w:val="th" w:bidi="th-TH"/>
        </w:rPr>
        <w:t>ฟังก์ชัน</w:t>
      </w:r>
      <w:r w:rsidRPr="00662590">
        <w:rPr>
          <w:rFonts w:ascii="Noto Sans Thai" w:hAnsi="Noto Sans Thai" w:cs="Noto Sans Thai"/>
          <w:szCs w:val="22"/>
          <w:lang w:val="th"/>
        </w:rPr>
        <w:t>ต่าง ๆ Henkel จึงสามารถปรับปรุงประสิทธิภาพด้านไอทีได้อย่างมีนัยสำคัญ</w:t>
      </w:r>
    </w:p>
    <w:p w14:paraId="360C1A3F" w14:textId="77777777" w:rsidR="004B2C19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</w:p>
    <w:p w14:paraId="650F8833" w14:textId="239C8EB6" w:rsidR="00D407F1" w:rsidRPr="00662590" w:rsidRDefault="00B166F8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ในฐานะส่วนหนึ่งของกลยุทธ์การเติบโตในระยะยาว Henkel กําลังปรับหน่วยธุรกิจให้สอดคล้องกับความต้องการของตลาดที่มีการเปลี่ยนแปลงและความคาดหวังของลูกค้าที่เปลี่ยนแปลงอยู่เสมอ เพื่อให้บรรลุความสําเร็จระยะยาวด้วย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รูปแบบการดําเนินงานที่พร้อมสําหรับอนาคต</w:t>
      </w:r>
      <w:r w:rsidRPr="00662590">
        <w:rPr>
          <w:rFonts w:ascii="Noto Sans Thai" w:hAnsi="Noto Sans Thai" w:cs="Noto Sans Thai"/>
          <w:szCs w:val="22"/>
          <w:lang w:val="th"/>
        </w:rPr>
        <w:t xml:space="preserve"> ซึ่งรวมถึงการปรับปรุงกระบวนการทางธุรกิจ</w:t>
      </w:r>
      <w:r w:rsidR="00DC69DB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>ทั่วทั้งบริษัทอย่างต่อเนื่อง ตัวอย่างหนึ่งคือการจัดตั้งศูนย์เทคโนโลยีระดับโลกในเมืองบังกาลอร์ ประเทศอินเดีย ซึ่งมีผู้เชี่ยวชาญด้านไอทีมากกว่า 500 คนกำลังทำงานเพื่อสร้างศูนย์ดิจิทัลภายในที่มีการบูรณาการอย่างครบวงจร ด้วยเหตุนี้ Henkel จึงเพิ่มประสิทธิภาพด้านต้นทุนและเสริมสร้าง</w:t>
      </w:r>
      <w:r w:rsidR="00DC69DB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 xml:space="preserve">ความเชี่ยวชาญภายในองค์กร มีการวางแผนขยายศูนย์เทคโนโลยีเพิ่มเติมในปีต่อ ๆ ไป นอกจากนี้ Henkel ยังได้รวมกิจกรรมการลงทุนทั้งหมดไว้ภายใต้หลังคาเดียวกันอีกด้วย ในโอกาสของการโอนย้ายไปยัง S/4Hana ในปี 2025 ถึง 2028 Henkel จะประเมินวิธีการทําให้โครงสร้างและกระบวนการของตนมีความคล่องตัวและยืดหยุ่นมากขึ้น ในบริบทนี้ ตัวอย่างเช่น มีการพิจารณาจัดตั้งนิติบุคคลแยกต่างหากสำหรับสองหน่วยธุรกิจที่มีอยู่ </w:t>
      </w:r>
      <w:r w:rsidRPr="00662590">
        <w:rPr>
          <w:rFonts w:ascii="Noto Sans Thai" w:hAnsi="Noto Sans Thai" w:cs="Noto Sans Thai"/>
          <w:szCs w:val="22"/>
          <w:lang w:val="th"/>
        </w:rPr>
        <w:lastRenderedPageBreak/>
        <w:t>โดยเริ่มจากประเทศเยอรมนี ตามด้วยการดําเนินการทีละขั้นตอน (หากมี) ในประเทศขนาดใหญ่ที่เลือก การจัดการเชิงกลยุทธ์และการดำเนินงานของกลุ่มและหน่วยธุรกิจจะยังคงไม่เปลี่ยนแปลง แนวทางนี้มีเป้าหมาย</w:t>
      </w:r>
      <w:r w:rsidR="00CB2607" w:rsidRPr="00662590">
        <w:rPr>
          <w:rFonts w:ascii="Noto Sans Thai" w:hAnsi="Noto Sans Thai" w:cs="Noto Sans Thai"/>
          <w:szCs w:val="22"/>
          <w:cs/>
          <w:lang w:val="th" w:bidi="th-TH"/>
        </w:rPr>
        <w:t xml:space="preserve"> </w:t>
      </w:r>
      <w:r w:rsidRPr="00662590">
        <w:rPr>
          <w:rFonts w:ascii="Noto Sans Thai" w:hAnsi="Noto Sans Thai" w:cs="Noto Sans Thai"/>
          <w:szCs w:val="22"/>
          <w:lang w:val="th"/>
        </w:rPr>
        <w:t>เพื่อสนับสนุนทั้งความต้องการในอนาคตของธุรกิจ ตลอดจนแผนการเติบโตของ Henkel</w:t>
      </w:r>
    </w:p>
    <w:p w14:paraId="481EF030" w14:textId="77777777" w:rsidR="00D407F1" w:rsidRPr="00662590" w:rsidRDefault="00D407F1" w:rsidP="00B0553A">
      <w:pPr>
        <w:jc w:val="left"/>
        <w:rPr>
          <w:rFonts w:ascii="Noto Sans Thai" w:hAnsi="Noto Sans Thai" w:cs="Noto Sans Thai"/>
          <w:szCs w:val="22"/>
        </w:rPr>
      </w:pPr>
    </w:p>
    <w:p w14:paraId="0535A1E0" w14:textId="116ABCBA" w:rsidR="003E275E" w:rsidRPr="00662590" w:rsidRDefault="004B2C19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นอกจากนี้ Henkel ยังเสริมสร้าง</w:t>
      </w:r>
      <w:r w:rsidRPr="00662590">
        <w:rPr>
          <w:rFonts w:ascii="Noto Sans Thai" w:hAnsi="Noto Sans Thai" w:cs="Noto Sans Thai"/>
          <w:b/>
          <w:bCs/>
          <w:szCs w:val="22"/>
          <w:lang w:val="th"/>
        </w:rPr>
        <w:t>วัฒนธรรมบริษัท</w:t>
      </w:r>
      <w:r w:rsidRPr="00662590">
        <w:rPr>
          <w:rFonts w:ascii="Noto Sans Thai" w:hAnsi="Noto Sans Thai" w:cs="Noto Sans Thai"/>
          <w:szCs w:val="22"/>
          <w:lang w:val="th"/>
        </w:rPr>
        <w:t>ให้แข็งแกร่งยิ่งขึ้นในปีที่ผ่านมา โครงการริเริ่ม Accelerate Cultural Transformation (ACT) ซึ่งเปิดตัวในปี 2023 ได้ดําเนินต่อไปอย่างประสบความสําเร็จทั่วทั้งองค์กรระดับโลก โครงการริเริ่มนี้มุ่งส่งเสริมการสนทนาที่ลึกซึ้งและความเชื่อมโยงที่แน่นแฟ้นยิ่งขึ้นภายในทีม ในปีที่ผ่านมา โครงการริเริ่ม ACT มุ่งเน้นไปที่การให้และรับมือกับข้อเสนอแนะเชิงสร้างสรรค์อย่างเปิดกว้าง วัฒนธรรมแห่งความร่วมมือมีความเชื่อมโยงอย่างใกล้ชิดกับการส่งเสริมความหลากหลาย ความเสมอภาค และการยอมรับความแตกต่าง เพื่อยกระดับความหลากหลายให้ดียิ่งขึ้น Henkel จึงปฏิบัติตามกลยุทธ์ที่ยึดตามหลักสำคัญสามประการ ได้แก่: ประการแรก คือการสร้างความตระหนักรู้ผ่านรูปแบบต่าง ๆ เช่น แคมเปญและกิจกรรม ประการที่สอง คือการเสริมสร้างพฤติกรรมที่มีส่วนร่วมผ่านโปรแกรมการฝึกอบรมสำหรับผู้นำและพนักงาน และประการที่สาม คือการปรับปรุงสภาพโครงสร้างอย่างต่อเนื่อง เช่น การเสนอโปรแกรมที่สนับสนุนความสมดุลระหว่างชีวิตการทํางานและชีวิตส่วนตัว รวมถึงการขจัดอุปสรรคทางโครงสร้าง</w:t>
      </w:r>
    </w:p>
    <w:p w14:paraId="2523EFDB" w14:textId="77777777" w:rsidR="003E275E" w:rsidRPr="00662590" w:rsidRDefault="003E275E" w:rsidP="00B0553A">
      <w:pPr>
        <w:jc w:val="left"/>
        <w:rPr>
          <w:rFonts w:ascii="Noto Sans Thai" w:hAnsi="Noto Sans Thai" w:cs="Noto Sans Thai"/>
          <w:szCs w:val="22"/>
        </w:rPr>
      </w:pPr>
    </w:p>
    <w:p w14:paraId="79AB7DFD" w14:textId="033BB61B" w:rsidR="003E275E" w:rsidRPr="00662590" w:rsidRDefault="002E62F7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หนึ่งในความทะเยอทะยานของ Henkel คือการบรรลุความเสมอภาคระหว่างเพศในทุกระดับการบริหารภายในสิ้นปี 2025 ปัจจุบัน ประมาณ 42 เปอร์เซ็นต์ของตําแหน่งผู้บริหารที่ Henkel ทั่วโลกเป็นผู้หญิง</w:t>
      </w:r>
    </w:p>
    <w:p w14:paraId="1CA4A1BB" w14:textId="77777777" w:rsidR="003E275E" w:rsidRPr="00662590" w:rsidRDefault="003E275E" w:rsidP="00B0553A">
      <w:pPr>
        <w:jc w:val="left"/>
        <w:rPr>
          <w:rFonts w:ascii="Noto Sans Thai" w:hAnsi="Noto Sans Thai" w:cs="Noto Sans Thai"/>
          <w:szCs w:val="22"/>
        </w:rPr>
      </w:pPr>
    </w:p>
    <w:p w14:paraId="1C884603" w14:textId="71C6431F" w:rsidR="004B2C19" w:rsidRPr="00662590" w:rsidRDefault="00521834" w:rsidP="00B0553A">
      <w:pPr>
        <w:jc w:val="left"/>
        <w:rPr>
          <w:rFonts w:ascii="Noto Sans Thai" w:hAnsi="Noto Sans Thai" w:cs="Noto Sans Thai"/>
          <w:szCs w:val="22"/>
        </w:rPr>
      </w:pPr>
      <w:r w:rsidRPr="00662590">
        <w:rPr>
          <w:rFonts w:ascii="Noto Sans Thai" w:hAnsi="Noto Sans Thai" w:cs="Noto Sans Thai"/>
          <w:szCs w:val="22"/>
          <w:lang w:val="th"/>
        </w:rPr>
        <w:t>"ปีงบประมาณ 2024 เป็นปีที่ประสบความสําเร็จและสําคัญมากสําหรับ Henkel เราบรรลุเป้าหมายทางการเงินของเรา ซึ่งเราได้ปรับเพิ่มขึ้นสองครั้งในปีนี้ เราได้ดําเนินการตามแผนการเติบโตอย่างมีจุดมุ่งหมายอย่างสม่ำเสมอในทุกมิติทางกลยุทธ์ และ</w:t>
      </w:r>
      <w:r w:rsidR="0002370F" w:rsidRPr="00662590">
        <w:rPr>
          <w:rFonts w:ascii="Noto Sans Thai" w:hAnsi="Noto Sans Thai" w:cs="Noto Sans Thai"/>
          <w:szCs w:val="22"/>
          <w:cs/>
          <w:lang w:val="th" w:bidi="th-TH"/>
        </w:rPr>
        <w:t>ขับเคลื่อน</w:t>
      </w:r>
      <w:r w:rsidRPr="00662590">
        <w:rPr>
          <w:rFonts w:ascii="Noto Sans Thai" w:hAnsi="Noto Sans Thai" w:cs="Noto Sans Thai"/>
          <w:szCs w:val="22"/>
          <w:lang w:val="th"/>
        </w:rPr>
        <w:t>การเปลี่ยนแปลง</w:t>
      </w:r>
      <w:r w:rsidR="0002370F" w:rsidRPr="00662590">
        <w:rPr>
          <w:rFonts w:ascii="Noto Sans Thai" w:hAnsi="Noto Sans Thai" w:cs="Noto Sans Thai"/>
          <w:szCs w:val="22"/>
          <w:cs/>
          <w:lang w:val="th" w:bidi="th-TH"/>
        </w:rPr>
        <w:t>ไปข้างหน้า</w:t>
      </w:r>
      <w:r w:rsidRPr="00662590">
        <w:rPr>
          <w:rFonts w:ascii="Noto Sans Thai" w:hAnsi="Noto Sans Thai" w:cs="Noto Sans Thai"/>
          <w:szCs w:val="22"/>
          <w:lang w:val="th"/>
        </w:rPr>
        <w:t>ด้วยความมุ่งมั่นและความสําเร็จ เรากำลังก้าวไปในเส้นทางที่ถูกต้อง และการเปลี่ยนแปลงของบริษัทกำลังแสดงผลลัพธ์ที่เป็นรูปธรรม ด้วยกลยุทธ์ที่ชัดเจน ทีมงานที่แข็งแกร่ง และวัฒนธรรมองค์กรที่เป็นเอกลักษณ์ เราพร้อมสำหรับอนาคต" Carsten Knobel สรุป</w:t>
      </w:r>
    </w:p>
    <w:p w14:paraId="77CF67A0" w14:textId="20ADA3C3" w:rsidR="00C8634B" w:rsidRPr="00662590" w:rsidRDefault="00C8634B" w:rsidP="00B0553A">
      <w:pPr>
        <w:spacing w:line="240" w:lineRule="auto"/>
        <w:jc w:val="left"/>
        <w:rPr>
          <w:rStyle w:val="AboutandContactHeadline"/>
          <w:rFonts w:ascii="Noto Sans Thai" w:hAnsi="Noto Sans Thai" w:cs="Noto Sans Thai"/>
          <w:sz w:val="22"/>
          <w:szCs w:val="22"/>
        </w:rPr>
      </w:pPr>
      <w:r w:rsidRPr="00662590">
        <w:rPr>
          <w:rStyle w:val="AboutandContactHeadline"/>
          <w:rFonts w:ascii="Noto Sans Thai" w:hAnsi="Noto Sans Thai" w:cs="Noto Sans Thai"/>
          <w:sz w:val="22"/>
          <w:szCs w:val="22"/>
          <w:lang w:val="th"/>
        </w:rPr>
        <w:br w:type="page"/>
      </w:r>
    </w:p>
    <w:p w14:paraId="7D30BC81" w14:textId="3E47DBAF" w:rsidR="0058377F" w:rsidRPr="0033721F" w:rsidRDefault="0058377F" w:rsidP="00B0553A">
      <w:pPr>
        <w:jc w:val="left"/>
        <w:rPr>
          <w:rFonts w:ascii="Noto Sans Thai" w:hAnsi="Noto Sans Thai" w:cs="Noto Sans Thai"/>
          <w:b/>
          <w:bCs/>
          <w:sz w:val="18"/>
          <w:szCs w:val="18"/>
        </w:rPr>
      </w:pPr>
      <w:r w:rsidRPr="0033721F">
        <w:rPr>
          <w:rStyle w:val="AboutandContactHeadline"/>
          <w:rFonts w:ascii="Noto Sans Thai" w:hAnsi="Noto Sans Thai" w:cs="Noto Sans Thai"/>
          <w:szCs w:val="18"/>
          <w:lang w:val="th"/>
        </w:rPr>
        <w:lastRenderedPageBreak/>
        <w:t>เกี่ยวกับ Henkel</w:t>
      </w:r>
    </w:p>
    <w:p w14:paraId="51BC972D" w14:textId="1358AA22" w:rsidR="0058377F" w:rsidRPr="0033721F" w:rsidRDefault="0058377F" w:rsidP="00B0553A">
      <w:pPr>
        <w:jc w:val="left"/>
        <w:rPr>
          <w:rStyle w:val="AboutandContactBody"/>
          <w:rFonts w:ascii="Noto Sans Thai" w:hAnsi="Noto Sans Thai" w:cs="Noto Sans Thai"/>
          <w:szCs w:val="18"/>
        </w:rPr>
      </w:pPr>
      <w:r w:rsidRPr="0033721F">
        <w:rPr>
          <w:rStyle w:val="AboutandContactBody"/>
          <w:rFonts w:ascii="Noto Sans Thai" w:hAnsi="Noto Sans Thai" w:cs="Noto Sans Thai"/>
          <w:szCs w:val="18"/>
          <w:lang w:val="th"/>
        </w:rPr>
        <w:t xml:space="preserve">ด้วยแบรนด์ นวัตกรรม และเทคโนโลยีของเรา ทําให้เราครองตำแหน่งผู้นําตลาดทั่วโลกในธุรกิจอุตสาหกรรมและธุรกิจสินค้าอุปโภคบริโภค หน่วยธุรกิจเทคโนโลยีกาวเป็นผู้นำตลาดระดับโลก ในอุตสาหกรรมกาว ซีลแลนท์ และเคมีภัณฑ์เพื่อการเตรียมพื้นผิว </w:t>
      </w:r>
      <w:r w:rsidR="00584F6C" w:rsidRPr="0033721F">
        <w:rPr>
          <w:rFonts w:ascii="Noto Sans Thai" w:hAnsi="Noto Sans Thai" w:cs="Noto Sans Thai"/>
          <w:sz w:val="18"/>
          <w:szCs w:val="18"/>
          <w:lang w:val="th"/>
        </w:rPr>
        <w:t>ธุรกิจ</w:t>
      </w:r>
      <w:r w:rsidR="00584F6C" w:rsidRPr="0033721F">
        <w:rPr>
          <w:rFonts w:ascii="Noto Sans Thai" w:hAnsi="Noto Sans Thai" w:cs="Noto Sans Thai"/>
          <w:sz w:val="18"/>
          <w:szCs w:val="18"/>
          <w:cs/>
          <w:lang w:val="th" w:bidi="th-TH"/>
        </w:rPr>
        <w:t>คอนซูเมอร์แบรนด์</w:t>
      </w:r>
      <w:r w:rsidRPr="0033721F">
        <w:rPr>
          <w:rStyle w:val="AboutandContactBody"/>
          <w:rFonts w:ascii="Noto Sans Thai" w:hAnsi="Noto Sans Thai" w:cs="Noto Sans Thai"/>
          <w:szCs w:val="18"/>
          <w:lang w:val="th"/>
        </w:rPr>
        <w:t xml:space="preserve">ครองตำแหน่งผู้นำในธุรกิจผลิตภัณฑ์ดูแลเส้นผม </w:t>
      </w:r>
      <w:r w:rsidR="00915A9E" w:rsidRPr="0033721F">
        <w:rPr>
          <w:rStyle w:val="AboutandContactBody"/>
          <w:rFonts w:ascii="Noto Sans Thai" w:hAnsi="Noto Sans Thai" w:cs="Noto Sans Thai"/>
          <w:szCs w:val="18"/>
          <w:cs/>
          <w:lang w:val="th" w:bidi="th-TH"/>
        </w:rPr>
        <w:t>ผ</w:t>
      </w:r>
      <w:r w:rsidRPr="0033721F">
        <w:rPr>
          <w:rStyle w:val="AboutandContactBody"/>
          <w:rFonts w:ascii="Noto Sans Thai" w:hAnsi="Noto Sans Thai" w:cs="Noto Sans Thai"/>
          <w:szCs w:val="18"/>
          <w:lang w:val="th"/>
        </w:rPr>
        <w:t xml:space="preserve">ลิตภัณฑ์ซักล้างและดูแลบ้านในหลายตลาดและหลากหลายหมวดหมู่ธุรกิจทั่วโลก แบรนด์ระดับต้น ๆ สามแบรนด์ของเราคือ Loctite, Persil และ Schwarzkopf ในปีงบประมาณ 2024 บริษัท Henkel มีรายงานยอดขายมากกว่า 21.6 พันล้านยูโรและผลกําไรจากการดําเนินงานที่ปรับแล้วประมาณ 3.1 พันล้านยูโร หุ้นบุริมสิทธิของ Henkel จดทะเบียนในดัชนีหุ้น DAX ของเยอรมัน ความยั่งยืนเป็นสิ่งที่ Henkel ยึดมั่นมายาวนาน และบริษัทมีกลยุทธ์ความยั่งยืนที่ชัดเจนพร้อมเป้าหมายเฉพาะ Henkel ก่อตั้งขึ้นในปี 1876 และปัจจุบันมีทีมงานที่มีความหลากหลายจากเพื่อนร่วมงานประมาณ 47,000 คนทั่วโลก ซึ่งรวมกันเป็นวัฒนธรรมองค์กรที่แข็งแกร่ง ยึดมั่นค่านิยมเดียวกัน และมีวัตถุประสงค์ร่วมกัน: "Pioneers at heart for the good of generations.” (บุกเบิกด้วยหัวใจเพื่อสิ่งที่ดีแก่คนรุ่นหลัง) ดูข้อมูลเพิ่มเติมได้ที่ </w:t>
      </w:r>
      <w:hyperlink r:id="rId12" w:history="1">
        <w:r w:rsidRPr="0033721F">
          <w:rPr>
            <w:rStyle w:val="Hyperlink"/>
            <w:rFonts w:ascii="Noto Sans Thai" w:hAnsi="Noto Sans Thai" w:cs="Noto Sans Thai"/>
            <w:lang w:val="th"/>
          </w:rPr>
          <w:t>www.henkel.com</w:t>
        </w:r>
      </w:hyperlink>
      <w:r w:rsidRPr="0033721F">
        <w:rPr>
          <w:rStyle w:val="AboutandContactBody"/>
          <w:rFonts w:ascii="Noto Sans Thai" w:hAnsi="Noto Sans Thai" w:cs="Noto Sans Thai"/>
          <w:szCs w:val="18"/>
          <w:lang w:val="th"/>
        </w:rPr>
        <w:t xml:space="preserve"> </w:t>
      </w:r>
    </w:p>
    <w:p w14:paraId="4B006BFE" w14:textId="77777777" w:rsidR="0058377F" w:rsidRPr="00A34032" w:rsidRDefault="0058377F" w:rsidP="00B0553A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</w:p>
    <w:p w14:paraId="42C12B57" w14:textId="716E7D16" w:rsidR="00835910" w:rsidRPr="00A34032" w:rsidRDefault="00835910" w:rsidP="00B0553A">
      <w:pPr>
        <w:spacing w:line="240" w:lineRule="auto"/>
        <w:jc w:val="left"/>
        <w:rPr>
          <w:rStyle w:val="AboutandContactBody"/>
          <w:rFonts w:ascii="Noto Sans Thai" w:hAnsi="Noto Sans Thai" w:cs="Noto Sans Thai"/>
          <w:sz w:val="14"/>
          <w:szCs w:val="14"/>
        </w:rPr>
      </w:pPr>
    </w:p>
    <w:p w14:paraId="6A3BD686" w14:textId="38CD9B07" w:rsidR="0058377F" w:rsidRPr="00B508B8" w:rsidRDefault="0058377F" w:rsidP="00B0553A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  <w:r w:rsidRPr="00B508B8">
        <w:rPr>
          <w:rStyle w:val="AboutandContactBody"/>
          <w:rFonts w:ascii="Noto Sans Thai" w:eastAsia="Times New Roman" w:hAnsi="Noto Sans Thai" w:cs="Noto Sans Thai"/>
          <w:sz w:val="14"/>
          <w:szCs w:val="14"/>
          <w:lang w:val="th"/>
        </w:rPr>
        <w:t>เอกสารนี้ประกอบด้วยคําแถลงที่อ้างถึงการพัฒนาธุรกิจในอนาคต ผลการดําเนินงานทางการเงิน และเหตุการณ์หรือการพัฒนาอื่น ๆ ที่เกี่ยวข้องกับ Henkel ในอนาคต ซึ่งอาจถือเป็นคําแถลงการคาดการณ์ล่วงหน้า คําแถลงต่าง ๆ อย่างเช่น "คาดหวัง" "ตั้งใจ" "วางแผน" "คาดการณ์" "เชื่อ" "ประเมิน" และคําที่คล้ายคลึงกันเป็นลักษณะของคําแถลงเกี่ยวกับอนาคต คําแถลงดังกล่าวอ้างอิงตามการประเมินและสมมติฐานปัจจุบันของฝ่ายบริหารของบริษัท Henkel AG &amp; Co. KGaA คําแถลงเหล่านี้ไม่ได้หมายความถึงการรับประกันว่าความคาดหวังเหล่านั้นจะพิสูจน์ได้ว่ามีความถูกต้อง ผลการดําเนินงานในอนาคตและผลลัพธ์ที่เกิดขึ้นจริงของ Henkel AG &amp; Co. KGaA และบริษัทในเครือขึ้นอยู่กับความเสี่ยงและความไม่แน่นอนหลายประการ และอาจแตกต่างอย่างมีนัยสําคัญ (ทั้งในเชิงบวกและเชิงลบ) จากคําแถลงที่คาดการณ์ล่วงหน้า ปัจจัยหลายประการเหล่านี้อยู่นอกเหนือการควบคุมของ Henkel และไม่สามารถประเมินได้ล่วงหน้าอย่างถูกต้อง เช่น สภาพแวดล้อมทางเศรษฐกิจในอนาคต และการกระทําของคู่แข่งและบุคคลอื่น ๆ ที่เกี่ยวข้องในตลาด Henkel ไม่มีแผนหรือสัญญาว่าจะปรับปรุงคําแถลงการคาดการณ์ล่วงหน้านี้</w:t>
      </w:r>
    </w:p>
    <w:p w14:paraId="14A1B810" w14:textId="77777777" w:rsidR="0058377F" w:rsidRPr="00B508B8" w:rsidRDefault="0058377F" w:rsidP="00B0553A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  <w:r w:rsidRPr="00B508B8">
        <w:rPr>
          <w:rStyle w:val="AboutandContactBody"/>
          <w:rFonts w:ascii="Noto Sans Thai" w:eastAsia="Times New Roman" w:hAnsi="Noto Sans Thai" w:cs="Noto Sans Thai"/>
          <w:sz w:val="14"/>
          <w:szCs w:val="14"/>
          <w:lang w:val="th"/>
        </w:rPr>
        <w:t>เอกสารนี้ประกอบด้วยตัวชี้วัดทางการเงินเพิ่มเติมที่ไม่ได้นิยามไว้อย่างชัดเจนในกรอบการรายงานทางการเงินที่เกี่ยวข้อง และเป็นหรืออาจเป็นมาตรการทางเลือกในการวัดผลการดำเนินงาน ผู้อ่านไม่ควรมองว่าตัวชี้วัดทางการเงินเพิ่มเติมเหล่านี้แยกกันหรือเป็นทางเลือกแทนการวัดสินทรัพย์สุทธิและสถานะทางการเงินหรือผลลัพธ์จากการดําเนินงานของ Henkel ตามที่นําเสนอตามกรอบการรายงานทางการเงินที่เกี่ยวข้องในงบแสดงฐานะทางการเงินรวม (Consolidated Financial Statement) บริษัทอื่น ๆ ที่รายงานหรืออธิบายตัวชี้วัดผลการดำเนินงานทางเลือกที่มีชื่อคล้ายคลึงกันอาจมีการคํานวณด้วยวิธีที่แตกต่างกัน</w:t>
      </w:r>
    </w:p>
    <w:p w14:paraId="1B1EE813" w14:textId="77777777" w:rsidR="0058377F" w:rsidRPr="00B508B8" w:rsidRDefault="0058377F" w:rsidP="00B0553A">
      <w:pPr>
        <w:pStyle w:val="He01Flietext"/>
        <w:rPr>
          <w:rStyle w:val="AboutandContactBody"/>
          <w:rFonts w:ascii="Noto Sans Thai" w:eastAsia="Times New Roman" w:hAnsi="Noto Sans Thai" w:cs="Noto Sans Thai"/>
          <w:sz w:val="14"/>
          <w:szCs w:val="14"/>
        </w:rPr>
      </w:pPr>
      <w:r w:rsidRPr="00B508B8">
        <w:rPr>
          <w:rStyle w:val="AboutandContactBody"/>
          <w:rFonts w:ascii="Noto Sans Thai" w:eastAsia="Times New Roman" w:hAnsi="Noto Sans Thai" w:cs="Noto Sans Thai"/>
          <w:sz w:val="14"/>
          <w:szCs w:val="14"/>
          <w:lang w:val="th"/>
        </w:rPr>
        <w:t>เอกสารฉบับนี้จัดทำขึ้นเพื่อวัตถุประสงค์ในการให้ข้อมูลเท่านั้น และไม่ได้มีจุดมุ่งหมายเพื่อใช้เป็นคำแนะนำในการลงทุน การเสนอขาย หรือการชักชวนให้เสนอซื้อหลักทรัพย์ใด ๆ</w:t>
      </w:r>
    </w:p>
    <w:p w14:paraId="0BB9E577" w14:textId="77777777" w:rsidR="0058377F" w:rsidRPr="00662590" w:rsidRDefault="0058377F" w:rsidP="00B0553A">
      <w:pPr>
        <w:tabs>
          <w:tab w:val="left" w:pos="1080"/>
          <w:tab w:val="left" w:pos="4500"/>
        </w:tabs>
        <w:spacing w:line="264" w:lineRule="auto"/>
        <w:jc w:val="left"/>
        <w:rPr>
          <w:rFonts w:ascii="Noto Sans Thai" w:eastAsia="PMingLiU" w:hAnsi="Noto Sans Thai" w:cs="Noto Sans Thai"/>
          <w:b/>
          <w:szCs w:val="22"/>
        </w:rPr>
      </w:pPr>
    </w:p>
    <w:p w14:paraId="46A497CD" w14:textId="6C832ABE" w:rsidR="0058377F" w:rsidRDefault="0058377F" w:rsidP="00BE42A3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bCs/>
          <w:szCs w:val="18"/>
        </w:rPr>
      </w:pPr>
      <w:r w:rsidRPr="00BE42A3">
        <w:rPr>
          <w:rStyle w:val="AboutandContactBody"/>
          <w:rFonts w:ascii="Noto Sans Thai" w:hAnsi="Noto Sans Thai" w:cs="Noto Sans Thai"/>
          <w:b/>
          <w:bCs/>
          <w:szCs w:val="18"/>
          <w:lang w:val="th"/>
        </w:rPr>
        <w:t>ข้อมูลติดต่อ</w:t>
      </w:r>
    </w:p>
    <w:p w14:paraId="326256ED" w14:textId="77777777" w:rsidR="00682CD3" w:rsidRPr="00682CD3" w:rsidRDefault="00682CD3" w:rsidP="00BE42A3">
      <w:pPr>
        <w:spacing w:line="240" w:lineRule="auto"/>
        <w:jc w:val="left"/>
        <w:rPr>
          <w:rStyle w:val="AboutandContactBody"/>
          <w:rFonts w:ascii="Noto Sans Thai" w:hAnsi="Noto Sans Thai" w:cs="Noto Sans Thai"/>
          <w:b/>
          <w:szCs w:val="18"/>
        </w:rPr>
      </w:pPr>
    </w:p>
    <w:p w14:paraId="1CFE5FDC" w14:textId="77777777" w:rsidR="00161823" w:rsidRPr="00BE42A3" w:rsidRDefault="00161823" w:rsidP="00B0553A">
      <w:pPr>
        <w:jc w:val="left"/>
        <w:rPr>
          <w:rFonts w:ascii="Noto Sans Thai" w:eastAsia="Open Sans" w:hAnsi="Noto Sans Thai" w:cs="Noto Sans Thai"/>
          <w:b/>
          <w:bCs/>
          <w:sz w:val="18"/>
          <w:szCs w:val="18"/>
        </w:rPr>
      </w:pPr>
      <w:r w:rsidRPr="00BE42A3">
        <w:rPr>
          <w:rFonts w:ascii="Noto Sans Thai" w:hAnsi="Noto Sans Thai" w:cs="Noto Sans Thai"/>
          <w:b/>
          <w:bCs/>
          <w:sz w:val="18"/>
          <w:szCs w:val="18"/>
          <w:lang w:val="th"/>
        </w:rPr>
        <w:t>Meiling Wee</w:t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</w:p>
    <w:p w14:paraId="65B034C4" w14:textId="77777777" w:rsidR="00161823" w:rsidRPr="00BE42A3" w:rsidRDefault="00161823" w:rsidP="00B0553A">
      <w:pPr>
        <w:jc w:val="left"/>
        <w:rPr>
          <w:rFonts w:ascii="Noto Sans Thai" w:eastAsia="Open Sans" w:hAnsi="Noto Sans Thai" w:cs="Noto Sans Thai"/>
          <w:sz w:val="18"/>
          <w:szCs w:val="18"/>
        </w:rPr>
      </w:pPr>
      <w:r w:rsidRPr="00BE42A3">
        <w:rPr>
          <w:rFonts w:ascii="Noto Sans Thai" w:hAnsi="Noto Sans Thai" w:cs="Noto Sans Thai"/>
          <w:sz w:val="18"/>
          <w:szCs w:val="18"/>
          <w:lang w:val="th"/>
        </w:rPr>
        <w:t>+65 8799 3216</w:t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</w:p>
    <w:p w14:paraId="33E525BC" w14:textId="77777777" w:rsidR="00161823" w:rsidRPr="00662590" w:rsidRDefault="00161823" w:rsidP="00B0553A">
      <w:pPr>
        <w:jc w:val="left"/>
        <w:rPr>
          <w:rFonts w:ascii="Noto Sans Thai" w:eastAsia="Open Sans" w:hAnsi="Noto Sans Thai" w:cs="Noto Sans Thai"/>
          <w:szCs w:val="22"/>
        </w:rPr>
      </w:pPr>
      <w:hyperlink r:id="rId13">
        <w:r w:rsidRPr="00BE42A3">
          <w:rPr>
            <w:rStyle w:val="Hyperlink"/>
            <w:rFonts w:ascii="Noto Sans Thai" w:eastAsia="Open Sans" w:hAnsi="Noto Sans Thai" w:cs="Noto Sans Thai"/>
            <w:lang w:val="th"/>
          </w:rPr>
          <w:t>meiling.wee@henkel.com</w:t>
        </w:r>
      </w:hyperlink>
      <w:r w:rsidRPr="00BE42A3">
        <w:rPr>
          <w:rFonts w:ascii="Noto Sans Thai" w:hAnsi="Noto Sans Thai" w:cs="Noto Sans Thai"/>
          <w:sz w:val="18"/>
          <w:szCs w:val="18"/>
          <w:lang w:val="th"/>
        </w:rPr>
        <w:tab/>
      </w:r>
      <w:r w:rsidRPr="00662590">
        <w:rPr>
          <w:rFonts w:ascii="Noto Sans Thai" w:hAnsi="Noto Sans Thai" w:cs="Noto Sans Thai"/>
          <w:szCs w:val="22"/>
          <w:lang w:val="th"/>
        </w:rPr>
        <w:tab/>
      </w:r>
      <w:r w:rsidRPr="00662590">
        <w:rPr>
          <w:rFonts w:ascii="Noto Sans Thai" w:hAnsi="Noto Sans Thai" w:cs="Noto Sans Thai"/>
          <w:szCs w:val="22"/>
          <w:lang w:val="th"/>
        </w:rPr>
        <w:tab/>
      </w:r>
      <w:r w:rsidRPr="00662590">
        <w:rPr>
          <w:rFonts w:ascii="Noto Sans Thai" w:hAnsi="Noto Sans Thai" w:cs="Noto Sans Thai"/>
          <w:szCs w:val="22"/>
          <w:lang w:val="th"/>
        </w:rPr>
        <w:tab/>
      </w:r>
      <w:r w:rsidRPr="00662590">
        <w:rPr>
          <w:rFonts w:ascii="Noto Sans Thai" w:hAnsi="Noto Sans Thai" w:cs="Noto Sans Thai"/>
          <w:szCs w:val="22"/>
          <w:lang w:val="th"/>
        </w:rPr>
        <w:tab/>
      </w:r>
      <w:r w:rsidRPr="00662590">
        <w:rPr>
          <w:rFonts w:ascii="Noto Sans Thai" w:hAnsi="Noto Sans Thai" w:cs="Noto Sans Thai"/>
          <w:szCs w:val="22"/>
          <w:lang w:val="th"/>
        </w:rPr>
        <w:tab/>
      </w:r>
    </w:p>
    <w:p w14:paraId="23552B25" w14:textId="7C1D268B" w:rsidR="00A15D78" w:rsidRPr="00662590" w:rsidRDefault="00A15D78" w:rsidP="00B0553A">
      <w:pPr>
        <w:tabs>
          <w:tab w:val="left" w:pos="1080"/>
          <w:tab w:val="left" w:pos="4500"/>
        </w:tabs>
        <w:spacing w:line="264" w:lineRule="auto"/>
        <w:jc w:val="left"/>
        <w:rPr>
          <w:rStyle w:val="Hyperlink"/>
          <w:rFonts w:ascii="Noto Sans Thai" w:eastAsia="PMingLiU" w:hAnsi="Noto Sans Thai" w:cs="Noto Sans Thai"/>
          <w:color w:val="9A141B"/>
          <w:sz w:val="22"/>
          <w:szCs w:val="22"/>
          <w:u w:val="none"/>
        </w:rPr>
      </w:pPr>
    </w:p>
    <w:sectPr w:rsidR="00A15D78" w:rsidRPr="00662590" w:rsidSect="00A41DBE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843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BACB8" w14:textId="77777777" w:rsidR="001113F6" w:rsidRDefault="001113F6">
      <w:r>
        <w:separator/>
      </w:r>
    </w:p>
  </w:endnote>
  <w:endnote w:type="continuationSeparator" w:id="0">
    <w:p w14:paraId="63E111F3" w14:textId="77777777" w:rsidR="001113F6" w:rsidRDefault="001113F6">
      <w:r>
        <w:continuationSeparator/>
      </w:r>
    </w:p>
  </w:endnote>
  <w:endnote w:type="continuationNotice" w:id="1">
    <w:p w14:paraId="1593A10C" w14:textId="77777777" w:rsidR="001113F6" w:rsidRDefault="001113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Thai">
    <w:altName w:val="Browallia New"/>
    <w:panose1 w:val="020B0502040504020204"/>
    <w:charset w:val="00"/>
    <w:family w:val="swiss"/>
    <w:pitch w:val="variable"/>
    <w:sig w:usb0="81000067" w:usb1="00002000" w:usb2="00000000" w:usb3="00000000" w:csb0="0001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51BD31D1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bCs w:val="0"/>
        <w:lang w:val="th"/>
      </w:rPr>
      <w:t>Henkel AG &amp; Co. KGaA</w:t>
    </w:r>
    <w:r>
      <w:rPr>
        <w:bCs w:val="0"/>
        <w:lang w:val="th"/>
      </w:rPr>
      <w:tab/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2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fldSimple w:instr="NUMPAGES  \* Arabic  \* MERGEFORMAT">
      <w:r>
        <w:rPr>
          <w:bCs w:val="0"/>
          <w:lang w:val="th"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F3CA4D" w:rsidR="00CF6F33" w:rsidRPr="00992A11" w:rsidRDefault="009E5B95" w:rsidP="00992A11">
    <w:pPr>
      <w:pStyle w:val="Footer"/>
    </w:pPr>
    <w:r>
      <w:rPr>
        <w:bCs w:val="0"/>
        <w:lang w:val="th"/>
      </w:rPr>
      <w:drawing>
        <wp:inline distT="0" distB="0" distL="0" distR="0" wp14:anchorId="1C787FF5" wp14:editId="19837837">
          <wp:extent cx="5422789" cy="548296"/>
          <wp:effectExtent l="0" t="0" r="0" b="0"/>
          <wp:docPr id="1353966039" name="Grafik 1" descr="Ein Bild, das Text, Logo, Schrift, Symbol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966039" name="Grafik 1" descr="Ein Bild, das Text, Logo, Schrift, Symbol enthält.&#10;&#10;Automatisch generierte Beschreibung"/>
                  <pic:cNvPicPr/>
                </pic:nvPicPr>
                <pic:blipFill rotWithShape="1">
                  <a:blip r:embed="rId1"/>
                  <a:srcRect b="19511"/>
                  <a:stretch/>
                </pic:blipFill>
                <pic:spPr bwMode="auto">
                  <a:xfrm>
                    <a:off x="0" y="0"/>
                    <a:ext cx="5422789" cy="548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bCs w:val="0"/>
        <w:lang w:val="th"/>
      </w:rPr>
      <w:t xml:space="preserve">หน้า 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PAGE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  <w:r>
      <w:rPr>
        <w:bCs w:val="0"/>
        <w:lang w:val="th"/>
      </w:rPr>
      <w:t>/</w:t>
    </w:r>
    <w:r>
      <w:rPr>
        <w:bCs w:val="0"/>
        <w:lang w:val="th"/>
      </w:rPr>
      <w:fldChar w:fldCharType="begin"/>
    </w:r>
    <w:r>
      <w:rPr>
        <w:bCs w:val="0"/>
        <w:lang w:val="th"/>
      </w:rPr>
      <w:instrText xml:space="preserve"> NUMPAGES  \* Arabic  \* MERGEFORMAT </w:instrText>
    </w:r>
    <w:r>
      <w:rPr>
        <w:bCs w:val="0"/>
        <w:lang w:val="th"/>
      </w:rPr>
      <w:fldChar w:fldCharType="separate"/>
    </w:r>
    <w:r>
      <w:rPr>
        <w:bCs w:val="0"/>
        <w:lang w:val="th"/>
      </w:rPr>
      <w:t>1</w:t>
    </w:r>
    <w:r>
      <w:rPr>
        <w:bCs w:val="0"/>
        <w:lang w:val="t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E83D" w14:textId="77777777" w:rsidR="001113F6" w:rsidRDefault="001113F6">
      <w:r>
        <w:separator/>
      </w:r>
    </w:p>
  </w:footnote>
  <w:footnote w:type="continuationSeparator" w:id="0">
    <w:p w14:paraId="50C33C74" w14:textId="77777777" w:rsidR="001113F6" w:rsidRDefault="001113F6">
      <w:r>
        <w:continuationSeparator/>
      </w:r>
    </w:p>
  </w:footnote>
  <w:footnote w:type="continuationNotice" w:id="1">
    <w:p w14:paraId="45435A4D" w14:textId="77777777" w:rsidR="001113F6" w:rsidRDefault="001113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05DAD93D" w:rsidR="00CF6F33" w:rsidRPr="00662590" w:rsidRDefault="0059722C" w:rsidP="00EB46D9">
    <w:pPr>
      <w:pStyle w:val="Header"/>
      <w:rPr>
        <w:rFonts w:ascii="Noto Sans Thai" w:hAnsi="Noto Sans Thai" w:cs="Noto Sans Thai"/>
      </w:rPr>
    </w:pPr>
    <w:r w:rsidRPr="00662590">
      <w:rPr>
        <w:rFonts w:ascii="Noto Sans Thai" w:hAnsi="Noto Sans Thai" w:cs="Noto Sans Thai"/>
        <w:b w:val="0"/>
        <w:bCs w:val="0"/>
        <w:noProof/>
        <w:lang w:val="th"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653066876" name="Grafik 1653066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2590">
      <w:rPr>
        <w:rFonts w:ascii="Noto Sans Thai" w:hAnsi="Noto Sans Thai" w:cs="Noto Sans Thai"/>
        <w:b w:val="0"/>
        <w:bCs w:val="0"/>
        <w:noProof/>
        <w:lang w:val="th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CE6AFA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Pr="00662590">
      <w:rPr>
        <w:rFonts w:ascii="Noto Sans Thai" w:hAnsi="Noto Sans Thai" w:cs="Noto Sans Thai"/>
        <w:noProof/>
        <w:lang w:val="th"/>
      </w:rPr>
      <w:t>ข่าว</w:t>
    </w:r>
    <w:r w:rsidRPr="00662590">
      <w:rPr>
        <w:rFonts w:ascii="Noto Sans Thai" w:hAnsi="Noto Sans Thai" w:cs="Noto Sans Thai"/>
        <w:lang w:val="th"/>
      </w:rPr>
      <w:t>ประชาสัมพันธ์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5DAC1B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499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0E42A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81B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030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7AB7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B604A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C0C2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D649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B46B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14AC"/>
    <w:multiLevelType w:val="hybridMultilevel"/>
    <w:tmpl w:val="13B0B26E"/>
    <w:lvl w:ilvl="0" w:tplc="7F22C7A8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8E4621"/>
    <w:multiLevelType w:val="hybridMultilevel"/>
    <w:tmpl w:val="44BEA6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294669F"/>
    <w:multiLevelType w:val="hybridMultilevel"/>
    <w:tmpl w:val="541E7E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233B2"/>
    <w:multiLevelType w:val="hybridMultilevel"/>
    <w:tmpl w:val="70ECA632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46F7BE2"/>
    <w:multiLevelType w:val="hybridMultilevel"/>
    <w:tmpl w:val="4414442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2C76F01"/>
    <w:multiLevelType w:val="hybridMultilevel"/>
    <w:tmpl w:val="D040BA9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4B4C214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36284"/>
    <w:multiLevelType w:val="hybridMultilevel"/>
    <w:tmpl w:val="81B8DC9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E1000F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C72573"/>
    <w:multiLevelType w:val="hybridMultilevel"/>
    <w:tmpl w:val="D354C796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B6FB3"/>
    <w:multiLevelType w:val="hybridMultilevel"/>
    <w:tmpl w:val="FD7E88F4"/>
    <w:lvl w:ilvl="0" w:tplc="A86EF7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24AF"/>
    <w:multiLevelType w:val="hybridMultilevel"/>
    <w:tmpl w:val="F534948E"/>
    <w:lvl w:ilvl="0" w:tplc="4B4C2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B00033"/>
    <w:multiLevelType w:val="hybridMultilevel"/>
    <w:tmpl w:val="44CCA5E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322993">
    <w:abstractNumId w:val="12"/>
  </w:num>
  <w:num w:numId="2" w16cid:durableId="165293174">
    <w:abstractNumId w:val="11"/>
  </w:num>
  <w:num w:numId="3" w16cid:durableId="1508134485">
    <w:abstractNumId w:val="26"/>
  </w:num>
  <w:num w:numId="4" w16cid:durableId="1234970366">
    <w:abstractNumId w:val="20"/>
  </w:num>
  <w:num w:numId="5" w16cid:durableId="1008554684">
    <w:abstractNumId w:val="17"/>
  </w:num>
  <w:num w:numId="6" w16cid:durableId="933825870">
    <w:abstractNumId w:val="22"/>
  </w:num>
  <w:num w:numId="7" w16cid:durableId="912852597">
    <w:abstractNumId w:val="19"/>
  </w:num>
  <w:num w:numId="8" w16cid:durableId="1625698526">
    <w:abstractNumId w:val="25"/>
  </w:num>
  <w:num w:numId="9" w16cid:durableId="1415131532">
    <w:abstractNumId w:val="10"/>
  </w:num>
  <w:num w:numId="10" w16cid:durableId="1753891704">
    <w:abstractNumId w:val="28"/>
  </w:num>
  <w:num w:numId="11" w16cid:durableId="1821996854">
    <w:abstractNumId w:val="18"/>
  </w:num>
  <w:num w:numId="12" w16cid:durableId="1174342575">
    <w:abstractNumId w:val="10"/>
  </w:num>
  <w:num w:numId="13" w16cid:durableId="421489921">
    <w:abstractNumId w:val="13"/>
  </w:num>
  <w:num w:numId="14" w16cid:durableId="2017075722">
    <w:abstractNumId w:val="14"/>
  </w:num>
  <w:num w:numId="15" w16cid:durableId="809250421">
    <w:abstractNumId w:val="27"/>
  </w:num>
  <w:num w:numId="16" w16cid:durableId="642275258">
    <w:abstractNumId w:val="23"/>
  </w:num>
  <w:num w:numId="17" w16cid:durableId="1280260482">
    <w:abstractNumId w:val="21"/>
  </w:num>
  <w:num w:numId="18" w16cid:durableId="1581863752">
    <w:abstractNumId w:val="15"/>
  </w:num>
  <w:num w:numId="19" w16cid:durableId="1326934875">
    <w:abstractNumId w:val="24"/>
  </w:num>
  <w:num w:numId="20" w16cid:durableId="1572081013">
    <w:abstractNumId w:val="16"/>
  </w:num>
  <w:num w:numId="21" w16cid:durableId="1779597188">
    <w:abstractNumId w:val="9"/>
  </w:num>
  <w:num w:numId="22" w16cid:durableId="876702848">
    <w:abstractNumId w:val="7"/>
  </w:num>
  <w:num w:numId="23" w16cid:durableId="427576797">
    <w:abstractNumId w:val="6"/>
  </w:num>
  <w:num w:numId="24" w16cid:durableId="1704477065">
    <w:abstractNumId w:val="5"/>
  </w:num>
  <w:num w:numId="25" w16cid:durableId="255864871">
    <w:abstractNumId w:val="4"/>
  </w:num>
  <w:num w:numId="26" w16cid:durableId="549342821">
    <w:abstractNumId w:val="8"/>
  </w:num>
  <w:num w:numId="27" w16cid:durableId="1665354926">
    <w:abstractNumId w:val="3"/>
  </w:num>
  <w:num w:numId="28" w16cid:durableId="404766827">
    <w:abstractNumId w:val="2"/>
  </w:num>
  <w:num w:numId="29" w16cid:durableId="575895947">
    <w:abstractNumId w:val="1"/>
  </w:num>
  <w:num w:numId="30" w16cid:durableId="213478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2AA4"/>
    <w:rsid w:val="00003675"/>
    <w:rsid w:val="00003D6C"/>
    <w:rsid w:val="00004F3C"/>
    <w:rsid w:val="000050F2"/>
    <w:rsid w:val="00005267"/>
    <w:rsid w:val="00006346"/>
    <w:rsid w:val="000069EB"/>
    <w:rsid w:val="00006A45"/>
    <w:rsid w:val="000070A8"/>
    <w:rsid w:val="0000752F"/>
    <w:rsid w:val="00012E70"/>
    <w:rsid w:val="000136FE"/>
    <w:rsid w:val="00014FC1"/>
    <w:rsid w:val="00016137"/>
    <w:rsid w:val="00017575"/>
    <w:rsid w:val="000201CB"/>
    <w:rsid w:val="00020DC3"/>
    <w:rsid w:val="00021C67"/>
    <w:rsid w:val="0002370F"/>
    <w:rsid w:val="00024147"/>
    <w:rsid w:val="00024284"/>
    <w:rsid w:val="00024483"/>
    <w:rsid w:val="000256A9"/>
    <w:rsid w:val="00026EEE"/>
    <w:rsid w:val="000301F0"/>
    <w:rsid w:val="00030557"/>
    <w:rsid w:val="00030701"/>
    <w:rsid w:val="00030F51"/>
    <w:rsid w:val="00031E51"/>
    <w:rsid w:val="00033476"/>
    <w:rsid w:val="000343EB"/>
    <w:rsid w:val="00034E59"/>
    <w:rsid w:val="00035A84"/>
    <w:rsid w:val="00037933"/>
    <w:rsid w:val="00040390"/>
    <w:rsid w:val="00040816"/>
    <w:rsid w:val="00040CC9"/>
    <w:rsid w:val="00041F81"/>
    <w:rsid w:val="000425ED"/>
    <w:rsid w:val="00045CCB"/>
    <w:rsid w:val="000510FC"/>
    <w:rsid w:val="00051555"/>
    <w:rsid w:val="00051E86"/>
    <w:rsid w:val="000527F1"/>
    <w:rsid w:val="00053487"/>
    <w:rsid w:val="00053C6A"/>
    <w:rsid w:val="00054AFE"/>
    <w:rsid w:val="0005544E"/>
    <w:rsid w:val="000570AE"/>
    <w:rsid w:val="000575F9"/>
    <w:rsid w:val="0006148D"/>
    <w:rsid w:val="000618FC"/>
    <w:rsid w:val="00063A02"/>
    <w:rsid w:val="00063BE9"/>
    <w:rsid w:val="00065466"/>
    <w:rsid w:val="000665F3"/>
    <w:rsid w:val="00067071"/>
    <w:rsid w:val="00067F67"/>
    <w:rsid w:val="00070652"/>
    <w:rsid w:val="00070757"/>
    <w:rsid w:val="00071284"/>
    <w:rsid w:val="00072F48"/>
    <w:rsid w:val="00073AED"/>
    <w:rsid w:val="00074942"/>
    <w:rsid w:val="000751A7"/>
    <w:rsid w:val="0007558F"/>
    <w:rsid w:val="000773D2"/>
    <w:rsid w:val="0007746E"/>
    <w:rsid w:val="00077AF9"/>
    <w:rsid w:val="0008051A"/>
    <w:rsid w:val="00080D10"/>
    <w:rsid w:val="00081241"/>
    <w:rsid w:val="00081692"/>
    <w:rsid w:val="00081EF8"/>
    <w:rsid w:val="00082417"/>
    <w:rsid w:val="0008357F"/>
    <w:rsid w:val="00083A35"/>
    <w:rsid w:val="00083A61"/>
    <w:rsid w:val="00083DAB"/>
    <w:rsid w:val="00083F9D"/>
    <w:rsid w:val="0008406B"/>
    <w:rsid w:val="00084918"/>
    <w:rsid w:val="0008581D"/>
    <w:rsid w:val="00085A1B"/>
    <w:rsid w:val="00090DB6"/>
    <w:rsid w:val="00090E73"/>
    <w:rsid w:val="000910FF"/>
    <w:rsid w:val="00091F11"/>
    <w:rsid w:val="00094235"/>
    <w:rsid w:val="00095ED7"/>
    <w:rsid w:val="00096AD4"/>
    <w:rsid w:val="00097DB9"/>
    <w:rsid w:val="000A05E0"/>
    <w:rsid w:val="000A06FB"/>
    <w:rsid w:val="000A13AA"/>
    <w:rsid w:val="000A31D3"/>
    <w:rsid w:val="000A3AF9"/>
    <w:rsid w:val="000A4B52"/>
    <w:rsid w:val="000A50CF"/>
    <w:rsid w:val="000A511E"/>
    <w:rsid w:val="000A55F7"/>
    <w:rsid w:val="000A61DF"/>
    <w:rsid w:val="000A64B3"/>
    <w:rsid w:val="000A6C25"/>
    <w:rsid w:val="000A7533"/>
    <w:rsid w:val="000B005C"/>
    <w:rsid w:val="000B037D"/>
    <w:rsid w:val="000B10DE"/>
    <w:rsid w:val="000B2684"/>
    <w:rsid w:val="000B2E86"/>
    <w:rsid w:val="000B31E4"/>
    <w:rsid w:val="000B4E85"/>
    <w:rsid w:val="000B5D2F"/>
    <w:rsid w:val="000B5E32"/>
    <w:rsid w:val="000B6244"/>
    <w:rsid w:val="000B695A"/>
    <w:rsid w:val="000B72A8"/>
    <w:rsid w:val="000C00E0"/>
    <w:rsid w:val="000C210A"/>
    <w:rsid w:val="000C27E5"/>
    <w:rsid w:val="000C30D6"/>
    <w:rsid w:val="000C47D1"/>
    <w:rsid w:val="000C50A1"/>
    <w:rsid w:val="000C56DD"/>
    <w:rsid w:val="000C5AF7"/>
    <w:rsid w:val="000C5CFD"/>
    <w:rsid w:val="000C63F4"/>
    <w:rsid w:val="000C65FB"/>
    <w:rsid w:val="000C6600"/>
    <w:rsid w:val="000D09AF"/>
    <w:rsid w:val="000D11CB"/>
    <w:rsid w:val="000D14C4"/>
    <w:rsid w:val="000D1672"/>
    <w:rsid w:val="000D178A"/>
    <w:rsid w:val="000D18CE"/>
    <w:rsid w:val="000D3C98"/>
    <w:rsid w:val="000D40C6"/>
    <w:rsid w:val="000D52F6"/>
    <w:rsid w:val="000D5A52"/>
    <w:rsid w:val="000D6C67"/>
    <w:rsid w:val="000D738C"/>
    <w:rsid w:val="000D7548"/>
    <w:rsid w:val="000E0CAB"/>
    <w:rsid w:val="000E11D9"/>
    <w:rsid w:val="000E1A74"/>
    <w:rsid w:val="000E1B84"/>
    <w:rsid w:val="000E26BB"/>
    <w:rsid w:val="000E2F62"/>
    <w:rsid w:val="000E33CD"/>
    <w:rsid w:val="000E38ED"/>
    <w:rsid w:val="000E45C7"/>
    <w:rsid w:val="000E68E4"/>
    <w:rsid w:val="000E714B"/>
    <w:rsid w:val="000E745A"/>
    <w:rsid w:val="000E79CD"/>
    <w:rsid w:val="000E7F24"/>
    <w:rsid w:val="000F03BE"/>
    <w:rsid w:val="000F1757"/>
    <w:rsid w:val="000F225B"/>
    <w:rsid w:val="000F333E"/>
    <w:rsid w:val="000F41BC"/>
    <w:rsid w:val="000F48E9"/>
    <w:rsid w:val="000F4DAE"/>
    <w:rsid w:val="000F7ADB"/>
    <w:rsid w:val="000F7FAF"/>
    <w:rsid w:val="0010048F"/>
    <w:rsid w:val="00100D8B"/>
    <w:rsid w:val="00100FC9"/>
    <w:rsid w:val="00102045"/>
    <w:rsid w:val="00102264"/>
    <w:rsid w:val="00103537"/>
    <w:rsid w:val="00103B01"/>
    <w:rsid w:val="0010421C"/>
    <w:rsid w:val="0010465B"/>
    <w:rsid w:val="00104F62"/>
    <w:rsid w:val="0010570F"/>
    <w:rsid w:val="00105975"/>
    <w:rsid w:val="00106639"/>
    <w:rsid w:val="00110090"/>
    <w:rsid w:val="0011116D"/>
    <w:rsid w:val="00111386"/>
    <w:rsid w:val="001113F6"/>
    <w:rsid w:val="001118DF"/>
    <w:rsid w:val="00111F4D"/>
    <w:rsid w:val="00112A28"/>
    <w:rsid w:val="00113571"/>
    <w:rsid w:val="001135E4"/>
    <w:rsid w:val="0011370F"/>
    <w:rsid w:val="00114227"/>
    <w:rsid w:val="00114B27"/>
    <w:rsid w:val="00114DDF"/>
    <w:rsid w:val="00115230"/>
    <w:rsid w:val="00115B5F"/>
    <w:rsid w:val="001162B4"/>
    <w:rsid w:val="00116DF3"/>
    <w:rsid w:val="00117B1C"/>
    <w:rsid w:val="00122B90"/>
    <w:rsid w:val="00122CBC"/>
    <w:rsid w:val="0012414B"/>
    <w:rsid w:val="00124FA3"/>
    <w:rsid w:val="00126769"/>
    <w:rsid w:val="00126C65"/>
    <w:rsid w:val="00126D4A"/>
    <w:rsid w:val="00131762"/>
    <w:rsid w:val="001318EB"/>
    <w:rsid w:val="00132DA9"/>
    <w:rsid w:val="0013305B"/>
    <w:rsid w:val="00133B99"/>
    <w:rsid w:val="00134607"/>
    <w:rsid w:val="0013569C"/>
    <w:rsid w:val="00135939"/>
    <w:rsid w:val="001363CC"/>
    <w:rsid w:val="001369E3"/>
    <w:rsid w:val="001375DD"/>
    <w:rsid w:val="00142EFB"/>
    <w:rsid w:val="001438BF"/>
    <w:rsid w:val="001443BD"/>
    <w:rsid w:val="001443DA"/>
    <w:rsid w:val="00144A87"/>
    <w:rsid w:val="00144DD5"/>
    <w:rsid w:val="0014545C"/>
    <w:rsid w:val="00145B62"/>
    <w:rsid w:val="00146193"/>
    <w:rsid w:val="00146E78"/>
    <w:rsid w:val="00151429"/>
    <w:rsid w:val="00151C9F"/>
    <w:rsid w:val="00152022"/>
    <w:rsid w:val="00152026"/>
    <w:rsid w:val="00152A41"/>
    <w:rsid w:val="00153032"/>
    <w:rsid w:val="00155E7D"/>
    <w:rsid w:val="001577E9"/>
    <w:rsid w:val="00157A59"/>
    <w:rsid w:val="00157F37"/>
    <w:rsid w:val="00160045"/>
    <w:rsid w:val="001600D9"/>
    <w:rsid w:val="00160B8F"/>
    <w:rsid w:val="0016138C"/>
    <w:rsid w:val="00161823"/>
    <w:rsid w:val="00162D60"/>
    <w:rsid w:val="00162F8B"/>
    <w:rsid w:val="001640D5"/>
    <w:rsid w:val="0016441D"/>
    <w:rsid w:val="00164BE6"/>
    <w:rsid w:val="001653D7"/>
    <w:rsid w:val="001659FB"/>
    <w:rsid w:val="00166055"/>
    <w:rsid w:val="00166F97"/>
    <w:rsid w:val="001675E7"/>
    <w:rsid w:val="00171D3F"/>
    <w:rsid w:val="00171F59"/>
    <w:rsid w:val="00172C99"/>
    <w:rsid w:val="001731CE"/>
    <w:rsid w:val="00174C15"/>
    <w:rsid w:val="00175C72"/>
    <w:rsid w:val="00177B37"/>
    <w:rsid w:val="00180F93"/>
    <w:rsid w:val="001813A8"/>
    <w:rsid w:val="00181B06"/>
    <w:rsid w:val="00185C3B"/>
    <w:rsid w:val="0018672E"/>
    <w:rsid w:val="00187A15"/>
    <w:rsid w:val="00191458"/>
    <w:rsid w:val="00191DD2"/>
    <w:rsid w:val="001928FC"/>
    <w:rsid w:val="00192DA5"/>
    <w:rsid w:val="00195925"/>
    <w:rsid w:val="00195A33"/>
    <w:rsid w:val="00195E58"/>
    <w:rsid w:val="00196828"/>
    <w:rsid w:val="00196A14"/>
    <w:rsid w:val="00197E9B"/>
    <w:rsid w:val="001A01B3"/>
    <w:rsid w:val="001A0DE4"/>
    <w:rsid w:val="001A1185"/>
    <w:rsid w:val="001A1FEB"/>
    <w:rsid w:val="001A3D77"/>
    <w:rsid w:val="001A4C03"/>
    <w:rsid w:val="001A52BB"/>
    <w:rsid w:val="001A74D9"/>
    <w:rsid w:val="001B0BBF"/>
    <w:rsid w:val="001B3094"/>
    <w:rsid w:val="001B30F7"/>
    <w:rsid w:val="001B31F0"/>
    <w:rsid w:val="001B4862"/>
    <w:rsid w:val="001B5147"/>
    <w:rsid w:val="001B65FF"/>
    <w:rsid w:val="001B710A"/>
    <w:rsid w:val="001B771D"/>
    <w:rsid w:val="001B7C20"/>
    <w:rsid w:val="001B7ED7"/>
    <w:rsid w:val="001C0B32"/>
    <w:rsid w:val="001C0D67"/>
    <w:rsid w:val="001C21A3"/>
    <w:rsid w:val="001C2D66"/>
    <w:rsid w:val="001C2D7B"/>
    <w:rsid w:val="001C36F7"/>
    <w:rsid w:val="001C4BE1"/>
    <w:rsid w:val="001C5338"/>
    <w:rsid w:val="001C7F21"/>
    <w:rsid w:val="001D1497"/>
    <w:rsid w:val="001D5534"/>
    <w:rsid w:val="001D63D9"/>
    <w:rsid w:val="001D7ADF"/>
    <w:rsid w:val="001E0F71"/>
    <w:rsid w:val="001E17FB"/>
    <w:rsid w:val="001E255E"/>
    <w:rsid w:val="001E2B9B"/>
    <w:rsid w:val="001E2C06"/>
    <w:rsid w:val="001E35BA"/>
    <w:rsid w:val="001E49D3"/>
    <w:rsid w:val="001E4CCB"/>
    <w:rsid w:val="001E51A6"/>
    <w:rsid w:val="001E52CB"/>
    <w:rsid w:val="001E632C"/>
    <w:rsid w:val="001E6D05"/>
    <w:rsid w:val="001E73E8"/>
    <w:rsid w:val="001E7C28"/>
    <w:rsid w:val="001F00F1"/>
    <w:rsid w:val="001F0494"/>
    <w:rsid w:val="001F11A1"/>
    <w:rsid w:val="001F19A0"/>
    <w:rsid w:val="001F1AB5"/>
    <w:rsid w:val="001F1BDF"/>
    <w:rsid w:val="001F1D6D"/>
    <w:rsid w:val="001F2366"/>
    <w:rsid w:val="001F2A1B"/>
    <w:rsid w:val="001F30F0"/>
    <w:rsid w:val="001F35F8"/>
    <w:rsid w:val="001F39FC"/>
    <w:rsid w:val="001F4AC3"/>
    <w:rsid w:val="001F4CAC"/>
    <w:rsid w:val="001F52E0"/>
    <w:rsid w:val="001F590C"/>
    <w:rsid w:val="001F7110"/>
    <w:rsid w:val="001F75DB"/>
    <w:rsid w:val="001F773D"/>
    <w:rsid w:val="001F7E96"/>
    <w:rsid w:val="002005F5"/>
    <w:rsid w:val="00202284"/>
    <w:rsid w:val="00202C65"/>
    <w:rsid w:val="0020528D"/>
    <w:rsid w:val="0020543B"/>
    <w:rsid w:val="00205A66"/>
    <w:rsid w:val="002063CF"/>
    <w:rsid w:val="00206613"/>
    <w:rsid w:val="00206C14"/>
    <w:rsid w:val="0020756B"/>
    <w:rsid w:val="00207E75"/>
    <w:rsid w:val="00210D86"/>
    <w:rsid w:val="002113EC"/>
    <w:rsid w:val="0021158F"/>
    <w:rsid w:val="00211ECC"/>
    <w:rsid w:val="002122EF"/>
    <w:rsid w:val="00212488"/>
    <w:rsid w:val="002129A6"/>
    <w:rsid w:val="002151DB"/>
    <w:rsid w:val="0021591A"/>
    <w:rsid w:val="00220628"/>
    <w:rsid w:val="00220B19"/>
    <w:rsid w:val="00221A45"/>
    <w:rsid w:val="00221BA0"/>
    <w:rsid w:val="00222DEE"/>
    <w:rsid w:val="00223B20"/>
    <w:rsid w:val="002260C7"/>
    <w:rsid w:val="00226986"/>
    <w:rsid w:val="002304D2"/>
    <w:rsid w:val="002314B0"/>
    <w:rsid w:val="00231D4E"/>
    <w:rsid w:val="002338C1"/>
    <w:rsid w:val="002338D3"/>
    <w:rsid w:val="00233D04"/>
    <w:rsid w:val="00233F53"/>
    <w:rsid w:val="00234ABD"/>
    <w:rsid w:val="00235B97"/>
    <w:rsid w:val="00236491"/>
    <w:rsid w:val="00236C3B"/>
    <w:rsid w:val="00236E2A"/>
    <w:rsid w:val="002372B3"/>
    <w:rsid w:val="002376A9"/>
    <w:rsid w:val="00237F62"/>
    <w:rsid w:val="00241E10"/>
    <w:rsid w:val="00242A6B"/>
    <w:rsid w:val="0024458B"/>
    <w:rsid w:val="00245657"/>
    <w:rsid w:val="0024586A"/>
    <w:rsid w:val="0024601F"/>
    <w:rsid w:val="002468CE"/>
    <w:rsid w:val="002502E1"/>
    <w:rsid w:val="00250F80"/>
    <w:rsid w:val="0025124F"/>
    <w:rsid w:val="00251330"/>
    <w:rsid w:val="002518A2"/>
    <w:rsid w:val="002528B3"/>
    <w:rsid w:val="00252C95"/>
    <w:rsid w:val="00253C96"/>
    <w:rsid w:val="0025551F"/>
    <w:rsid w:val="00255F8C"/>
    <w:rsid w:val="00256174"/>
    <w:rsid w:val="002564EC"/>
    <w:rsid w:val="00256F0C"/>
    <w:rsid w:val="00257231"/>
    <w:rsid w:val="00260318"/>
    <w:rsid w:val="00261B24"/>
    <w:rsid w:val="00261C23"/>
    <w:rsid w:val="00262C05"/>
    <w:rsid w:val="0026342A"/>
    <w:rsid w:val="00263868"/>
    <w:rsid w:val="002640CF"/>
    <w:rsid w:val="0026469B"/>
    <w:rsid w:val="00266359"/>
    <w:rsid w:val="002700A2"/>
    <w:rsid w:val="002715AF"/>
    <w:rsid w:val="002717F0"/>
    <w:rsid w:val="00272B9F"/>
    <w:rsid w:val="0027301C"/>
    <w:rsid w:val="00273099"/>
    <w:rsid w:val="00281B9B"/>
    <w:rsid w:val="00281D14"/>
    <w:rsid w:val="00281F6E"/>
    <w:rsid w:val="00282953"/>
    <w:rsid w:val="00282C13"/>
    <w:rsid w:val="002833D8"/>
    <w:rsid w:val="00285669"/>
    <w:rsid w:val="00286BF6"/>
    <w:rsid w:val="00287337"/>
    <w:rsid w:val="00287DEE"/>
    <w:rsid w:val="002903B7"/>
    <w:rsid w:val="002923A5"/>
    <w:rsid w:val="00294EB3"/>
    <w:rsid w:val="0029598A"/>
    <w:rsid w:val="00295E54"/>
    <w:rsid w:val="002962D7"/>
    <w:rsid w:val="00296C33"/>
    <w:rsid w:val="002971BC"/>
    <w:rsid w:val="002A0462"/>
    <w:rsid w:val="002A04BE"/>
    <w:rsid w:val="002A0D7B"/>
    <w:rsid w:val="002A0DF7"/>
    <w:rsid w:val="002A1B79"/>
    <w:rsid w:val="002A1F41"/>
    <w:rsid w:val="002A268C"/>
    <w:rsid w:val="002A2975"/>
    <w:rsid w:val="002A2E94"/>
    <w:rsid w:val="002A460D"/>
    <w:rsid w:val="002A4CEA"/>
    <w:rsid w:val="002A505B"/>
    <w:rsid w:val="002A5EE9"/>
    <w:rsid w:val="002A60E0"/>
    <w:rsid w:val="002B03A5"/>
    <w:rsid w:val="002B1AA8"/>
    <w:rsid w:val="002B1E51"/>
    <w:rsid w:val="002B1E87"/>
    <w:rsid w:val="002B28CF"/>
    <w:rsid w:val="002B35E0"/>
    <w:rsid w:val="002B3BC2"/>
    <w:rsid w:val="002B4447"/>
    <w:rsid w:val="002B5F9F"/>
    <w:rsid w:val="002B687A"/>
    <w:rsid w:val="002C1344"/>
    <w:rsid w:val="002C252E"/>
    <w:rsid w:val="002C3A2A"/>
    <w:rsid w:val="002C458A"/>
    <w:rsid w:val="002C5C44"/>
    <w:rsid w:val="002C6552"/>
    <w:rsid w:val="002C6773"/>
    <w:rsid w:val="002C6F51"/>
    <w:rsid w:val="002C73EC"/>
    <w:rsid w:val="002C77A3"/>
    <w:rsid w:val="002D0D3E"/>
    <w:rsid w:val="002D0FE0"/>
    <w:rsid w:val="002D269A"/>
    <w:rsid w:val="002D2A3D"/>
    <w:rsid w:val="002D2EB6"/>
    <w:rsid w:val="002D391F"/>
    <w:rsid w:val="002D3E72"/>
    <w:rsid w:val="002D3EAC"/>
    <w:rsid w:val="002D46A9"/>
    <w:rsid w:val="002D4EBA"/>
    <w:rsid w:val="002D5D1D"/>
    <w:rsid w:val="002D6773"/>
    <w:rsid w:val="002D6EFD"/>
    <w:rsid w:val="002D74CF"/>
    <w:rsid w:val="002E0A45"/>
    <w:rsid w:val="002E0B17"/>
    <w:rsid w:val="002E0EBE"/>
    <w:rsid w:val="002E26B4"/>
    <w:rsid w:val="002E4FFB"/>
    <w:rsid w:val="002E6110"/>
    <w:rsid w:val="002E62F7"/>
    <w:rsid w:val="002E63A7"/>
    <w:rsid w:val="002E650E"/>
    <w:rsid w:val="002E6E2F"/>
    <w:rsid w:val="002E7DED"/>
    <w:rsid w:val="002F0334"/>
    <w:rsid w:val="002F2A7B"/>
    <w:rsid w:val="002F3BAD"/>
    <w:rsid w:val="002F4AB2"/>
    <w:rsid w:val="002F5944"/>
    <w:rsid w:val="002F5B88"/>
    <w:rsid w:val="002F6E8A"/>
    <w:rsid w:val="002F7BC2"/>
    <w:rsid w:val="002F7E11"/>
    <w:rsid w:val="0030037C"/>
    <w:rsid w:val="00301C72"/>
    <w:rsid w:val="00304087"/>
    <w:rsid w:val="003047B4"/>
    <w:rsid w:val="003053DC"/>
    <w:rsid w:val="003054B0"/>
    <w:rsid w:val="003057B1"/>
    <w:rsid w:val="003062AD"/>
    <w:rsid w:val="00306D32"/>
    <w:rsid w:val="00310ACD"/>
    <w:rsid w:val="003129C1"/>
    <w:rsid w:val="00312C23"/>
    <w:rsid w:val="0031379F"/>
    <w:rsid w:val="00313A9C"/>
    <w:rsid w:val="00314A97"/>
    <w:rsid w:val="00315442"/>
    <w:rsid w:val="0031621E"/>
    <w:rsid w:val="00316A16"/>
    <w:rsid w:val="00320228"/>
    <w:rsid w:val="00320A26"/>
    <w:rsid w:val="003212F3"/>
    <w:rsid w:val="00321344"/>
    <w:rsid w:val="00321788"/>
    <w:rsid w:val="00325064"/>
    <w:rsid w:val="00325630"/>
    <w:rsid w:val="00325EC9"/>
    <w:rsid w:val="00326D29"/>
    <w:rsid w:val="003279C6"/>
    <w:rsid w:val="00327FC3"/>
    <w:rsid w:val="0032B295"/>
    <w:rsid w:val="00331A3E"/>
    <w:rsid w:val="0033451C"/>
    <w:rsid w:val="00334532"/>
    <w:rsid w:val="00335660"/>
    <w:rsid w:val="00335FBD"/>
    <w:rsid w:val="00336854"/>
    <w:rsid w:val="003369C7"/>
    <w:rsid w:val="0033721F"/>
    <w:rsid w:val="0033769B"/>
    <w:rsid w:val="0034015C"/>
    <w:rsid w:val="00341409"/>
    <w:rsid w:val="00341CAE"/>
    <w:rsid w:val="003428E6"/>
    <w:rsid w:val="003442F4"/>
    <w:rsid w:val="00344546"/>
    <w:rsid w:val="003455CF"/>
    <w:rsid w:val="00345FA1"/>
    <w:rsid w:val="0034716E"/>
    <w:rsid w:val="003472B8"/>
    <w:rsid w:val="00350CB4"/>
    <w:rsid w:val="00351976"/>
    <w:rsid w:val="00353705"/>
    <w:rsid w:val="00354B07"/>
    <w:rsid w:val="00354C69"/>
    <w:rsid w:val="00355536"/>
    <w:rsid w:val="003562E8"/>
    <w:rsid w:val="003569B5"/>
    <w:rsid w:val="00357F94"/>
    <w:rsid w:val="003614D7"/>
    <w:rsid w:val="00361E9F"/>
    <w:rsid w:val="00361FB0"/>
    <w:rsid w:val="003632DC"/>
    <w:rsid w:val="0036357D"/>
    <w:rsid w:val="00363B78"/>
    <w:rsid w:val="003649BC"/>
    <w:rsid w:val="00364F24"/>
    <w:rsid w:val="00364F7E"/>
    <w:rsid w:val="00365E44"/>
    <w:rsid w:val="003662B1"/>
    <w:rsid w:val="003667AD"/>
    <w:rsid w:val="00367AA1"/>
    <w:rsid w:val="00370A5B"/>
    <w:rsid w:val="00372497"/>
    <w:rsid w:val="00372619"/>
    <w:rsid w:val="00372E36"/>
    <w:rsid w:val="00373D53"/>
    <w:rsid w:val="0037555D"/>
    <w:rsid w:val="00375653"/>
    <w:rsid w:val="00375DFA"/>
    <w:rsid w:val="00375F7D"/>
    <w:rsid w:val="003767D3"/>
    <w:rsid w:val="00376EE9"/>
    <w:rsid w:val="00376FFC"/>
    <w:rsid w:val="00377CBB"/>
    <w:rsid w:val="0038079F"/>
    <w:rsid w:val="00381953"/>
    <w:rsid w:val="00381CF2"/>
    <w:rsid w:val="00382DA3"/>
    <w:rsid w:val="00382DF7"/>
    <w:rsid w:val="00384F62"/>
    <w:rsid w:val="00385438"/>
    <w:rsid w:val="00385816"/>
    <w:rsid w:val="003858E5"/>
    <w:rsid w:val="0038686B"/>
    <w:rsid w:val="003877B6"/>
    <w:rsid w:val="00391024"/>
    <w:rsid w:val="00391539"/>
    <w:rsid w:val="003915B0"/>
    <w:rsid w:val="003921B7"/>
    <w:rsid w:val="00393887"/>
    <w:rsid w:val="00393F1B"/>
    <w:rsid w:val="00394C6B"/>
    <w:rsid w:val="003958C2"/>
    <w:rsid w:val="0039610B"/>
    <w:rsid w:val="00397C2B"/>
    <w:rsid w:val="00397C90"/>
    <w:rsid w:val="003A0961"/>
    <w:rsid w:val="003A290F"/>
    <w:rsid w:val="003A4AAA"/>
    <w:rsid w:val="003A4B10"/>
    <w:rsid w:val="003A4E2E"/>
    <w:rsid w:val="003A4E62"/>
    <w:rsid w:val="003A56EB"/>
    <w:rsid w:val="003A5A6A"/>
    <w:rsid w:val="003A63F6"/>
    <w:rsid w:val="003A6CB9"/>
    <w:rsid w:val="003A775E"/>
    <w:rsid w:val="003B02F2"/>
    <w:rsid w:val="003B0BD0"/>
    <w:rsid w:val="003B0CDD"/>
    <w:rsid w:val="003B1069"/>
    <w:rsid w:val="003B2BB0"/>
    <w:rsid w:val="003B2CC9"/>
    <w:rsid w:val="003B2EAB"/>
    <w:rsid w:val="003B38CC"/>
    <w:rsid w:val="003B390A"/>
    <w:rsid w:val="003B3D53"/>
    <w:rsid w:val="003B4477"/>
    <w:rsid w:val="003B4E3A"/>
    <w:rsid w:val="003B6373"/>
    <w:rsid w:val="003B79E1"/>
    <w:rsid w:val="003C0E8C"/>
    <w:rsid w:val="003C15DE"/>
    <w:rsid w:val="003C2096"/>
    <w:rsid w:val="003C2889"/>
    <w:rsid w:val="003C2C33"/>
    <w:rsid w:val="003C34C9"/>
    <w:rsid w:val="003C35B1"/>
    <w:rsid w:val="003C4EB2"/>
    <w:rsid w:val="003C5E05"/>
    <w:rsid w:val="003C63D0"/>
    <w:rsid w:val="003C691D"/>
    <w:rsid w:val="003C7959"/>
    <w:rsid w:val="003D0FD1"/>
    <w:rsid w:val="003D38D5"/>
    <w:rsid w:val="003D3968"/>
    <w:rsid w:val="003D42AF"/>
    <w:rsid w:val="003D4AD2"/>
    <w:rsid w:val="003D4BFC"/>
    <w:rsid w:val="003D4CC0"/>
    <w:rsid w:val="003D4D58"/>
    <w:rsid w:val="003D5E11"/>
    <w:rsid w:val="003D5F1E"/>
    <w:rsid w:val="003D73C0"/>
    <w:rsid w:val="003E031D"/>
    <w:rsid w:val="003E1343"/>
    <w:rsid w:val="003E275E"/>
    <w:rsid w:val="003E4BF6"/>
    <w:rsid w:val="003E6849"/>
    <w:rsid w:val="003E7305"/>
    <w:rsid w:val="003F0C1C"/>
    <w:rsid w:val="003F11AB"/>
    <w:rsid w:val="003F1AF3"/>
    <w:rsid w:val="003F25E4"/>
    <w:rsid w:val="003F4743"/>
    <w:rsid w:val="003F4804"/>
    <w:rsid w:val="003F4AAA"/>
    <w:rsid w:val="003F4D8D"/>
    <w:rsid w:val="003F66A4"/>
    <w:rsid w:val="00401508"/>
    <w:rsid w:val="00401688"/>
    <w:rsid w:val="00401E6F"/>
    <w:rsid w:val="004024D9"/>
    <w:rsid w:val="0040257E"/>
    <w:rsid w:val="00402AAD"/>
    <w:rsid w:val="0040379A"/>
    <w:rsid w:val="0040386D"/>
    <w:rsid w:val="00404188"/>
    <w:rsid w:val="0040638A"/>
    <w:rsid w:val="00406435"/>
    <w:rsid w:val="004066F9"/>
    <w:rsid w:val="00406CBE"/>
    <w:rsid w:val="004073DC"/>
    <w:rsid w:val="00407F4A"/>
    <w:rsid w:val="004128C1"/>
    <w:rsid w:val="004137C0"/>
    <w:rsid w:val="004138F3"/>
    <w:rsid w:val="00413BD1"/>
    <w:rsid w:val="004147EA"/>
    <w:rsid w:val="00414ABA"/>
    <w:rsid w:val="00415902"/>
    <w:rsid w:val="00415A33"/>
    <w:rsid w:val="00416A80"/>
    <w:rsid w:val="00417640"/>
    <w:rsid w:val="00421F20"/>
    <w:rsid w:val="0042364A"/>
    <w:rsid w:val="00423B63"/>
    <w:rsid w:val="004248C3"/>
    <w:rsid w:val="0042630F"/>
    <w:rsid w:val="00427BEA"/>
    <w:rsid w:val="00427EDC"/>
    <w:rsid w:val="00427EF2"/>
    <w:rsid w:val="00430120"/>
    <w:rsid w:val="0043096F"/>
    <w:rsid w:val="004313E7"/>
    <w:rsid w:val="00432542"/>
    <w:rsid w:val="00432907"/>
    <w:rsid w:val="004339B2"/>
    <w:rsid w:val="004366E6"/>
    <w:rsid w:val="00436CCB"/>
    <w:rsid w:val="00440223"/>
    <w:rsid w:val="00444A70"/>
    <w:rsid w:val="00444D85"/>
    <w:rsid w:val="00446DE2"/>
    <w:rsid w:val="0044763B"/>
    <w:rsid w:val="00447E45"/>
    <w:rsid w:val="004522DE"/>
    <w:rsid w:val="00452696"/>
    <w:rsid w:val="00453F32"/>
    <w:rsid w:val="00454665"/>
    <w:rsid w:val="00456A53"/>
    <w:rsid w:val="00457083"/>
    <w:rsid w:val="0046213C"/>
    <w:rsid w:val="00462518"/>
    <w:rsid w:val="0046266D"/>
    <w:rsid w:val="004629B3"/>
    <w:rsid w:val="00463022"/>
    <w:rsid w:val="0046376E"/>
    <w:rsid w:val="00463B50"/>
    <w:rsid w:val="00463C17"/>
    <w:rsid w:val="004647C5"/>
    <w:rsid w:val="0046587C"/>
    <w:rsid w:val="0046690F"/>
    <w:rsid w:val="0046792B"/>
    <w:rsid w:val="00471116"/>
    <w:rsid w:val="00472FEC"/>
    <w:rsid w:val="0047316D"/>
    <w:rsid w:val="00473A2A"/>
    <w:rsid w:val="0047442A"/>
    <w:rsid w:val="0047503A"/>
    <w:rsid w:val="0047600D"/>
    <w:rsid w:val="00476830"/>
    <w:rsid w:val="0047696E"/>
    <w:rsid w:val="004770F6"/>
    <w:rsid w:val="00480128"/>
    <w:rsid w:val="004812D2"/>
    <w:rsid w:val="00482D4B"/>
    <w:rsid w:val="00483617"/>
    <w:rsid w:val="00483B28"/>
    <w:rsid w:val="004858E1"/>
    <w:rsid w:val="00485EF2"/>
    <w:rsid w:val="004864A1"/>
    <w:rsid w:val="0048662B"/>
    <w:rsid w:val="00486CB5"/>
    <w:rsid w:val="0048769E"/>
    <w:rsid w:val="00490A03"/>
    <w:rsid w:val="00490B0D"/>
    <w:rsid w:val="00490E5D"/>
    <w:rsid w:val="00492782"/>
    <w:rsid w:val="00492908"/>
    <w:rsid w:val="00492B0A"/>
    <w:rsid w:val="00492D88"/>
    <w:rsid w:val="00493327"/>
    <w:rsid w:val="0049382E"/>
    <w:rsid w:val="00493B38"/>
    <w:rsid w:val="00494DBE"/>
    <w:rsid w:val="00495CE6"/>
    <w:rsid w:val="00497524"/>
    <w:rsid w:val="00497D5E"/>
    <w:rsid w:val="004A1001"/>
    <w:rsid w:val="004A144D"/>
    <w:rsid w:val="004A1D27"/>
    <w:rsid w:val="004A323C"/>
    <w:rsid w:val="004A363A"/>
    <w:rsid w:val="004A52E0"/>
    <w:rsid w:val="004A6310"/>
    <w:rsid w:val="004A66C7"/>
    <w:rsid w:val="004B0801"/>
    <w:rsid w:val="004B1117"/>
    <w:rsid w:val="004B1A6B"/>
    <w:rsid w:val="004B1FC8"/>
    <w:rsid w:val="004B2C19"/>
    <w:rsid w:val="004B339A"/>
    <w:rsid w:val="004B54E8"/>
    <w:rsid w:val="004B6B26"/>
    <w:rsid w:val="004B773C"/>
    <w:rsid w:val="004C0138"/>
    <w:rsid w:val="004C02B7"/>
    <w:rsid w:val="004C0686"/>
    <w:rsid w:val="004C0F3B"/>
    <w:rsid w:val="004C12E8"/>
    <w:rsid w:val="004C130C"/>
    <w:rsid w:val="004C1578"/>
    <w:rsid w:val="004C174B"/>
    <w:rsid w:val="004C286B"/>
    <w:rsid w:val="004C33BA"/>
    <w:rsid w:val="004C47EA"/>
    <w:rsid w:val="004C4FEB"/>
    <w:rsid w:val="004C6570"/>
    <w:rsid w:val="004C678C"/>
    <w:rsid w:val="004C6B79"/>
    <w:rsid w:val="004C7003"/>
    <w:rsid w:val="004C7345"/>
    <w:rsid w:val="004D059B"/>
    <w:rsid w:val="004D09E8"/>
    <w:rsid w:val="004D09F9"/>
    <w:rsid w:val="004D0E64"/>
    <w:rsid w:val="004D304E"/>
    <w:rsid w:val="004D4543"/>
    <w:rsid w:val="004D48A8"/>
    <w:rsid w:val="004D4CB6"/>
    <w:rsid w:val="004D4DCB"/>
    <w:rsid w:val="004D73F4"/>
    <w:rsid w:val="004E0907"/>
    <w:rsid w:val="004E20CF"/>
    <w:rsid w:val="004E2324"/>
    <w:rsid w:val="004E28C9"/>
    <w:rsid w:val="004E31E2"/>
    <w:rsid w:val="004E3341"/>
    <w:rsid w:val="004E5124"/>
    <w:rsid w:val="004E5765"/>
    <w:rsid w:val="004E5FA8"/>
    <w:rsid w:val="004E693B"/>
    <w:rsid w:val="004E7BE2"/>
    <w:rsid w:val="004E7E3A"/>
    <w:rsid w:val="004F0118"/>
    <w:rsid w:val="004F0AD4"/>
    <w:rsid w:val="004F0D08"/>
    <w:rsid w:val="004F10C1"/>
    <w:rsid w:val="004F1C5E"/>
    <w:rsid w:val="004F398A"/>
    <w:rsid w:val="004F3E47"/>
    <w:rsid w:val="004F47DC"/>
    <w:rsid w:val="004F4CC8"/>
    <w:rsid w:val="004F4F5A"/>
    <w:rsid w:val="004F51FF"/>
    <w:rsid w:val="004F56E7"/>
    <w:rsid w:val="004F5AD9"/>
    <w:rsid w:val="004F699F"/>
    <w:rsid w:val="004F7C06"/>
    <w:rsid w:val="00500061"/>
    <w:rsid w:val="00500955"/>
    <w:rsid w:val="0050159C"/>
    <w:rsid w:val="005018C2"/>
    <w:rsid w:val="00501A7D"/>
    <w:rsid w:val="005022B7"/>
    <w:rsid w:val="00502E62"/>
    <w:rsid w:val="00506B8A"/>
    <w:rsid w:val="005070F4"/>
    <w:rsid w:val="005110D3"/>
    <w:rsid w:val="00512642"/>
    <w:rsid w:val="005135FF"/>
    <w:rsid w:val="00515D8D"/>
    <w:rsid w:val="005168ED"/>
    <w:rsid w:val="00516EBC"/>
    <w:rsid w:val="00520A65"/>
    <w:rsid w:val="00521834"/>
    <w:rsid w:val="00521891"/>
    <w:rsid w:val="005218B8"/>
    <w:rsid w:val="0052212B"/>
    <w:rsid w:val="005221A8"/>
    <w:rsid w:val="005225D6"/>
    <w:rsid w:val="005230C7"/>
    <w:rsid w:val="0052329A"/>
    <w:rsid w:val="0052625A"/>
    <w:rsid w:val="005266EA"/>
    <w:rsid w:val="00527072"/>
    <w:rsid w:val="00527C1A"/>
    <w:rsid w:val="0053001D"/>
    <w:rsid w:val="0053079D"/>
    <w:rsid w:val="00533DCC"/>
    <w:rsid w:val="00534B46"/>
    <w:rsid w:val="00534CE8"/>
    <w:rsid w:val="00535018"/>
    <w:rsid w:val="00535180"/>
    <w:rsid w:val="005355DB"/>
    <w:rsid w:val="00535866"/>
    <w:rsid w:val="0053628B"/>
    <w:rsid w:val="00540358"/>
    <w:rsid w:val="00540A05"/>
    <w:rsid w:val="00540D47"/>
    <w:rsid w:val="005428D7"/>
    <w:rsid w:val="00542D43"/>
    <w:rsid w:val="0054427E"/>
    <w:rsid w:val="00544504"/>
    <w:rsid w:val="005463C3"/>
    <w:rsid w:val="005465A3"/>
    <w:rsid w:val="00547C7C"/>
    <w:rsid w:val="005506D5"/>
    <w:rsid w:val="00550864"/>
    <w:rsid w:val="00550B92"/>
    <w:rsid w:val="00551D6C"/>
    <w:rsid w:val="00553580"/>
    <w:rsid w:val="005550A8"/>
    <w:rsid w:val="0055571E"/>
    <w:rsid w:val="00556F67"/>
    <w:rsid w:val="00556FE5"/>
    <w:rsid w:val="00557849"/>
    <w:rsid w:val="00562EE3"/>
    <w:rsid w:val="00563009"/>
    <w:rsid w:val="005635B7"/>
    <w:rsid w:val="00563BC6"/>
    <w:rsid w:val="00564534"/>
    <w:rsid w:val="005652E8"/>
    <w:rsid w:val="0056772E"/>
    <w:rsid w:val="00567A17"/>
    <w:rsid w:val="0057667C"/>
    <w:rsid w:val="00576BDA"/>
    <w:rsid w:val="00577DB4"/>
    <w:rsid w:val="00581B1C"/>
    <w:rsid w:val="005826DA"/>
    <w:rsid w:val="00582943"/>
    <w:rsid w:val="00582B83"/>
    <w:rsid w:val="00582D0E"/>
    <w:rsid w:val="00582E09"/>
    <w:rsid w:val="005833F0"/>
    <w:rsid w:val="0058377F"/>
    <w:rsid w:val="00583872"/>
    <w:rsid w:val="00584F6C"/>
    <w:rsid w:val="00586280"/>
    <w:rsid w:val="005865FC"/>
    <w:rsid w:val="005869CE"/>
    <w:rsid w:val="00586CAF"/>
    <w:rsid w:val="005873E9"/>
    <w:rsid w:val="00587A90"/>
    <w:rsid w:val="00590740"/>
    <w:rsid w:val="00590A34"/>
    <w:rsid w:val="00591180"/>
    <w:rsid w:val="00592E9F"/>
    <w:rsid w:val="00595286"/>
    <w:rsid w:val="00595E5A"/>
    <w:rsid w:val="0059722C"/>
    <w:rsid w:val="005977A6"/>
    <w:rsid w:val="00597D07"/>
    <w:rsid w:val="00597DD6"/>
    <w:rsid w:val="005A16E6"/>
    <w:rsid w:val="005A30D7"/>
    <w:rsid w:val="005A3846"/>
    <w:rsid w:val="005A5E6B"/>
    <w:rsid w:val="005A678F"/>
    <w:rsid w:val="005A7DE8"/>
    <w:rsid w:val="005A7E97"/>
    <w:rsid w:val="005B0B0D"/>
    <w:rsid w:val="005B0DFE"/>
    <w:rsid w:val="005B25C1"/>
    <w:rsid w:val="005B2B19"/>
    <w:rsid w:val="005B2CD2"/>
    <w:rsid w:val="005B33E0"/>
    <w:rsid w:val="005B632A"/>
    <w:rsid w:val="005B6A58"/>
    <w:rsid w:val="005C0195"/>
    <w:rsid w:val="005C082A"/>
    <w:rsid w:val="005C2D0E"/>
    <w:rsid w:val="005C5A83"/>
    <w:rsid w:val="005C7112"/>
    <w:rsid w:val="005C74AF"/>
    <w:rsid w:val="005D0561"/>
    <w:rsid w:val="005D0AD9"/>
    <w:rsid w:val="005D1A67"/>
    <w:rsid w:val="005D1C91"/>
    <w:rsid w:val="005D22F6"/>
    <w:rsid w:val="005D5741"/>
    <w:rsid w:val="005D6774"/>
    <w:rsid w:val="005D68AA"/>
    <w:rsid w:val="005D6BD1"/>
    <w:rsid w:val="005E060E"/>
    <w:rsid w:val="005E0C30"/>
    <w:rsid w:val="005E1DCB"/>
    <w:rsid w:val="005E2377"/>
    <w:rsid w:val="005E2754"/>
    <w:rsid w:val="005E2EE4"/>
    <w:rsid w:val="005E33E0"/>
    <w:rsid w:val="005E3FBB"/>
    <w:rsid w:val="005E4ADC"/>
    <w:rsid w:val="005E66B4"/>
    <w:rsid w:val="005E69D9"/>
    <w:rsid w:val="005E6CB1"/>
    <w:rsid w:val="005E7116"/>
    <w:rsid w:val="005E7971"/>
    <w:rsid w:val="005F00E8"/>
    <w:rsid w:val="005F17D1"/>
    <w:rsid w:val="005F27F4"/>
    <w:rsid w:val="005F3239"/>
    <w:rsid w:val="005F39BF"/>
    <w:rsid w:val="005F4DB8"/>
    <w:rsid w:val="005F566C"/>
    <w:rsid w:val="005F58DA"/>
    <w:rsid w:val="005F6567"/>
    <w:rsid w:val="005F676D"/>
    <w:rsid w:val="005F7A8A"/>
    <w:rsid w:val="00600230"/>
    <w:rsid w:val="0060049E"/>
    <w:rsid w:val="006007CE"/>
    <w:rsid w:val="00600998"/>
    <w:rsid w:val="00600ACF"/>
    <w:rsid w:val="006013B7"/>
    <w:rsid w:val="006019EB"/>
    <w:rsid w:val="006027CA"/>
    <w:rsid w:val="00603902"/>
    <w:rsid w:val="00605DFE"/>
    <w:rsid w:val="00606349"/>
    <w:rsid w:val="00607094"/>
    <w:rsid w:val="00607256"/>
    <w:rsid w:val="0060790C"/>
    <w:rsid w:val="0060791E"/>
    <w:rsid w:val="00611B4C"/>
    <w:rsid w:val="00611F08"/>
    <w:rsid w:val="00613BF1"/>
    <w:rsid w:val="006144B1"/>
    <w:rsid w:val="00614A1C"/>
    <w:rsid w:val="006159CF"/>
    <w:rsid w:val="00615A5C"/>
    <w:rsid w:val="0061754C"/>
    <w:rsid w:val="006177FF"/>
    <w:rsid w:val="0062077F"/>
    <w:rsid w:val="00621BC7"/>
    <w:rsid w:val="00622033"/>
    <w:rsid w:val="0062232C"/>
    <w:rsid w:val="00623A46"/>
    <w:rsid w:val="00630644"/>
    <w:rsid w:val="006335F1"/>
    <w:rsid w:val="006336FD"/>
    <w:rsid w:val="00633B49"/>
    <w:rsid w:val="006345B6"/>
    <w:rsid w:val="006349FD"/>
    <w:rsid w:val="00635177"/>
    <w:rsid w:val="00635616"/>
    <w:rsid w:val="00635712"/>
    <w:rsid w:val="00635984"/>
    <w:rsid w:val="00635F41"/>
    <w:rsid w:val="006367C6"/>
    <w:rsid w:val="006368FF"/>
    <w:rsid w:val="006377D4"/>
    <w:rsid w:val="00640135"/>
    <w:rsid w:val="006402FF"/>
    <w:rsid w:val="0064107F"/>
    <w:rsid w:val="00641108"/>
    <w:rsid w:val="00643D8A"/>
    <w:rsid w:val="00645A5C"/>
    <w:rsid w:val="00646797"/>
    <w:rsid w:val="00647AB9"/>
    <w:rsid w:val="00650894"/>
    <w:rsid w:val="0065112B"/>
    <w:rsid w:val="00652091"/>
    <w:rsid w:val="00652229"/>
    <w:rsid w:val="00652793"/>
    <w:rsid w:val="006528DE"/>
    <w:rsid w:val="00653020"/>
    <w:rsid w:val="00654901"/>
    <w:rsid w:val="00655C89"/>
    <w:rsid w:val="00655CA6"/>
    <w:rsid w:val="00657789"/>
    <w:rsid w:val="00660196"/>
    <w:rsid w:val="00660320"/>
    <w:rsid w:val="0066187E"/>
    <w:rsid w:val="00661F33"/>
    <w:rsid w:val="00662375"/>
    <w:rsid w:val="00662590"/>
    <w:rsid w:val="006626CA"/>
    <w:rsid w:val="00663487"/>
    <w:rsid w:val="006662DE"/>
    <w:rsid w:val="00670B70"/>
    <w:rsid w:val="006711A6"/>
    <w:rsid w:val="00671571"/>
    <w:rsid w:val="00672382"/>
    <w:rsid w:val="006733BB"/>
    <w:rsid w:val="006745DD"/>
    <w:rsid w:val="00676E80"/>
    <w:rsid w:val="006802BC"/>
    <w:rsid w:val="00681257"/>
    <w:rsid w:val="00681BE9"/>
    <w:rsid w:val="00681C3E"/>
    <w:rsid w:val="00681E31"/>
    <w:rsid w:val="006822E9"/>
    <w:rsid w:val="006823EE"/>
    <w:rsid w:val="00682643"/>
    <w:rsid w:val="00682CD3"/>
    <w:rsid w:val="00682EB9"/>
    <w:rsid w:val="00682F1E"/>
    <w:rsid w:val="0068378C"/>
    <w:rsid w:val="006839D3"/>
    <w:rsid w:val="0068441A"/>
    <w:rsid w:val="00684CF3"/>
    <w:rsid w:val="00684DB2"/>
    <w:rsid w:val="0068699A"/>
    <w:rsid w:val="00687DEC"/>
    <w:rsid w:val="00690842"/>
    <w:rsid w:val="00690B19"/>
    <w:rsid w:val="00691A93"/>
    <w:rsid w:val="00695C48"/>
    <w:rsid w:val="0069650C"/>
    <w:rsid w:val="006A0A3C"/>
    <w:rsid w:val="006A1ED8"/>
    <w:rsid w:val="006A2EF9"/>
    <w:rsid w:val="006A59E9"/>
    <w:rsid w:val="006A5AB1"/>
    <w:rsid w:val="006A75B8"/>
    <w:rsid w:val="006A79F0"/>
    <w:rsid w:val="006B048F"/>
    <w:rsid w:val="006B0D77"/>
    <w:rsid w:val="006B359D"/>
    <w:rsid w:val="006B47EE"/>
    <w:rsid w:val="006B499F"/>
    <w:rsid w:val="006B4B96"/>
    <w:rsid w:val="006B54C6"/>
    <w:rsid w:val="006B617F"/>
    <w:rsid w:val="006C020A"/>
    <w:rsid w:val="006C1FB8"/>
    <w:rsid w:val="006C2BB0"/>
    <w:rsid w:val="006C33BE"/>
    <w:rsid w:val="006C4B3D"/>
    <w:rsid w:val="006C5B53"/>
    <w:rsid w:val="006C757C"/>
    <w:rsid w:val="006C7E78"/>
    <w:rsid w:val="006D064D"/>
    <w:rsid w:val="006D098F"/>
    <w:rsid w:val="006D1091"/>
    <w:rsid w:val="006D20E3"/>
    <w:rsid w:val="006D2218"/>
    <w:rsid w:val="006D33E1"/>
    <w:rsid w:val="006D42FE"/>
    <w:rsid w:val="006D451C"/>
    <w:rsid w:val="006D4996"/>
    <w:rsid w:val="006D535B"/>
    <w:rsid w:val="006D54AB"/>
    <w:rsid w:val="006D58E5"/>
    <w:rsid w:val="006D6CC0"/>
    <w:rsid w:val="006E0DDE"/>
    <w:rsid w:val="006E0F11"/>
    <w:rsid w:val="006E1084"/>
    <w:rsid w:val="006E10B2"/>
    <w:rsid w:val="006E173B"/>
    <w:rsid w:val="006E1FA9"/>
    <w:rsid w:val="006E25F2"/>
    <w:rsid w:val="006E26DE"/>
    <w:rsid w:val="006E2D24"/>
    <w:rsid w:val="006E3006"/>
    <w:rsid w:val="006E4F02"/>
    <w:rsid w:val="006E5032"/>
    <w:rsid w:val="006E5BDA"/>
    <w:rsid w:val="006E7AC9"/>
    <w:rsid w:val="006F0AF0"/>
    <w:rsid w:val="006F0FC7"/>
    <w:rsid w:val="006F39A9"/>
    <w:rsid w:val="006F3D9D"/>
    <w:rsid w:val="006F524E"/>
    <w:rsid w:val="006F5C9C"/>
    <w:rsid w:val="006F5D57"/>
    <w:rsid w:val="006F643F"/>
    <w:rsid w:val="006F66E1"/>
    <w:rsid w:val="006F670F"/>
    <w:rsid w:val="006F74EC"/>
    <w:rsid w:val="006F77F3"/>
    <w:rsid w:val="007003E9"/>
    <w:rsid w:val="0070063C"/>
    <w:rsid w:val="00700939"/>
    <w:rsid w:val="007009EF"/>
    <w:rsid w:val="00700D24"/>
    <w:rsid w:val="00700D69"/>
    <w:rsid w:val="007017D3"/>
    <w:rsid w:val="00702921"/>
    <w:rsid w:val="00703272"/>
    <w:rsid w:val="0070362C"/>
    <w:rsid w:val="0070471B"/>
    <w:rsid w:val="00705BBE"/>
    <w:rsid w:val="00706EA5"/>
    <w:rsid w:val="0070733C"/>
    <w:rsid w:val="00707436"/>
    <w:rsid w:val="007102D5"/>
    <w:rsid w:val="00710C5D"/>
    <w:rsid w:val="0071348C"/>
    <w:rsid w:val="0071413A"/>
    <w:rsid w:val="00717273"/>
    <w:rsid w:val="00720D9C"/>
    <w:rsid w:val="00720FD4"/>
    <w:rsid w:val="00721072"/>
    <w:rsid w:val="00722EF5"/>
    <w:rsid w:val="00722F57"/>
    <w:rsid w:val="0072314B"/>
    <w:rsid w:val="00723C6D"/>
    <w:rsid w:val="00724550"/>
    <w:rsid w:val="007246A0"/>
    <w:rsid w:val="00724737"/>
    <w:rsid w:val="00724AF2"/>
    <w:rsid w:val="00730624"/>
    <w:rsid w:val="0073096C"/>
    <w:rsid w:val="0073100D"/>
    <w:rsid w:val="0073133B"/>
    <w:rsid w:val="00731368"/>
    <w:rsid w:val="00731C55"/>
    <w:rsid w:val="007329B4"/>
    <w:rsid w:val="00733429"/>
    <w:rsid w:val="00733A46"/>
    <w:rsid w:val="007343F0"/>
    <w:rsid w:val="00735E2D"/>
    <w:rsid w:val="00736831"/>
    <w:rsid w:val="00736DDC"/>
    <w:rsid w:val="00736F2C"/>
    <w:rsid w:val="0073708F"/>
    <w:rsid w:val="00737335"/>
    <w:rsid w:val="007419C8"/>
    <w:rsid w:val="00741D9F"/>
    <w:rsid w:val="00742398"/>
    <w:rsid w:val="007432A9"/>
    <w:rsid w:val="00743548"/>
    <w:rsid w:val="00743ECC"/>
    <w:rsid w:val="00745C0B"/>
    <w:rsid w:val="00746050"/>
    <w:rsid w:val="00746118"/>
    <w:rsid w:val="00746C7F"/>
    <w:rsid w:val="007507B5"/>
    <w:rsid w:val="0075091D"/>
    <w:rsid w:val="00750EC4"/>
    <w:rsid w:val="00751831"/>
    <w:rsid w:val="0075201B"/>
    <w:rsid w:val="007523F8"/>
    <w:rsid w:val="007537C9"/>
    <w:rsid w:val="00753A24"/>
    <w:rsid w:val="0075430D"/>
    <w:rsid w:val="007543C1"/>
    <w:rsid w:val="00754B40"/>
    <w:rsid w:val="007558B1"/>
    <w:rsid w:val="00756614"/>
    <w:rsid w:val="007568F2"/>
    <w:rsid w:val="0075702F"/>
    <w:rsid w:val="0075779F"/>
    <w:rsid w:val="0076354B"/>
    <w:rsid w:val="007640FC"/>
    <w:rsid w:val="0076414E"/>
    <w:rsid w:val="007658F3"/>
    <w:rsid w:val="007661FA"/>
    <w:rsid w:val="00766EA2"/>
    <w:rsid w:val="00767034"/>
    <w:rsid w:val="007712DB"/>
    <w:rsid w:val="00771445"/>
    <w:rsid w:val="00771460"/>
    <w:rsid w:val="00772188"/>
    <w:rsid w:val="0077222A"/>
    <w:rsid w:val="00773909"/>
    <w:rsid w:val="0077411B"/>
    <w:rsid w:val="0077433B"/>
    <w:rsid w:val="00774AC1"/>
    <w:rsid w:val="00774E1E"/>
    <w:rsid w:val="0077796E"/>
    <w:rsid w:val="00777D6A"/>
    <w:rsid w:val="0078118A"/>
    <w:rsid w:val="007813D0"/>
    <w:rsid w:val="00781D52"/>
    <w:rsid w:val="00783746"/>
    <w:rsid w:val="007845AC"/>
    <w:rsid w:val="007845F0"/>
    <w:rsid w:val="00785993"/>
    <w:rsid w:val="00785A0D"/>
    <w:rsid w:val="00785FC4"/>
    <w:rsid w:val="007863BF"/>
    <w:rsid w:val="007864A5"/>
    <w:rsid w:val="0078663D"/>
    <w:rsid w:val="007866E2"/>
    <w:rsid w:val="00786BA3"/>
    <w:rsid w:val="00790993"/>
    <w:rsid w:val="007914A2"/>
    <w:rsid w:val="0079202F"/>
    <w:rsid w:val="0079203E"/>
    <w:rsid w:val="007934C3"/>
    <w:rsid w:val="00794903"/>
    <w:rsid w:val="00795486"/>
    <w:rsid w:val="00795AF2"/>
    <w:rsid w:val="00795E4F"/>
    <w:rsid w:val="007A0287"/>
    <w:rsid w:val="007A09FC"/>
    <w:rsid w:val="007A2AAD"/>
    <w:rsid w:val="007A39EA"/>
    <w:rsid w:val="007A4432"/>
    <w:rsid w:val="007A5326"/>
    <w:rsid w:val="007A59E9"/>
    <w:rsid w:val="007A784E"/>
    <w:rsid w:val="007A7E31"/>
    <w:rsid w:val="007B02A0"/>
    <w:rsid w:val="007B278C"/>
    <w:rsid w:val="007B2927"/>
    <w:rsid w:val="007B2DAD"/>
    <w:rsid w:val="007B3774"/>
    <w:rsid w:val="007B459E"/>
    <w:rsid w:val="007B4939"/>
    <w:rsid w:val="007B499C"/>
    <w:rsid w:val="007B4D4B"/>
    <w:rsid w:val="007B4E6D"/>
    <w:rsid w:val="007B58C6"/>
    <w:rsid w:val="007B5EE2"/>
    <w:rsid w:val="007B6F6F"/>
    <w:rsid w:val="007B76D8"/>
    <w:rsid w:val="007B7708"/>
    <w:rsid w:val="007C01B1"/>
    <w:rsid w:val="007C0646"/>
    <w:rsid w:val="007C1E5E"/>
    <w:rsid w:val="007C1E9D"/>
    <w:rsid w:val="007C3AE3"/>
    <w:rsid w:val="007C459E"/>
    <w:rsid w:val="007C4C10"/>
    <w:rsid w:val="007C6C51"/>
    <w:rsid w:val="007C6EC7"/>
    <w:rsid w:val="007D0000"/>
    <w:rsid w:val="007D03E7"/>
    <w:rsid w:val="007D2A02"/>
    <w:rsid w:val="007D5EA2"/>
    <w:rsid w:val="007D6144"/>
    <w:rsid w:val="007D62A4"/>
    <w:rsid w:val="007D6333"/>
    <w:rsid w:val="007D6CE5"/>
    <w:rsid w:val="007D77BC"/>
    <w:rsid w:val="007E0917"/>
    <w:rsid w:val="007E1736"/>
    <w:rsid w:val="007E25DD"/>
    <w:rsid w:val="007E2887"/>
    <w:rsid w:val="007E3135"/>
    <w:rsid w:val="007E3318"/>
    <w:rsid w:val="007E4FB6"/>
    <w:rsid w:val="007E51B4"/>
    <w:rsid w:val="007E6EA1"/>
    <w:rsid w:val="007E7AD5"/>
    <w:rsid w:val="007F0F63"/>
    <w:rsid w:val="007F223A"/>
    <w:rsid w:val="007F2532"/>
    <w:rsid w:val="007F2B1E"/>
    <w:rsid w:val="007F3BC1"/>
    <w:rsid w:val="007F420A"/>
    <w:rsid w:val="007F4590"/>
    <w:rsid w:val="007F5772"/>
    <w:rsid w:val="007F5BC9"/>
    <w:rsid w:val="007F62B4"/>
    <w:rsid w:val="007F7DF9"/>
    <w:rsid w:val="00800FD6"/>
    <w:rsid w:val="00801517"/>
    <w:rsid w:val="00804053"/>
    <w:rsid w:val="00804966"/>
    <w:rsid w:val="0080510A"/>
    <w:rsid w:val="0080596A"/>
    <w:rsid w:val="00805CBF"/>
    <w:rsid w:val="00806524"/>
    <w:rsid w:val="008079E2"/>
    <w:rsid w:val="00810AC4"/>
    <w:rsid w:val="0081218E"/>
    <w:rsid w:val="0081228B"/>
    <w:rsid w:val="00813492"/>
    <w:rsid w:val="00813643"/>
    <w:rsid w:val="00813A7E"/>
    <w:rsid w:val="00814DE2"/>
    <w:rsid w:val="00815620"/>
    <w:rsid w:val="008163F5"/>
    <w:rsid w:val="00816F49"/>
    <w:rsid w:val="008177EE"/>
    <w:rsid w:val="00817895"/>
    <w:rsid w:val="00817AE8"/>
    <w:rsid w:val="00817DE8"/>
    <w:rsid w:val="008229F5"/>
    <w:rsid w:val="008247B7"/>
    <w:rsid w:val="008259DE"/>
    <w:rsid w:val="0082699A"/>
    <w:rsid w:val="00827418"/>
    <w:rsid w:val="00827872"/>
    <w:rsid w:val="00827D15"/>
    <w:rsid w:val="00827F2A"/>
    <w:rsid w:val="00832633"/>
    <w:rsid w:val="00832958"/>
    <w:rsid w:val="0083342C"/>
    <w:rsid w:val="00833869"/>
    <w:rsid w:val="00833AB9"/>
    <w:rsid w:val="00833CEB"/>
    <w:rsid w:val="00835910"/>
    <w:rsid w:val="0083662B"/>
    <w:rsid w:val="008372D2"/>
    <w:rsid w:val="008377BC"/>
    <w:rsid w:val="00844C17"/>
    <w:rsid w:val="00846017"/>
    <w:rsid w:val="008465DB"/>
    <w:rsid w:val="008470BF"/>
    <w:rsid w:val="00847726"/>
    <w:rsid w:val="00850B2B"/>
    <w:rsid w:val="00850D88"/>
    <w:rsid w:val="00851033"/>
    <w:rsid w:val="00851A55"/>
    <w:rsid w:val="00851CB1"/>
    <w:rsid w:val="00852511"/>
    <w:rsid w:val="0085252F"/>
    <w:rsid w:val="008542A3"/>
    <w:rsid w:val="008558D0"/>
    <w:rsid w:val="00855FD0"/>
    <w:rsid w:val="0085679E"/>
    <w:rsid w:val="008570A5"/>
    <w:rsid w:val="008573B5"/>
    <w:rsid w:val="00857408"/>
    <w:rsid w:val="008578A9"/>
    <w:rsid w:val="0086072A"/>
    <w:rsid w:val="0086088F"/>
    <w:rsid w:val="00860C8A"/>
    <w:rsid w:val="008614F1"/>
    <w:rsid w:val="00862B6C"/>
    <w:rsid w:val="00862FD6"/>
    <w:rsid w:val="008639B3"/>
    <w:rsid w:val="00863C1A"/>
    <w:rsid w:val="00863DA3"/>
    <w:rsid w:val="0086470F"/>
    <w:rsid w:val="00865882"/>
    <w:rsid w:val="00866CDD"/>
    <w:rsid w:val="00867A66"/>
    <w:rsid w:val="008712FE"/>
    <w:rsid w:val="0087142D"/>
    <w:rsid w:val="00871A66"/>
    <w:rsid w:val="00871FF6"/>
    <w:rsid w:val="00872928"/>
    <w:rsid w:val="00872DA6"/>
    <w:rsid w:val="00873416"/>
    <w:rsid w:val="00873956"/>
    <w:rsid w:val="00874B0C"/>
    <w:rsid w:val="00874B55"/>
    <w:rsid w:val="00875377"/>
    <w:rsid w:val="0087538C"/>
    <w:rsid w:val="00875CB0"/>
    <w:rsid w:val="00876825"/>
    <w:rsid w:val="008770CC"/>
    <w:rsid w:val="00877800"/>
    <w:rsid w:val="00877C32"/>
    <w:rsid w:val="0088094B"/>
    <w:rsid w:val="00880E08"/>
    <w:rsid w:val="00880E72"/>
    <w:rsid w:val="008814A1"/>
    <w:rsid w:val="0088176E"/>
    <w:rsid w:val="0088181E"/>
    <w:rsid w:val="008825EE"/>
    <w:rsid w:val="00882DE4"/>
    <w:rsid w:val="0088313E"/>
    <w:rsid w:val="008847A5"/>
    <w:rsid w:val="0088502C"/>
    <w:rsid w:val="0088510B"/>
    <w:rsid w:val="0088596E"/>
    <w:rsid w:val="00885D26"/>
    <w:rsid w:val="00886C54"/>
    <w:rsid w:val="00886F34"/>
    <w:rsid w:val="008870ED"/>
    <w:rsid w:val="008877FC"/>
    <w:rsid w:val="00887E5A"/>
    <w:rsid w:val="00890CD9"/>
    <w:rsid w:val="00891A88"/>
    <w:rsid w:val="00891D8A"/>
    <w:rsid w:val="0089256B"/>
    <w:rsid w:val="0089542A"/>
    <w:rsid w:val="00895949"/>
    <w:rsid w:val="0089796A"/>
    <w:rsid w:val="0089799B"/>
    <w:rsid w:val="00897D9B"/>
    <w:rsid w:val="008A09DE"/>
    <w:rsid w:val="008A2375"/>
    <w:rsid w:val="008A3AC0"/>
    <w:rsid w:val="008A54B6"/>
    <w:rsid w:val="008A56FE"/>
    <w:rsid w:val="008A6622"/>
    <w:rsid w:val="008A7DEB"/>
    <w:rsid w:val="008B07C2"/>
    <w:rsid w:val="008B1B65"/>
    <w:rsid w:val="008B3557"/>
    <w:rsid w:val="008B39E0"/>
    <w:rsid w:val="008B4302"/>
    <w:rsid w:val="008B605A"/>
    <w:rsid w:val="008B6150"/>
    <w:rsid w:val="008C093B"/>
    <w:rsid w:val="008C0E76"/>
    <w:rsid w:val="008C2329"/>
    <w:rsid w:val="008C2665"/>
    <w:rsid w:val="008C2B01"/>
    <w:rsid w:val="008C2EED"/>
    <w:rsid w:val="008C308E"/>
    <w:rsid w:val="008C54D2"/>
    <w:rsid w:val="008C5CD8"/>
    <w:rsid w:val="008C6041"/>
    <w:rsid w:val="008C68D0"/>
    <w:rsid w:val="008C74E3"/>
    <w:rsid w:val="008D0936"/>
    <w:rsid w:val="008D403B"/>
    <w:rsid w:val="008D4707"/>
    <w:rsid w:val="008D50A2"/>
    <w:rsid w:val="008D76C5"/>
    <w:rsid w:val="008E077C"/>
    <w:rsid w:val="008E0A04"/>
    <w:rsid w:val="008E0AA0"/>
    <w:rsid w:val="008E0AFA"/>
    <w:rsid w:val="008E131A"/>
    <w:rsid w:val="008E2691"/>
    <w:rsid w:val="008E26B4"/>
    <w:rsid w:val="008E2799"/>
    <w:rsid w:val="008E411B"/>
    <w:rsid w:val="008E4D82"/>
    <w:rsid w:val="008E4F56"/>
    <w:rsid w:val="008E63CA"/>
    <w:rsid w:val="008E71E8"/>
    <w:rsid w:val="008E75D3"/>
    <w:rsid w:val="008E7E48"/>
    <w:rsid w:val="008F02E9"/>
    <w:rsid w:val="008F0CE4"/>
    <w:rsid w:val="008F125E"/>
    <w:rsid w:val="008F1354"/>
    <w:rsid w:val="008F1CC5"/>
    <w:rsid w:val="008F2B54"/>
    <w:rsid w:val="008F2CC5"/>
    <w:rsid w:val="008F2F3B"/>
    <w:rsid w:val="008F3112"/>
    <w:rsid w:val="008F4522"/>
    <w:rsid w:val="008F4C1E"/>
    <w:rsid w:val="008F4D2F"/>
    <w:rsid w:val="008F510A"/>
    <w:rsid w:val="008F55A2"/>
    <w:rsid w:val="00900235"/>
    <w:rsid w:val="00900760"/>
    <w:rsid w:val="00900D3C"/>
    <w:rsid w:val="00906292"/>
    <w:rsid w:val="00906FA4"/>
    <w:rsid w:val="0090713D"/>
    <w:rsid w:val="00910C40"/>
    <w:rsid w:val="00911AA1"/>
    <w:rsid w:val="00914B5B"/>
    <w:rsid w:val="00915918"/>
    <w:rsid w:val="00915A9E"/>
    <w:rsid w:val="00916EAB"/>
    <w:rsid w:val="00917162"/>
    <w:rsid w:val="009172B9"/>
    <w:rsid w:val="009178AA"/>
    <w:rsid w:val="00922BCB"/>
    <w:rsid w:val="00922C88"/>
    <w:rsid w:val="00923001"/>
    <w:rsid w:val="0092358D"/>
    <w:rsid w:val="009238BF"/>
    <w:rsid w:val="009246C9"/>
    <w:rsid w:val="009251CC"/>
    <w:rsid w:val="0092714E"/>
    <w:rsid w:val="009274C3"/>
    <w:rsid w:val="00927661"/>
    <w:rsid w:val="0093085E"/>
    <w:rsid w:val="00931E24"/>
    <w:rsid w:val="009324F0"/>
    <w:rsid w:val="00932AF8"/>
    <w:rsid w:val="00933056"/>
    <w:rsid w:val="0093478F"/>
    <w:rsid w:val="0093643F"/>
    <w:rsid w:val="00936457"/>
    <w:rsid w:val="00936826"/>
    <w:rsid w:val="0094031A"/>
    <w:rsid w:val="00940B3D"/>
    <w:rsid w:val="00942002"/>
    <w:rsid w:val="00942359"/>
    <w:rsid w:val="009446D6"/>
    <w:rsid w:val="009457DC"/>
    <w:rsid w:val="0094623A"/>
    <w:rsid w:val="00946FC5"/>
    <w:rsid w:val="00947885"/>
    <w:rsid w:val="009479C1"/>
    <w:rsid w:val="00950028"/>
    <w:rsid w:val="0095026E"/>
    <w:rsid w:val="009504AB"/>
    <w:rsid w:val="00951212"/>
    <w:rsid w:val="00951818"/>
    <w:rsid w:val="00952168"/>
    <w:rsid w:val="009527FE"/>
    <w:rsid w:val="009529B2"/>
    <w:rsid w:val="00952F6B"/>
    <w:rsid w:val="009535A6"/>
    <w:rsid w:val="009538D0"/>
    <w:rsid w:val="0095421F"/>
    <w:rsid w:val="009555CA"/>
    <w:rsid w:val="00955A9C"/>
    <w:rsid w:val="00955D69"/>
    <w:rsid w:val="00955EC7"/>
    <w:rsid w:val="009577B8"/>
    <w:rsid w:val="00957EFA"/>
    <w:rsid w:val="00960539"/>
    <w:rsid w:val="009605B1"/>
    <w:rsid w:val="00960CBC"/>
    <w:rsid w:val="00961EDD"/>
    <w:rsid w:val="009621EE"/>
    <w:rsid w:val="00963A06"/>
    <w:rsid w:val="00964B2B"/>
    <w:rsid w:val="00964DF4"/>
    <w:rsid w:val="00965192"/>
    <w:rsid w:val="0096580C"/>
    <w:rsid w:val="00965AF0"/>
    <w:rsid w:val="009670A5"/>
    <w:rsid w:val="0096715A"/>
    <w:rsid w:val="00967DD4"/>
    <w:rsid w:val="009700B1"/>
    <w:rsid w:val="00970ECF"/>
    <w:rsid w:val="00971023"/>
    <w:rsid w:val="00971261"/>
    <w:rsid w:val="00971FD4"/>
    <w:rsid w:val="009722CB"/>
    <w:rsid w:val="009739A0"/>
    <w:rsid w:val="0097461C"/>
    <w:rsid w:val="00974EE4"/>
    <w:rsid w:val="00974F84"/>
    <w:rsid w:val="00975D5B"/>
    <w:rsid w:val="00976216"/>
    <w:rsid w:val="009767C7"/>
    <w:rsid w:val="00977D30"/>
    <w:rsid w:val="009809DA"/>
    <w:rsid w:val="00980E69"/>
    <w:rsid w:val="0098334C"/>
    <w:rsid w:val="00983843"/>
    <w:rsid w:val="009839AE"/>
    <w:rsid w:val="00984175"/>
    <w:rsid w:val="0098439D"/>
    <w:rsid w:val="00984643"/>
    <w:rsid w:val="0098576C"/>
    <w:rsid w:val="0098579A"/>
    <w:rsid w:val="00986397"/>
    <w:rsid w:val="00991475"/>
    <w:rsid w:val="009918DD"/>
    <w:rsid w:val="0099195A"/>
    <w:rsid w:val="00991BD2"/>
    <w:rsid w:val="00992407"/>
    <w:rsid w:val="00992820"/>
    <w:rsid w:val="00992A11"/>
    <w:rsid w:val="009935F8"/>
    <w:rsid w:val="009936A0"/>
    <w:rsid w:val="00994681"/>
    <w:rsid w:val="0099486A"/>
    <w:rsid w:val="009968D8"/>
    <w:rsid w:val="009A0B33"/>
    <w:rsid w:val="009A0E26"/>
    <w:rsid w:val="009A16EC"/>
    <w:rsid w:val="009A1975"/>
    <w:rsid w:val="009A22C2"/>
    <w:rsid w:val="009A233A"/>
    <w:rsid w:val="009A3A07"/>
    <w:rsid w:val="009A490F"/>
    <w:rsid w:val="009A547B"/>
    <w:rsid w:val="009A743E"/>
    <w:rsid w:val="009A7CF6"/>
    <w:rsid w:val="009A7F86"/>
    <w:rsid w:val="009B1B55"/>
    <w:rsid w:val="009B29B7"/>
    <w:rsid w:val="009B3199"/>
    <w:rsid w:val="009B32AC"/>
    <w:rsid w:val="009B3520"/>
    <w:rsid w:val="009B3B37"/>
    <w:rsid w:val="009B63F4"/>
    <w:rsid w:val="009B6C6F"/>
    <w:rsid w:val="009B7216"/>
    <w:rsid w:val="009B7D1F"/>
    <w:rsid w:val="009C088E"/>
    <w:rsid w:val="009C17DC"/>
    <w:rsid w:val="009C2852"/>
    <w:rsid w:val="009C37AB"/>
    <w:rsid w:val="009C41BB"/>
    <w:rsid w:val="009C4C7A"/>
    <w:rsid w:val="009C4D35"/>
    <w:rsid w:val="009C5E51"/>
    <w:rsid w:val="009C738F"/>
    <w:rsid w:val="009C79DB"/>
    <w:rsid w:val="009C7B68"/>
    <w:rsid w:val="009D0603"/>
    <w:rsid w:val="009D0BB1"/>
    <w:rsid w:val="009D1522"/>
    <w:rsid w:val="009D3919"/>
    <w:rsid w:val="009D3E2E"/>
    <w:rsid w:val="009D51F0"/>
    <w:rsid w:val="009D51F7"/>
    <w:rsid w:val="009D7252"/>
    <w:rsid w:val="009E1FF6"/>
    <w:rsid w:val="009E3CAF"/>
    <w:rsid w:val="009E3F48"/>
    <w:rsid w:val="009E53A5"/>
    <w:rsid w:val="009E5B95"/>
    <w:rsid w:val="009E5CCE"/>
    <w:rsid w:val="009E5EB4"/>
    <w:rsid w:val="009E6215"/>
    <w:rsid w:val="009F08CB"/>
    <w:rsid w:val="009F324F"/>
    <w:rsid w:val="009F3768"/>
    <w:rsid w:val="009F456E"/>
    <w:rsid w:val="009F563C"/>
    <w:rsid w:val="009F5AE9"/>
    <w:rsid w:val="009F610E"/>
    <w:rsid w:val="009F6D34"/>
    <w:rsid w:val="009F6E9B"/>
    <w:rsid w:val="00A00DA9"/>
    <w:rsid w:val="00A00E4B"/>
    <w:rsid w:val="00A00F7E"/>
    <w:rsid w:val="00A044D6"/>
    <w:rsid w:val="00A04949"/>
    <w:rsid w:val="00A04ADB"/>
    <w:rsid w:val="00A04F89"/>
    <w:rsid w:val="00A05F11"/>
    <w:rsid w:val="00A07252"/>
    <w:rsid w:val="00A07DA4"/>
    <w:rsid w:val="00A115A6"/>
    <w:rsid w:val="00A11E0F"/>
    <w:rsid w:val="00A12378"/>
    <w:rsid w:val="00A13401"/>
    <w:rsid w:val="00A141E9"/>
    <w:rsid w:val="00A14EAD"/>
    <w:rsid w:val="00A15D78"/>
    <w:rsid w:val="00A15EBE"/>
    <w:rsid w:val="00A16618"/>
    <w:rsid w:val="00A17F5B"/>
    <w:rsid w:val="00A20196"/>
    <w:rsid w:val="00A216E5"/>
    <w:rsid w:val="00A2250A"/>
    <w:rsid w:val="00A24046"/>
    <w:rsid w:val="00A24752"/>
    <w:rsid w:val="00A24BA7"/>
    <w:rsid w:val="00A24BA8"/>
    <w:rsid w:val="00A26744"/>
    <w:rsid w:val="00A26CB6"/>
    <w:rsid w:val="00A30A00"/>
    <w:rsid w:val="00A3251C"/>
    <w:rsid w:val="00A32F82"/>
    <w:rsid w:val="00A32F8B"/>
    <w:rsid w:val="00A34032"/>
    <w:rsid w:val="00A3431E"/>
    <w:rsid w:val="00A34F9F"/>
    <w:rsid w:val="00A35AA1"/>
    <w:rsid w:val="00A36481"/>
    <w:rsid w:val="00A365E9"/>
    <w:rsid w:val="00A36675"/>
    <w:rsid w:val="00A3756F"/>
    <w:rsid w:val="00A37A5B"/>
    <w:rsid w:val="00A4014B"/>
    <w:rsid w:val="00A41CC3"/>
    <w:rsid w:val="00A41DBE"/>
    <w:rsid w:val="00A42D6F"/>
    <w:rsid w:val="00A43578"/>
    <w:rsid w:val="00A43870"/>
    <w:rsid w:val="00A44642"/>
    <w:rsid w:val="00A4474B"/>
    <w:rsid w:val="00A45717"/>
    <w:rsid w:val="00A45A62"/>
    <w:rsid w:val="00A462DC"/>
    <w:rsid w:val="00A4657C"/>
    <w:rsid w:val="00A46C7E"/>
    <w:rsid w:val="00A50BC1"/>
    <w:rsid w:val="00A51CE8"/>
    <w:rsid w:val="00A51DB8"/>
    <w:rsid w:val="00A52E0B"/>
    <w:rsid w:val="00A52FA1"/>
    <w:rsid w:val="00A54AC5"/>
    <w:rsid w:val="00A54C2A"/>
    <w:rsid w:val="00A55154"/>
    <w:rsid w:val="00A55DC3"/>
    <w:rsid w:val="00A56D41"/>
    <w:rsid w:val="00A56DEC"/>
    <w:rsid w:val="00A60529"/>
    <w:rsid w:val="00A60899"/>
    <w:rsid w:val="00A608D3"/>
    <w:rsid w:val="00A60E31"/>
    <w:rsid w:val="00A60F91"/>
    <w:rsid w:val="00A61353"/>
    <w:rsid w:val="00A61481"/>
    <w:rsid w:val="00A616F1"/>
    <w:rsid w:val="00A61A48"/>
    <w:rsid w:val="00A62312"/>
    <w:rsid w:val="00A629D6"/>
    <w:rsid w:val="00A6364F"/>
    <w:rsid w:val="00A637C9"/>
    <w:rsid w:val="00A64167"/>
    <w:rsid w:val="00A651CF"/>
    <w:rsid w:val="00A65278"/>
    <w:rsid w:val="00A66849"/>
    <w:rsid w:val="00A66DB1"/>
    <w:rsid w:val="00A67A92"/>
    <w:rsid w:val="00A70DC6"/>
    <w:rsid w:val="00A71A7F"/>
    <w:rsid w:val="00A71F56"/>
    <w:rsid w:val="00A74FDC"/>
    <w:rsid w:val="00A75658"/>
    <w:rsid w:val="00A77192"/>
    <w:rsid w:val="00A77230"/>
    <w:rsid w:val="00A8089F"/>
    <w:rsid w:val="00A80D11"/>
    <w:rsid w:val="00A81DCA"/>
    <w:rsid w:val="00A8307C"/>
    <w:rsid w:val="00A842D5"/>
    <w:rsid w:val="00A84D1B"/>
    <w:rsid w:val="00A85DD9"/>
    <w:rsid w:val="00A87870"/>
    <w:rsid w:val="00A87F87"/>
    <w:rsid w:val="00A903F3"/>
    <w:rsid w:val="00A90F18"/>
    <w:rsid w:val="00A90FFB"/>
    <w:rsid w:val="00A9149D"/>
    <w:rsid w:val="00A91A70"/>
    <w:rsid w:val="00A92659"/>
    <w:rsid w:val="00A9302F"/>
    <w:rsid w:val="00A940AF"/>
    <w:rsid w:val="00A956DA"/>
    <w:rsid w:val="00A957F6"/>
    <w:rsid w:val="00A959CF"/>
    <w:rsid w:val="00A972A9"/>
    <w:rsid w:val="00A97316"/>
    <w:rsid w:val="00A974AA"/>
    <w:rsid w:val="00A977E4"/>
    <w:rsid w:val="00AA010B"/>
    <w:rsid w:val="00AA0D54"/>
    <w:rsid w:val="00AA1B85"/>
    <w:rsid w:val="00AA24E8"/>
    <w:rsid w:val="00AA321F"/>
    <w:rsid w:val="00AA3290"/>
    <w:rsid w:val="00AA46F0"/>
    <w:rsid w:val="00AA4B5F"/>
    <w:rsid w:val="00AA4CA2"/>
    <w:rsid w:val="00AA5131"/>
    <w:rsid w:val="00AA6481"/>
    <w:rsid w:val="00AA7270"/>
    <w:rsid w:val="00AA78C2"/>
    <w:rsid w:val="00AA7E42"/>
    <w:rsid w:val="00AB0C08"/>
    <w:rsid w:val="00AB12AC"/>
    <w:rsid w:val="00AB1CB6"/>
    <w:rsid w:val="00AB1D9A"/>
    <w:rsid w:val="00AB214C"/>
    <w:rsid w:val="00AB2C47"/>
    <w:rsid w:val="00AB4A1F"/>
    <w:rsid w:val="00AB5C61"/>
    <w:rsid w:val="00AB6D87"/>
    <w:rsid w:val="00AC04AA"/>
    <w:rsid w:val="00AC3540"/>
    <w:rsid w:val="00AC3D15"/>
    <w:rsid w:val="00AC5055"/>
    <w:rsid w:val="00AD0C22"/>
    <w:rsid w:val="00AD0D7E"/>
    <w:rsid w:val="00AD1AD7"/>
    <w:rsid w:val="00AD1AE2"/>
    <w:rsid w:val="00AD2180"/>
    <w:rsid w:val="00AD3290"/>
    <w:rsid w:val="00AD442C"/>
    <w:rsid w:val="00AD44FE"/>
    <w:rsid w:val="00AD5A37"/>
    <w:rsid w:val="00AD67D2"/>
    <w:rsid w:val="00AD73BF"/>
    <w:rsid w:val="00AE05A4"/>
    <w:rsid w:val="00AE177E"/>
    <w:rsid w:val="00AE18EB"/>
    <w:rsid w:val="00AE244E"/>
    <w:rsid w:val="00AE25FC"/>
    <w:rsid w:val="00AE4001"/>
    <w:rsid w:val="00AE400C"/>
    <w:rsid w:val="00AE4291"/>
    <w:rsid w:val="00AE4461"/>
    <w:rsid w:val="00AE49F1"/>
    <w:rsid w:val="00AE4A1C"/>
    <w:rsid w:val="00AE4B7A"/>
    <w:rsid w:val="00AE5366"/>
    <w:rsid w:val="00AE5399"/>
    <w:rsid w:val="00AE5532"/>
    <w:rsid w:val="00AE7351"/>
    <w:rsid w:val="00AE74D8"/>
    <w:rsid w:val="00AF0B6F"/>
    <w:rsid w:val="00AF1B37"/>
    <w:rsid w:val="00AF1D69"/>
    <w:rsid w:val="00AF1DE9"/>
    <w:rsid w:val="00AF2D3B"/>
    <w:rsid w:val="00AF30D0"/>
    <w:rsid w:val="00AF3FEC"/>
    <w:rsid w:val="00AF41FA"/>
    <w:rsid w:val="00AF551F"/>
    <w:rsid w:val="00AF581E"/>
    <w:rsid w:val="00AF71EB"/>
    <w:rsid w:val="00B00988"/>
    <w:rsid w:val="00B01405"/>
    <w:rsid w:val="00B03778"/>
    <w:rsid w:val="00B04955"/>
    <w:rsid w:val="00B052E8"/>
    <w:rsid w:val="00B0553A"/>
    <w:rsid w:val="00B05CCA"/>
    <w:rsid w:val="00B0701C"/>
    <w:rsid w:val="00B100C9"/>
    <w:rsid w:val="00B10E8A"/>
    <w:rsid w:val="00B11099"/>
    <w:rsid w:val="00B1118A"/>
    <w:rsid w:val="00B13624"/>
    <w:rsid w:val="00B14271"/>
    <w:rsid w:val="00B14B4F"/>
    <w:rsid w:val="00B16270"/>
    <w:rsid w:val="00B166F8"/>
    <w:rsid w:val="00B17C8C"/>
    <w:rsid w:val="00B22578"/>
    <w:rsid w:val="00B23541"/>
    <w:rsid w:val="00B23C16"/>
    <w:rsid w:val="00B23C52"/>
    <w:rsid w:val="00B241F2"/>
    <w:rsid w:val="00B247C7"/>
    <w:rsid w:val="00B24A42"/>
    <w:rsid w:val="00B259E1"/>
    <w:rsid w:val="00B2685D"/>
    <w:rsid w:val="00B26CB1"/>
    <w:rsid w:val="00B26D1E"/>
    <w:rsid w:val="00B30351"/>
    <w:rsid w:val="00B32315"/>
    <w:rsid w:val="00B32601"/>
    <w:rsid w:val="00B3270B"/>
    <w:rsid w:val="00B327B0"/>
    <w:rsid w:val="00B33837"/>
    <w:rsid w:val="00B33C2A"/>
    <w:rsid w:val="00B33C35"/>
    <w:rsid w:val="00B34A14"/>
    <w:rsid w:val="00B35967"/>
    <w:rsid w:val="00B363D9"/>
    <w:rsid w:val="00B40EAF"/>
    <w:rsid w:val="00B422EC"/>
    <w:rsid w:val="00B44335"/>
    <w:rsid w:val="00B44875"/>
    <w:rsid w:val="00B44C07"/>
    <w:rsid w:val="00B46320"/>
    <w:rsid w:val="00B46574"/>
    <w:rsid w:val="00B4657A"/>
    <w:rsid w:val="00B471F4"/>
    <w:rsid w:val="00B47F0A"/>
    <w:rsid w:val="00B508B8"/>
    <w:rsid w:val="00B50B6B"/>
    <w:rsid w:val="00B529CA"/>
    <w:rsid w:val="00B53E3E"/>
    <w:rsid w:val="00B54329"/>
    <w:rsid w:val="00B54885"/>
    <w:rsid w:val="00B548CE"/>
    <w:rsid w:val="00B54BFF"/>
    <w:rsid w:val="00B554C9"/>
    <w:rsid w:val="00B5592E"/>
    <w:rsid w:val="00B56AD9"/>
    <w:rsid w:val="00B56EE3"/>
    <w:rsid w:val="00B57158"/>
    <w:rsid w:val="00B5778D"/>
    <w:rsid w:val="00B607D2"/>
    <w:rsid w:val="00B60EF2"/>
    <w:rsid w:val="00B614C0"/>
    <w:rsid w:val="00B62B2A"/>
    <w:rsid w:val="00B634AB"/>
    <w:rsid w:val="00B63533"/>
    <w:rsid w:val="00B63624"/>
    <w:rsid w:val="00B6678B"/>
    <w:rsid w:val="00B671F2"/>
    <w:rsid w:val="00B7037B"/>
    <w:rsid w:val="00B712E7"/>
    <w:rsid w:val="00B71489"/>
    <w:rsid w:val="00B71798"/>
    <w:rsid w:val="00B719F6"/>
    <w:rsid w:val="00B726D4"/>
    <w:rsid w:val="00B72969"/>
    <w:rsid w:val="00B72FA4"/>
    <w:rsid w:val="00B758FD"/>
    <w:rsid w:val="00B76807"/>
    <w:rsid w:val="00B77346"/>
    <w:rsid w:val="00B77D24"/>
    <w:rsid w:val="00B80A8C"/>
    <w:rsid w:val="00B81A6C"/>
    <w:rsid w:val="00B8214F"/>
    <w:rsid w:val="00B82B43"/>
    <w:rsid w:val="00B82B48"/>
    <w:rsid w:val="00B83F8B"/>
    <w:rsid w:val="00B85133"/>
    <w:rsid w:val="00B8643A"/>
    <w:rsid w:val="00B86A4F"/>
    <w:rsid w:val="00B91225"/>
    <w:rsid w:val="00B91F86"/>
    <w:rsid w:val="00B92F21"/>
    <w:rsid w:val="00B93035"/>
    <w:rsid w:val="00B93988"/>
    <w:rsid w:val="00B940EB"/>
    <w:rsid w:val="00B942EF"/>
    <w:rsid w:val="00B9431C"/>
    <w:rsid w:val="00B95798"/>
    <w:rsid w:val="00B958E8"/>
    <w:rsid w:val="00B97637"/>
    <w:rsid w:val="00B97E4A"/>
    <w:rsid w:val="00BA09B2"/>
    <w:rsid w:val="00BA0F35"/>
    <w:rsid w:val="00BA1179"/>
    <w:rsid w:val="00BA25EB"/>
    <w:rsid w:val="00BA465D"/>
    <w:rsid w:val="00BA52C0"/>
    <w:rsid w:val="00BA5B46"/>
    <w:rsid w:val="00BA63D4"/>
    <w:rsid w:val="00BA6770"/>
    <w:rsid w:val="00BB054C"/>
    <w:rsid w:val="00BB0AB3"/>
    <w:rsid w:val="00BB1D8C"/>
    <w:rsid w:val="00BB220C"/>
    <w:rsid w:val="00BB256A"/>
    <w:rsid w:val="00BB2D73"/>
    <w:rsid w:val="00BB400D"/>
    <w:rsid w:val="00BB45BA"/>
    <w:rsid w:val="00BB48B2"/>
    <w:rsid w:val="00BB4A3A"/>
    <w:rsid w:val="00BB4D6A"/>
    <w:rsid w:val="00BB5D0B"/>
    <w:rsid w:val="00BB617E"/>
    <w:rsid w:val="00BB629C"/>
    <w:rsid w:val="00BB75C5"/>
    <w:rsid w:val="00BC0995"/>
    <w:rsid w:val="00BC0A4C"/>
    <w:rsid w:val="00BC13C1"/>
    <w:rsid w:val="00BC1761"/>
    <w:rsid w:val="00BC19ED"/>
    <w:rsid w:val="00BC23AC"/>
    <w:rsid w:val="00BC26B9"/>
    <w:rsid w:val="00BC36D4"/>
    <w:rsid w:val="00BC513A"/>
    <w:rsid w:val="00BC6C56"/>
    <w:rsid w:val="00BC6DE2"/>
    <w:rsid w:val="00BC6E62"/>
    <w:rsid w:val="00BD013A"/>
    <w:rsid w:val="00BD07B0"/>
    <w:rsid w:val="00BD0E5B"/>
    <w:rsid w:val="00BD1DE3"/>
    <w:rsid w:val="00BD2510"/>
    <w:rsid w:val="00BD3425"/>
    <w:rsid w:val="00BD34AA"/>
    <w:rsid w:val="00BD3A53"/>
    <w:rsid w:val="00BD5A19"/>
    <w:rsid w:val="00BD656A"/>
    <w:rsid w:val="00BD6A0B"/>
    <w:rsid w:val="00BD6D1B"/>
    <w:rsid w:val="00BE13AB"/>
    <w:rsid w:val="00BE1906"/>
    <w:rsid w:val="00BE2403"/>
    <w:rsid w:val="00BE2D0A"/>
    <w:rsid w:val="00BE42A3"/>
    <w:rsid w:val="00BE47D4"/>
    <w:rsid w:val="00BE793A"/>
    <w:rsid w:val="00BE7A0B"/>
    <w:rsid w:val="00BF114D"/>
    <w:rsid w:val="00BF28DA"/>
    <w:rsid w:val="00BF2B82"/>
    <w:rsid w:val="00BF2CEB"/>
    <w:rsid w:val="00BF432A"/>
    <w:rsid w:val="00BF46ED"/>
    <w:rsid w:val="00BF5D70"/>
    <w:rsid w:val="00BF62B7"/>
    <w:rsid w:val="00BF64A6"/>
    <w:rsid w:val="00BF6796"/>
    <w:rsid w:val="00BF69D7"/>
    <w:rsid w:val="00BF6E82"/>
    <w:rsid w:val="00C0460A"/>
    <w:rsid w:val="00C0487A"/>
    <w:rsid w:val="00C060C7"/>
    <w:rsid w:val="00C06DCC"/>
    <w:rsid w:val="00C07F92"/>
    <w:rsid w:val="00C10EA4"/>
    <w:rsid w:val="00C11D25"/>
    <w:rsid w:val="00C12FAE"/>
    <w:rsid w:val="00C13217"/>
    <w:rsid w:val="00C15BEC"/>
    <w:rsid w:val="00C15DB5"/>
    <w:rsid w:val="00C16AF0"/>
    <w:rsid w:val="00C208E2"/>
    <w:rsid w:val="00C20D11"/>
    <w:rsid w:val="00C20D6E"/>
    <w:rsid w:val="00C21897"/>
    <w:rsid w:val="00C22054"/>
    <w:rsid w:val="00C2288E"/>
    <w:rsid w:val="00C22B54"/>
    <w:rsid w:val="00C230C6"/>
    <w:rsid w:val="00C232DB"/>
    <w:rsid w:val="00C24279"/>
    <w:rsid w:val="00C24C17"/>
    <w:rsid w:val="00C25DB0"/>
    <w:rsid w:val="00C2653F"/>
    <w:rsid w:val="00C27AA1"/>
    <w:rsid w:val="00C31595"/>
    <w:rsid w:val="00C31B25"/>
    <w:rsid w:val="00C33052"/>
    <w:rsid w:val="00C3309D"/>
    <w:rsid w:val="00C3411D"/>
    <w:rsid w:val="00C34357"/>
    <w:rsid w:val="00C34829"/>
    <w:rsid w:val="00C34AB6"/>
    <w:rsid w:val="00C363B8"/>
    <w:rsid w:val="00C36595"/>
    <w:rsid w:val="00C3758F"/>
    <w:rsid w:val="00C40B88"/>
    <w:rsid w:val="00C41852"/>
    <w:rsid w:val="00C44489"/>
    <w:rsid w:val="00C44D0E"/>
    <w:rsid w:val="00C44FC2"/>
    <w:rsid w:val="00C452D4"/>
    <w:rsid w:val="00C457DD"/>
    <w:rsid w:val="00C458FF"/>
    <w:rsid w:val="00C475EF"/>
    <w:rsid w:val="00C47D87"/>
    <w:rsid w:val="00C47EEF"/>
    <w:rsid w:val="00C47FCD"/>
    <w:rsid w:val="00C50FA6"/>
    <w:rsid w:val="00C52DD5"/>
    <w:rsid w:val="00C5376E"/>
    <w:rsid w:val="00C554C1"/>
    <w:rsid w:val="00C55AEE"/>
    <w:rsid w:val="00C5701B"/>
    <w:rsid w:val="00C5735F"/>
    <w:rsid w:val="00C576DB"/>
    <w:rsid w:val="00C6069A"/>
    <w:rsid w:val="00C61BDC"/>
    <w:rsid w:val="00C64D40"/>
    <w:rsid w:val="00C65957"/>
    <w:rsid w:val="00C65F34"/>
    <w:rsid w:val="00C66218"/>
    <w:rsid w:val="00C6636E"/>
    <w:rsid w:val="00C677C9"/>
    <w:rsid w:val="00C70DBC"/>
    <w:rsid w:val="00C71E80"/>
    <w:rsid w:val="00C72C57"/>
    <w:rsid w:val="00C7537E"/>
    <w:rsid w:val="00C75B01"/>
    <w:rsid w:val="00C76080"/>
    <w:rsid w:val="00C762A2"/>
    <w:rsid w:val="00C766D0"/>
    <w:rsid w:val="00C766E1"/>
    <w:rsid w:val="00C7750A"/>
    <w:rsid w:val="00C80467"/>
    <w:rsid w:val="00C80600"/>
    <w:rsid w:val="00C808A6"/>
    <w:rsid w:val="00C82433"/>
    <w:rsid w:val="00C82B81"/>
    <w:rsid w:val="00C84AC6"/>
    <w:rsid w:val="00C855C5"/>
    <w:rsid w:val="00C855DB"/>
    <w:rsid w:val="00C855F3"/>
    <w:rsid w:val="00C86270"/>
    <w:rsid w:val="00C8634B"/>
    <w:rsid w:val="00C86C49"/>
    <w:rsid w:val="00C90C20"/>
    <w:rsid w:val="00C948CF"/>
    <w:rsid w:val="00C94F6F"/>
    <w:rsid w:val="00C95798"/>
    <w:rsid w:val="00C95A74"/>
    <w:rsid w:val="00C97091"/>
    <w:rsid w:val="00C97260"/>
    <w:rsid w:val="00C97348"/>
    <w:rsid w:val="00C97391"/>
    <w:rsid w:val="00CA145A"/>
    <w:rsid w:val="00CA14A5"/>
    <w:rsid w:val="00CA1A7C"/>
    <w:rsid w:val="00CA1AB8"/>
    <w:rsid w:val="00CA2001"/>
    <w:rsid w:val="00CA2061"/>
    <w:rsid w:val="00CA2B10"/>
    <w:rsid w:val="00CA37A2"/>
    <w:rsid w:val="00CA3F11"/>
    <w:rsid w:val="00CA5256"/>
    <w:rsid w:val="00CA5564"/>
    <w:rsid w:val="00CB078E"/>
    <w:rsid w:val="00CB2607"/>
    <w:rsid w:val="00CB347E"/>
    <w:rsid w:val="00CB3782"/>
    <w:rsid w:val="00CB4D20"/>
    <w:rsid w:val="00CB4E6C"/>
    <w:rsid w:val="00CB5B6C"/>
    <w:rsid w:val="00CB74E3"/>
    <w:rsid w:val="00CC00ED"/>
    <w:rsid w:val="00CC052E"/>
    <w:rsid w:val="00CC06E5"/>
    <w:rsid w:val="00CC0B14"/>
    <w:rsid w:val="00CC0CED"/>
    <w:rsid w:val="00CC2031"/>
    <w:rsid w:val="00CC5B9C"/>
    <w:rsid w:val="00CC7720"/>
    <w:rsid w:val="00CD02DF"/>
    <w:rsid w:val="00CD10A5"/>
    <w:rsid w:val="00CD16BE"/>
    <w:rsid w:val="00CD179F"/>
    <w:rsid w:val="00CD1F32"/>
    <w:rsid w:val="00CD2268"/>
    <w:rsid w:val="00CD24AC"/>
    <w:rsid w:val="00CD2778"/>
    <w:rsid w:val="00CD4616"/>
    <w:rsid w:val="00CD56AF"/>
    <w:rsid w:val="00CD5AF4"/>
    <w:rsid w:val="00CD5FFA"/>
    <w:rsid w:val="00CD608B"/>
    <w:rsid w:val="00CD61BB"/>
    <w:rsid w:val="00CD67E4"/>
    <w:rsid w:val="00CE33D5"/>
    <w:rsid w:val="00CE4712"/>
    <w:rsid w:val="00CE6073"/>
    <w:rsid w:val="00CE625F"/>
    <w:rsid w:val="00CE761C"/>
    <w:rsid w:val="00CF32C0"/>
    <w:rsid w:val="00CF3D16"/>
    <w:rsid w:val="00CF4118"/>
    <w:rsid w:val="00CF5D37"/>
    <w:rsid w:val="00CF6353"/>
    <w:rsid w:val="00CF6F33"/>
    <w:rsid w:val="00CF7C7B"/>
    <w:rsid w:val="00D0147F"/>
    <w:rsid w:val="00D01755"/>
    <w:rsid w:val="00D0176E"/>
    <w:rsid w:val="00D02248"/>
    <w:rsid w:val="00D03EAD"/>
    <w:rsid w:val="00D04429"/>
    <w:rsid w:val="00D04435"/>
    <w:rsid w:val="00D04B47"/>
    <w:rsid w:val="00D04E37"/>
    <w:rsid w:val="00D04EC3"/>
    <w:rsid w:val="00D063B8"/>
    <w:rsid w:val="00D06825"/>
    <w:rsid w:val="00D06B35"/>
    <w:rsid w:val="00D07467"/>
    <w:rsid w:val="00D07697"/>
    <w:rsid w:val="00D076E6"/>
    <w:rsid w:val="00D10594"/>
    <w:rsid w:val="00D148D9"/>
    <w:rsid w:val="00D15CDD"/>
    <w:rsid w:val="00D17185"/>
    <w:rsid w:val="00D17E3B"/>
    <w:rsid w:val="00D2010C"/>
    <w:rsid w:val="00D22A9A"/>
    <w:rsid w:val="00D2306F"/>
    <w:rsid w:val="00D233A1"/>
    <w:rsid w:val="00D23C09"/>
    <w:rsid w:val="00D23CED"/>
    <w:rsid w:val="00D241D1"/>
    <w:rsid w:val="00D24BD2"/>
    <w:rsid w:val="00D24C2D"/>
    <w:rsid w:val="00D254F7"/>
    <w:rsid w:val="00D2573D"/>
    <w:rsid w:val="00D260A2"/>
    <w:rsid w:val="00D26AE2"/>
    <w:rsid w:val="00D272E9"/>
    <w:rsid w:val="00D30CC6"/>
    <w:rsid w:val="00D30DA4"/>
    <w:rsid w:val="00D31722"/>
    <w:rsid w:val="00D31C80"/>
    <w:rsid w:val="00D31D9F"/>
    <w:rsid w:val="00D3260C"/>
    <w:rsid w:val="00D32DE6"/>
    <w:rsid w:val="00D33DB5"/>
    <w:rsid w:val="00D34C71"/>
    <w:rsid w:val="00D35790"/>
    <w:rsid w:val="00D407F1"/>
    <w:rsid w:val="00D41971"/>
    <w:rsid w:val="00D442D5"/>
    <w:rsid w:val="00D449EB"/>
    <w:rsid w:val="00D45043"/>
    <w:rsid w:val="00D4757A"/>
    <w:rsid w:val="00D5070C"/>
    <w:rsid w:val="00D51576"/>
    <w:rsid w:val="00D51742"/>
    <w:rsid w:val="00D519AF"/>
    <w:rsid w:val="00D51A4E"/>
    <w:rsid w:val="00D51F67"/>
    <w:rsid w:val="00D532A9"/>
    <w:rsid w:val="00D5437A"/>
    <w:rsid w:val="00D547C7"/>
    <w:rsid w:val="00D548AD"/>
    <w:rsid w:val="00D54E4D"/>
    <w:rsid w:val="00D5611E"/>
    <w:rsid w:val="00D5653B"/>
    <w:rsid w:val="00D5655D"/>
    <w:rsid w:val="00D567C0"/>
    <w:rsid w:val="00D56C30"/>
    <w:rsid w:val="00D56DF7"/>
    <w:rsid w:val="00D571F9"/>
    <w:rsid w:val="00D5726D"/>
    <w:rsid w:val="00D572AC"/>
    <w:rsid w:val="00D6018B"/>
    <w:rsid w:val="00D6071F"/>
    <w:rsid w:val="00D60AA4"/>
    <w:rsid w:val="00D61177"/>
    <w:rsid w:val="00D619EF"/>
    <w:rsid w:val="00D61D6E"/>
    <w:rsid w:val="00D624F7"/>
    <w:rsid w:val="00D62A31"/>
    <w:rsid w:val="00D62EF1"/>
    <w:rsid w:val="00D6309D"/>
    <w:rsid w:val="00D634F9"/>
    <w:rsid w:val="00D6389F"/>
    <w:rsid w:val="00D644CA"/>
    <w:rsid w:val="00D64EA0"/>
    <w:rsid w:val="00D66FC2"/>
    <w:rsid w:val="00D7044E"/>
    <w:rsid w:val="00D704A8"/>
    <w:rsid w:val="00D70930"/>
    <w:rsid w:val="00D70CA5"/>
    <w:rsid w:val="00D72B75"/>
    <w:rsid w:val="00D7308C"/>
    <w:rsid w:val="00D745CD"/>
    <w:rsid w:val="00D758F4"/>
    <w:rsid w:val="00D76059"/>
    <w:rsid w:val="00D76AA4"/>
    <w:rsid w:val="00D76C7E"/>
    <w:rsid w:val="00D771DE"/>
    <w:rsid w:val="00D7776D"/>
    <w:rsid w:val="00D80C6C"/>
    <w:rsid w:val="00D81384"/>
    <w:rsid w:val="00D81AEF"/>
    <w:rsid w:val="00D82A42"/>
    <w:rsid w:val="00D834F1"/>
    <w:rsid w:val="00D83609"/>
    <w:rsid w:val="00D83AA6"/>
    <w:rsid w:val="00D841BC"/>
    <w:rsid w:val="00D84332"/>
    <w:rsid w:val="00D84777"/>
    <w:rsid w:val="00D851C7"/>
    <w:rsid w:val="00D85C0D"/>
    <w:rsid w:val="00D860D1"/>
    <w:rsid w:val="00D86191"/>
    <w:rsid w:val="00D866CB"/>
    <w:rsid w:val="00D86909"/>
    <w:rsid w:val="00D87A9A"/>
    <w:rsid w:val="00D90625"/>
    <w:rsid w:val="00D909F8"/>
    <w:rsid w:val="00D9152C"/>
    <w:rsid w:val="00D92179"/>
    <w:rsid w:val="00D922C6"/>
    <w:rsid w:val="00D9293F"/>
    <w:rsid w:val="00D92DE7"/>
    <w:rsid w:val="00D934E9"/>
    <w:rsid w:val="00D93598"/>
    <w:rsid w:val="00D93FDD"/>
    <w:rsid w:val="00D942F8"/>
    <w:rsid w:val="00D95E36"/>
    <w:rsid w:val="00D96325"/>
    <w:rsid w:val="00D9644B"/>
    <w:rsid w:val="00D97844"/>
    <w:rsid w:val="00D97A5B"/>
    <w:rsid w:val="00DA1DB1"/>
    <w:rsid w:val="00DA1E18"/>
    <w:rsid w:val="00DA2009"/>
    <w:rsid w:val="00DA25C2"/>
    <w:rsid w:val="00DA296C"/>
    <w:rsid w:val="00DA5410"/>
    <w:rsid w:val="00DA5833"/>
    <w:rsid w:val="00DA585A"/>
    <w:rsid w:val="00DA7741"/>
    <w:rsid w:val="00DA7769"/>
    <w:rsid w:val="00DB05B1"/>
    <w:rsid w:val="00DB11FA"/>
    <w:rsid w:val="00DB2823"/>
    <w:rsid w:val="00DB28AD"/>
    <w:rsid w:val="00DB2D74"/>
    <w:rsid w:val="00DB3786"/>
    <w:rsid w:val="00DB3910"/>
    <w:rsid w:val="00DB553E"/>
    <w:rsid w:val="00DB59E8"/>
    <w:rsid w:val="00DB5A79"/>
    <w:rsid w:val="00DB7341"/>
    <w:rsid w:val="00DC22E2"/>
    <w:rsid w:val="00DC2465"/>
    <w:rsid w:val="00DC4BCA"/>
    <w:rsid w:val="00DC5CA4"/>
    <w:rsid w:val="00DC5CDA"/>
    <w:rsid w:val="00DC5E2C"/>
    <w:rsid w:val="00DC69DB"/>
    <w:rsid w:val="00DC6B80"/>
    <w:rsid w:val="00DC7497"/>
    <w:rsid w:val="00DC7D48"/>
    <w:rsid w:val="00DD0253"/>
    <w:rsid w:val="00DD145A"/>
    <w:rsid w:val="00DD512E"/>
    <w:rsid w:val="00DD560D"/>
    <w:rsid w:val="00DD5700"/>
    <w:rsid w:val="00DD5EC8"/>
    <w:rsid w:val="00DD6BE2"/>
    <w:rsid w:val="00DD7B34"/>
    <w:rsid w:val="00DD7BEC"/>
    <w:rsid w:val="00DE06C9"/>
    <w:rsid w:val="00DE083E"/>
    <w:rsid w:val="00DE0C22"/>
    <w:rsid w:val="00DE1177"/>
    <w:rsid w:val="00DE1698"/>
    <w:rsid w:val="00DE2CEA"/>
    <w:rsid w:val="00DE3CFE"/>
    <w:rsid w:val="00DE515B"/>
    <w:rsid w:val="00DE567C"/>
    <w:rsid w:val="00DE6154"/>
    <w:rsid w:val="00DE634D"/>
    <w:rsid w:val="00DE6A3C"/>
    <w:rsid w:val="00DE6C0E"/>
    <w:rsid w:val="00DE74F4"/>
    <w:rsid w:val="00DE7823"/>
    <w:rsid w:val="00DE7C8B"/>
    <w:rsid w:val="00DE7F97"/>
    <w:rsid w:val="00DF0AAF"/>
    <w:rsid w:val="00DF1010"/>
    <w:rsid w:val="00DF1E7E"/>
    <w:rsid w:val="00DF2244"/>
    <w:rsid w:val="00DF295F"/>
    <w:rsid w:val="00DF334D"/>
    <w:rsid w:val="00DF53D9"/>
    <w:rsid w:val="00DF5AEA"/>
    <w:rsid w:val="00DF5D49"/>
    <w:rsid w:val="00DF614D"/>
    <w:rsid w:val="00DF627E"/>
    <w:rsid w:val="00DF63F6"/>
    <w:rsid w:val="00DF68D3"/>
    <w:rsid w:val="00DF7992"/>
    <w:rsid w:val="00DF7B43"/>
    <w:rsid w:val="00DF7BD0"/>
    <w:rsid w:val="00E003E6"/>
    <w:rsid w:val="00E0045E"/>
    <w:rsid w:val="00E00482"/>
    <w:rsid w:val="00E00C8E"/>
    <w:rsid w:val="00E0219D"/>
    <w:rsid w:val="00E0276A"/>
    <w:rsid w:val="00E0374B"/>
    <w:rsid w:val="00E0632F"/>
    <w:rsid w:val="00E06C36"/>
    <w:rsid w:val="00E071A9"/>
    <w:rsid w:val="00E07D26"/>
    <w:rsid w:val="00E106E4"/>
    <w:rsid w:val="00E10B28"/>
    <w:rsid w:val="00E10F79"/>
    <w:rsid w:val="00E114AA"/>
    <w:rsid w:val="00E117FD"/>
    <w:rsid w:val="00E13747"/>
    <w:rsid w:val="00E14758"/>
    <w:rsid w:val="00E20348"/>
    <w:rsid w:val="00E21088"/>
    <w:rsid w:val="00E21942"/>
    <w:rsid w:val="00E23C5E"/>
    <w:rsid w:val="00E23CCB"/>
    <w:rsid w:val="00E23E29"/>
    <w:rsid w:val="00E24632"/>
    <w:rsid w:val="00E24DB1"/>
    <w:rsid w:val="00E25155"/>
    <w:rsid w:val="00E25AEA"/>
    <w:rsid w:val="00E27C2C"/>
    <w:rsid w:val="00E30D26"/>
    <w:rsid w:val="00E30DEF"/>
    <w:rsid w:val="00E30ED2"/>
    <w:rsid w:val="00E31276"/>
    <w:rsid w:val="00E3155D"/>
    <w:rsid w:val="00E31579"/>
    <w:rsid w:val="00E31E3B"/>
    <w:rsid w:val="00E32102"/>
    <w:rsid w:val="00E33207"/>
    <w:rsid w:val="00E34666"/>
    <w:rsid w:val="00E34793"/>
    <w:rsid w:val="00E35190"/>
    <w:rsid w:val="00E36A66"/>
    <w:rsid w:val="00E37F70"/>
    <w:rsid w:val="00E405D8"/>
    <w:rsid w:val="00E41377"/>
    <w:rsid w:val="00E41985"/>
    <w:rsid w:val="00E42B89"/>
    <w:rsid w:val="00E4403D"/>
    <w:rsid w:val="00E446C1"/>
    <w:rsid w:val="00E45C53"/>
    <w:rsid w:val="00E46BCD"/>
    <w:rsid w:val="00E46D1E"/>
    <w:rsid w:val="00E47C88"/>
    <w:rsid w:val="00E51857"/>
    <w:rsid w:val="00E51CCC"/>
    <w:rsid w:val="00E52079"/>
    <w:rsid w:val="00E53247"/>
    <w:rsid w:val="00E5336E"/>
    <w:rsid w:val="00E53B7B"/>
    <w:rsid w:val="00E545D7"/>
    <w:rsid w:val="00E547FE"/>
    <w:rsid w:val="00E54960"/>
    <w:rsid w:val="00E55927"/>
    <w:rsid w:val="00E55D7F"/>
    <w:rsid w:val="00E561E6"/>
    <w:rsid w:val="00E5669C"/>
    <w:rsid w:val="00E56A58"/>
    <w:rsid w:val="00E60ECA"/>
    <w:rsid w:val="00E613AB"/>
    <w:rsid w:val="00E6168B"/>
    <w:rsid w:val="00E61A7F"/>
    <w:rsid w:val="00E634D2"/>
    <w:rsid w:val="00E637B6"/>
    <w:rsid w:val="00E6460A"/>
    <w:rsid w:val="00E663B6"/>
    <w:rsid w:val="00E66BBE"/>
    <w:rsid w:val="00E670B5"/>
    <w:rsid w:val="00E6780D"/>
    <w:rsid w:val="00E67B4F"/>
    <w:rsid w:val="00E7169A"/>
    <w:rsid w:val="00E716A7"/>
    <w:rsid w:val="00E71DFE"/>
    <w:rsid w:val="00E7215F"/>
    <w:rsid w:val="00E73083"/>
    <w:rsid w:val="00E74AF4"/>
    <w:rsid w:val="00E751E6"/>
    <w:rsid w:val="00E75412"/>
    <w:rsid w:val="00E756E4"/>
    <w:rsid w:val="00E758B9"/>
    <w:rsid w:val="00E76025"/>
    <w:rsid w:val="00E76B45"/>
    <w:rsid w:val="00E76C67"/>
    <w:rsid w:val="00E8066B"/>
    <w:rsid w:val="00E806A5"/>
    <w:rsid w:val="00E816E4"/>
    <w:rsid w:val="00E81BC1"/>
    <w:rsid w:val="00E82FE5"/>
    <w:rsid w:val="00E83724"/>
    <w:rsid w:val="00E84236"/>
    <w:rsid w:val="00E843A4"/>
    <w:rsid w:val="00E8470B"/>
    <w:rsid w:val="00E84C02"/>
    <w:rsid w:val="00E85569"/>
    <w:rsid w:val="00E856AF"/>
    <w:rsid w:val="00E859D9"/>
    <w:rsid w:val="00E86B83"/>
    <w:rsid w:val="00E86D6E"/>
    <w:rsid w:val="00E86D7D"/>
    <w:rsid w:val="00E878FB"/>
    <w:rsid w:val="00E87C64"/>
    <w:rsid w:val="00E912E1"/>
    <w:rsid w:val="00E919C3"/>
    <w:rsid w:val="00E93A01"/>
    <w:rsid w:val="00E93FF8"/>
    <w:rsid w:val="00E948D8"/>
    <w:rsid w:val="00E948F4"/>
    <w:rsid w:val="00E94EB6"/>
    <w:rsid w:val="00E94F16"/>
    <w:rsid w:val="00E950CA"/>
    <w:rsid w:val="00E95CA8"/>
    <w:rsid w:val="00E96643"/>
    <w:rsid w:val="00E96CE0"/>
    <w:rsid w:val="00E96EAF"/>
    <w:rsid w:val="00EA044C"/>
    <w:rsid w:val="00EA1752"/>
    <w:rsid w:val="00EA1911"/>
    <w:rsid w:val="00EA539B"/>
    <w:rsid w:val="00EA5A89"/>
    <w:rsid w:val="00EA5BDB"/>
    <w:rsid w:val="00EA63FA"/>
    <w:rsid w:val="00EA7DEB"/>
    <w:rsid w:val="00EB056C"/>
    <w:rsid w:val="00EB0A73"/>
    <w:rsid w:val="00EB0A9C"/>
    <w:rsid w:val="00EB0B55"/>
    <w:rsid w:val="00EB2D73"/>
    <w:rsid w:val="00EB3A98"/>
    <w:rsid w:val="00EB46D9"/>
    <w:rsid w:val="00EB4909"/>
    <w:rsid w:val="00EB6349"/>
    <w:rsid w:val="00EB6EF6"/>
    <w:rsid w:val="00EC0199"/>
    <w:rsid w:val="00EC0E64"/>
    <w:rsid w:val="00EC11AB"/>
    <w:rsid w:val="00EC142D"/>
    <w:rsid w:val="00EC1E16"/>
    <w:rsid w:val="00EC2DD1"/>
    <w:rsid w:val="00EC31BB"/>
    <w:rsid w:val="00EC3BAD"/>
    <w:rsid w:val="00EC4BA5"/>
    <w:rsid w:val="00EC52DA"/>
    <w:rsid w:val="00EC6F28"/>
    <w:rsid w:val="00ED0024"/>
    <w:rsid w:val="00ED073E"/>
    <w:rsid w:val="00ED0C8E"/>
    <w:rsid w:val="00ED0EA0"/>
    <w:rsid w:val="00ED0F85"/>
    <w:rsid w:val="00ED2B5C"/>
    <w:rsid w:val="00ED3269"/>
    <w:rsid w:val="00ED3A18"/>
    <w:rsid w:val="00ED3AB7"/>
    <w:rsid w:val="00ED3C57"/>
    <w:rsid w:val="00ED42A0"/>
    <w:rsid w:val="00ED50D6"/>
    <w:rsid w:val="00ED7D1B"/>
    <w:rsid w:val="00EE0D12"/>
    <w:rsid w:val="00EE1A8C"/>
    <w:rsid w:val="00EE1C03"/>
    <w:rsid w:val="00EE2AE6"/>
    <w:rsid w:val="00EE3FED"/>
    <w:rsid w:val="00EE4643"/>
    <w:rsid w:val="00EE4B65"/>
    <w:rsid w:val="00EE529F"/>
    <w:rsid w:val="00EE65B6"/>
    <w:rsid w:val="00EE7970"/>
    <w:rsid w:val="00EE7C86"/>
    <w:rsid w:val="00EF1330"/>
    <w:rsid w:val="00EF15FF"/>
    <w:rsid w:val="00EF31D8"/>
    <w:rsid w:val="00EF5147"/>
    <w:rsid w:val="00EF55E6"/>
    <w:rsid w:val="00EF5707"/>
    <w:rsid w:val="00EF6F1F"/>
    <w:rsid w:val="00EF70EC"/>
    <w:rsid w:val="00EF7111"/>
    <w:rsid w:val="00EF7D1A"/>
    <w:rsid w:val="00F02658"/>
    <w:rsid w:val="00F02759"/>
    <w:rsid w:val="00F03B49"/>
    <w:rsid w:val="00F0448F"/>
    <w:rsid w:val="00F04E9B"/>
    <w:rsid w:val="00F0716C"/>
    <w:rsid w:val="00F105AE"/>
    <w:rsid w:val="00F108A8"/>
    <w:rsid w:val="00F12E8B"/>
    <w:rsid w:val="00F13319"/>
    <w:rsid w:val="00F14353"/>
    <w:rsid w:val="00F1628B"/>
    <w:rsid w:val="00F16EBE"/>
    <w:rsid w:val="00F22B26"/>
    <w:rsid w:val="00F22CAC"/>
    <w:rsid w:val="00F22E81"/>
    <w:rsid w:val="00F24382"/>
    <w:rsid w:val="00F26525"/>
    <w:rsid w:val="00F2682A"/>
    <w:rsid w:val="00F270E9"/>
    <w:rsid w:val="00F273EF"/>
    <w:rsid w:val="00F27440"/>
    <w:rsid w:val="00F275C0"/>
    <w:rsid w:val="00F300B8"/>
    <w:rsid w:val="00F304D0"/>
    <w:rsid w:val="00F317B5"/>
    <w:rsid w:val="00F33348"/>
    <w:rsid w:val="00F346B6"/>
    <w:rsid w:val="00F3608D"/>
    <w:rsid w:val="00F36145"/>
    <w:rsid w:val="00F37B80"/>
    <w:rsid w:val="00F37BDD"/>
    <w:rsid w:val="00F401C0"/>
    <w:rsid w:val="00F40716"/>
    <w:rsid w:val="00F41503"/>
    <w:rsid w:val="00F417D4"/>
    <w:rsid w:val="00F432CF"/>
    <w:rsid w:val="00F437FD"/>
    <w:rsid w:val="00F43B69"/>
    <w:rsid w:val="00F43D8C"/>
    <w:rsid w:val="00F4479A"/>
    <w:rsid w:val="00F44D82"/>
    <w:rsid w:val="00F45589"/>
    <w:rsid w:val="00F46034"/>
    <w:rsid w:val="00F46207"/>
    <w:rsid w:val="00F466C8"/>
    <w:rsid w:val="00F469A9"/>
    <w:rsid w:val="00F46B50"/>
    <w:rsid w:val="00F47C20"/>
    <w:rsid w:val="00F50B46"/>
    <w:rsid w:val="00F50D1F"/>
    <w:rsid w:val="00F51545"/>
    <w:rsid w:val="00F51901"/>
    <w:rsid w:val="00F521DE"/>
    <w:rsid w:val="00F5371A"/>
    <w:rsid w:val="00F54162"/>
    <w:rsid w:val="00F541D4"/>
    <w:rsid w:val="00F54B00"/>
    <w:rsid w:val="00F553CE"/>
    <w:rsid w:val="00F5565A"/>
    <w:rsid w:val="00F56043"/>
    <w:rsid w:val="00F565B2"/>
    <w:rsid w:val="00F5664E"/>
    <w:rsid w:val="00F56BD8"/>
    <w:rsid w:val="00F56FA9"/>
    <w:rsid w:val="00F6171A"/>
    <w:rsid w:val="00F62306"/>
    <w:rsid w:val="00F635FC"/>
    <w:rsid w:val="00F63D03"/>
    <w:rsid w:val="00F65D1E"/>
    <w:rsid w:val="00F65E2F"/>
    <w:rsid w:val="00F664B1"/>
    <w:rsid w:val="00F66520"/>
    <w:rsid w:val="00F66719"/>
    <w:rsid w:val="00F6673F"/>
    <w:rsid w:val="00F67385"/>
    <w:rsid w:val="00F67BB8"/>
    <w:rsid w:val="00F67DF1"/>
    <w:rsid w:val="00F7054E"/>
    <w:rsid w:val="00F7137C"/>
    <w:rsid w:val="00F72A09"/>
    <w:rsid w:val="00F74D74"/>
    <w:rsid w:val="00F74E67"/>
    <w:rsid w:val="00F7552B"/>
    <w:rsid w:val="00F81C46"/>
    <w:rsid w:val="00F8309B"/>
    <w:rsid w:val="00F831E2"/>
    <w:rsid w:val="00F833C9"/>
    <w:rsid w:val="00F8533A"/>
    <w:rsid w:val="00F90064"/>
    <w:rsid w:val="00F9022A"/>
    <w:rsid w:val="00F90520"/>
    <w:rsid w:val="00F9056D"/>
    <w:rsid w:val="00F91E1A"/>
    <w:rsid w:val="00F93C79"/>
    <w:rsid w:val="00F94217"/>
    <w:rsid w:val="00F9586C"/>
    <w:rsid w:val="00F96AFD"/>
    <w:rsid w:val="00F96F33"/>
    <w:rsid w:val="00F96F4C"/>
    <w:rsid w:val="00F97C64"/>
    <w:rsid w:val="00FA014C"/>
    <w:rsid w:val="00FA07F4"/>
    <w:rsid w:val="00FA1398"/>
    <w:rsid w:val="00FA1515"/>
    <w:rsid w:val="00FA2E19"/>
    <w:rsid w:val="00FA43C8"/>
    <w:rsid w:val="00FA5EBA"/>
    <w:rsid w:val="00FA697F"/>
    <w:rsid w:val="00FA7147"/>
    <w:rsid w:val="00FA7A0A"/>
    <w:rsid w:val="00FB0147"/>
    <w:rsid w:val="00FB0F92"/>
    <w:rsid w:val="00FB1B41"/>
    <w:rsid w:val="00FB2015"/>
    <w:rsid w:val="00FB2852"/>
    <w:rsid w:val="00FB2B00"/>
    <w:rsid w:val="00FB2FB3"/>
    <w:rsid w:val="00FB3846"/>
    <w:rsid w:val="00FB5059"/>
    <w:rsid w:val="00FB5521"/>
    <w:rsid w:val="00FB610D"/>
    <w:rsid w:val="00FB626E"/>
    <w:rsid w:val="00FB782F"/>
    <w:rsid w:val="00FC21AC"/>
    <w:rsid w:val="00FC4477"/>
    <w:rsid w:val="00FC46FB"/>
    <w:rsid w:val="00FC51FF"/>
    <w:rsid w:val="00FC5D31"/>
    <w:rsid w:val="00FC6630"/>
    <w:rsid w:val="00FC78A5"/>
    <w:rsid w:val="00FC7B66"/>
    <w:rsid w:val="00FD0D94"/>
    <w:rsid w:val="00FD106C"/>
    <w:rsid w:val="00FD1B08"/>
    <w:rsid w:val="00FD1CB8"/>
    <w:rsid w:val="00FD2BD3"/>
    <w:rsid w:val="00FD3DEF"/>
    <w:rsid w:val="00FD4CA5"/>
    <w:rsid w:val="00FD4CCA"/>
    <w:rsid w:val="00FD58B1"/>
    <w:rsid w:val="00FD7002"/>
    <w:rsid w:val="00FD7610"/>
    <w:rsid w:val="00FE0203"/>
    <w:rsid w:val="00FE04BA"/>
    <w:rsid w:val="00FE234B"/>
    <w:rsid w:val="00FE2A9E"/>
    <w:rsid w:val="00FE34B3"/>
    <w:rsid w:val="00FE46B7"/>
    <w:rsid w:val="00FE4CEC"/>
    <w:rsid w:val="00FE6C21"/>
    <w:rsid w:val="00FE7B54"/>
    <w:rsid w:val="00FF0420"/>
    <w:rsid w:val="00FF128D"/>
    <w:rsid w:val="00FF41B8"/>
    <w:rsid w:val="00FF47C1"/>
    <w:rsid w:val="00FF4F5A"/>
    <w:rsid w:val="00FF5237"/>
    <w:rsid w:val="00FF58E4"/>
    <w:rsid w:val="00FF5B79"/>
    <w:rsid w:val="00FF60BD"/>
    <w:rsid w:val="06763376"/>
    <w:rsid w:val="06D79157"/>
    <w:rsid w:val="0DD79F36"/>
    <w:rsid w:val="0EEF67E2"/>
    <w:rsid w:val="11B2F77D"/>
    <w:rsid w:val="11E43BAB"/>
    <w:rsid w:val="121534C5"/>
    <w:rsid w:val="161E678D"/>
    <w:rsid w:val="19090967"/>
    <w:rsid w:val="1B3C24C5"/>
    <w:rsid w:val="210B7837"/>
    <w:rsid w:val="23B4E6BE"/>
    <w:rsid w:val="24F18C83"/>
    <w:rsid w:val="25653D02"/>
    <w:rsid w:val="27AA7305"/>
    <w:rsid w:val="27DDB067"/>
    <w:rsid w:val="287BFAB7"/>
    <w:rsid w:val="3310C0BE"/>
    <w:rsid w:val="38EF0D05"/>
    <w:rsid w:val="39A07357"/>
    <w:rsid w:val="42088138"/>
    <w:rsid w:val="511D528A"/>
    <w:rsid w:val="588ADAF6"/>
    <w:rsid w:val="5CE173DD"/>
    <w:rsid w:val="66EB6E8A"/>
    <w:rsid w:val="69981A89"/>
    <w:rsid w:val="7629CDD5"/>
    <w:rsid w:val="772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B409AA"/>
  <w15:chartTrackingRefBased/>
  <w15:docId w15:val="{F8C0A981-1704-416E-9ED9-560E5378A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102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102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102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102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102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102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CommentReference">
    <w:name w:val="annotation reference"/>
    <w:rsid w:val="008460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CommentTextChar">
    <w:name w:val="Comment Text Char"/>
    <w:basedOn w:val="DefaultParagraphFont"/>
    <w:link w:val="CommentText"/>
    <w:rsid w:val="00846017"/>
    <w:rPr>
      <w:rFonts w:ascii="Arial" w:hAnsi="Arial"/>
      <w:sz w:val="20"/>
      <w:szCs w:val="20"/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20528D"/>
    <w:rPr>
      <w:rFonts w:ascii="Arial" w:hAnsi="Arial"/>
      <w:b/>
      <w:bCs/>
      <w:sz w:val="20"/>
      <w:szCs w:val="20"/>
      <w:lang w:val="de-DE"/>
    </w:rPr>
  </w:style>
  <w:style w:type="paragraph" w:styleId="Revision">
    <w:name w:val="Revision"/>
    <w:hidden/>
    <w:uiPriority w:val="62"/>
    <w:unhideWhenUsed/>
    <w:rsid w:val="006E2D24"/>
    <w:rPr>
      <w:sz w:val="22"/>
    </w:rPr>
  </w:style>
  <w:style w:type="paragraph" w:customStyle="1" w:styleId="He04Funote">
    <w:name w:val="_He_04_Fußnote"/>
    <w:next w:val="Normal"/>
    <w:qFormat/>
    <w:rsid w:val="00A90F18"/>
    <w:pPr>
      <w:tabs>
        <w:tab w:val="left" w:pos="85"/>
      </w:tabs>
      <w:spacing w:line="256" w:lineRule="auto"/>
      <w:ind w:left="85" w:hanging="85"/>
    </w:pPr>
    <w:rPr>
      <w:rFonts w:eastAsiaTheme="minorHAnsi" w:cstheme="minorBidi"/>
      <w:sz w:val="15"/>
      <w:szCs w:val="22"/>
      <w:lang w:val="de-DE"/>
      <w14:numForm w14:val="lining"/>
    </w:rPr>
  </w:style>
  <w:style w:type="character" w:styleId="FootnoteReference">
    <w:name w:val="footnote reference"/>
    <w:basedOn w:val="DefaultParagraphFont"/>
    <w:uiPriority w:val="99"/>
    <w:unhideWhenUsed/>
    <w:rsid w:val="00A90F18"/>
    <w:rPr>
      <w:vertAlign w:val="superscript"/>
    </w:rPr>
  </w:style>
  <w:style w:type="character" w:styleId="FollowedHyperlink">
    <w:name w:val="FollowedHyperlink"/>
    <w:basedOn w:val="DefaultParagraphFont"/>
    <w:rsid w:val="00B1118A"/>
    <w:rPr>
      <w:color w:val="954F72" w:themeColor="followedHyperlink"/>
      <w:u w:val="single"/>
    </w:rPr>
  </w:style>
  <w:style w:type="paragraph" w:customStyle="1" w:styleId="He01FlietextAufzhlung1Ebene">
    <w:name w:val="_He_01_Fließtext Aufzählung 1. Ebene"/>
    <w:next w:val="Normal"/>
    <w:qFormat/>
    <w:rsid w:val="00B471F4"/>
    <w:pPr>
      <w:numPr>
        <w:numId w:val="9"/>
      </w:numPr>
      <w:spacing w:after="113"/>
    </w:pPr>
    <w:rPr>
      <w:rFonts w:eastAsiaTheme="minorHAnsi" w:cstheme="minorBidi"/>
      <w:sz w:val="22"/>
      <w:szCs w:val="22"/>
      <w:lang w:val="de-DE"/>
    </w:rPr>
  </w:style>
  <w:style w:type="character" w:customStyle="1" w:styleId="ui-provider">
    <w:name w:val="ui-provider"/>
    <w:basedOn w:val="DefaultParagraphFont"/>
    <w:rsid w:val="00C86C49"/>
  </w:style>
  <w:style w:type="paragraph" w:customStyle="1" w:styleId="He01Flietext">
    <w:name w:val="_He_01_Fließtext"/>
    <w:qFormat/>
    <w:rsid w:val="007558B1"/>
    <w:pPr>
      <w:spacing w:after="160"/>
    </w:pPr>
    <w:rPr>
      <w:rFonts w:eastAsiaTheme="minorHAnsi" w:cstheme="minorBidi"/>
      <w:sz w:val="22"/>
      <w:szCs w:val="22"/>
      <w:lang w:val="de-DE"/>
    </w:rPr>
  </w:style>
  <w:style w:type="paragraph" w:styleId="FootnoteText">
    <w:name w:val="footnote text"/>
    <w:basedOn w:val="Normal"/>
    <w:link w:val="FootnoteTextChar"/>
    <w:uiPriority w:val="99"/>
    <w:unhideWhenUsed/>
    <w:rsid w:val="00F9022A"/>
    <w:pPr>
      <w:spacing w:line="240" w:lineRule="auto"/>
      <w:jc w:val="left"/>
    </w:pPr>
    <w:rPr>
      <w:rFonts w:eastAsiaTheme="minorHAnsi" w:cstheme="minorBidi"/>
      <w:szCs w:val="20"/>
      <w:lang w:val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022A"/>
    <w:rPr>
      <w:rFonts w:eastAsiaTheme="minorHAnsi" w:cstheme="minorBidi"/>
      <w:sz w:val="22"/>
      <w:szCs w:val="20"/>
      <w:lang w:val="de-DE"/>
    </w:rPr>
  </w:style>
  <w:style w:type="character" w:styleId="Strong">
    <w:name w:val="Strong"/>
    <w:basedOn w:val="DefaultParagraphFont"/>
    <w:uiPriority w:val="22"/>
    <w:qFormat/>
    <w:rsid w:val="00033476"/>
    <w:rPr>
      <w:b/>
      <w:bCs/>
    </w:rPr>
  </w:style>
  <w:style w:type="paragraph" w:customStyle="1" w:styleId="He01FlietextAufzhlung2Ebene">
    <w:name w:val="_He_01_Fließtext Aufzählung 2. Ebene"/>
    <w:next w:val="He01Flietext"/>
    <w:qFormat/>
    <w:rsid w:val="00700939"/>
    <w:pPr>
      <w:numPr>
        <w:numId w:val="20"/>
      </w:numPr>
      <w:spacing w:after="160"/>
    </w:pPr>
    <w:rPr>
      <w:rFonts w:eastAsiaTheme="minorHAnsi" w:cstheme="minorBidi"/>
      <w:sz w:val="22"/>
      <w:szCs w:val="22"/>
      <w:lang w:val="de-DE"/>
    </w:rPr>
  </w:style>
  <w:style w:type="paragraph" w:customStyle="1" w:styleId="He05Fett">
    <w:name w:val="_He_05_Fett"/>
    <w:next w:val="He01Flietext"/>
    <w:link w:val="He05FettZchn"/>
    <w:qFormat/>
    <w:rsid w:val="00B33C35"/>
    <w:pPr>
      <w:spacing w:after="160" w:line="259" w:lineRule="auto"/>
    </w:pPr>
    <w:rPr>
      <w:rFonts w:eastAsiaTheme="minorHAnsi" w:cstheme="minorBidi"/>
      <w:b/>
      <w:szCs w:val="22"/>
      <w:lang w:val="de-DE"/>
    </w:rPr>
  </w:style>
  <w:style w:type="character" w:customStyle="1" w:styleId="He05FettZchn">
    <w:name w:val="_He_05_Fett Zchn"/>
    <w:basedOn w:val="DefaultParagraphFont"/>
    <w:link w:val="He05Fett"/>
    <w:rsid w:val="00B33C35"/>
    <w:rPr>
      <w:rFonts w:eastAsiaTheme="minorHAnsi" w:cstheme="minorBidi"/>
      <w:b/>
      <w:szCs w:val="22"/>
      <w:lang w:val="de-DE"/>
    </w:rPr>
  </w:style>
  <w:style w:type="paragraph" w:customStyle="1" w:styleId="Default">
    <w:name w:val="Default"/>
    <w:rsid w:val="0026342A"/>
    <w:pPr>
      <w:autoSpaceDE w:val="0"/>
      <w:autoSpaceDN w:val="0"/>
      <w:adjustRightInd w:val="0"/>
    </w:pPr>
    <w:rPr>
      <w:rFonts w:cs="Segoe UI"/>
      <w:color w:val="000000"/>
      <w:sz w:val="24"/>
      <w:lang w:val="de-DE"/>
    </w:rPr>
  </w:style>
  <w:style w:type="paragraph" w:styleId="Bibliography">
    <w:name w:val="Bibliography"/>
    <w:basedOn w:val="Normal"/>
    <w:next w:val="Normal"/>
    <w:uiPriority w:val="61"/>
    <w:semiHidden/>
    <w:unhideWhenUsed/>
    <w:rsid w:val="00971023"/>
  </w:style>
  <w:style w:type="paragraph" w:styleId="BlockText">
    <w:name w:val="Block Text"/>
    <w:basedOn w:val="Normal"/>
    <w:rsid w:val="00971023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BodyText">
    <w:name w:val="Body Text"/>
    <w:basedOn w:val="Normal"/>
    <w:link w:val="BodyTextChar"/>
    <w:rsid w:val="009710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71023"/>
    <w:rPr>
      <w:sz w:val="22"/>
    </w:rPr>
  </w:style>
  <w:style w:type="paragraph" w:styleId="BodyText2">
    <w:name w:val="Body Text 2"/>
    <w:basedOn w:val="Normal"/>
    <w:link w:val="BodyText2Char"/>
    <w:rsid w:val="0097102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71023"/>
    <w:rPr>
      <w:sz w:val="22"/>
    </w:rPr>
  </w:style>
  <w:style w:type="paragraph" w:styleId="BodyText3">
    <w:name w:val="Body Text 3"/>
    <w:basedOn w:val="Normal"/>
    <w:link w:val="BodyText3Char"/>
    <w:rsid w:val="0097102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7102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7102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971023"/>
    <w:rPr>
      <w:sz w:val="22"/>
    </w:rPr>
  </w:style>
  <w:style w:type="paragraph" w:styleId="BodyTextIndent">
    <w:name w:val="Body Text Indent"/>
    <w:basedOn w:val="Normal"/>
    <w:link w:val="BodyTextIndentChar"/>
    <w:rsid w:val="009710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7102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97102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971023"/>
    <w:rPr>
      <w:sz w:val="22"/>
    </w:rPr>
  </w:style>
  <w:style w:type="paragraph" w:styleId="BodyTextIndent2">
    <w:name w:val="Body Text Indent 2"/>
    <w:basedOn w:val="Normal"/>
    <w:link w:val="BodyTextIndent2Char"/>
    <w:rsid w:val="0097102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71023"/>
    <w:rPr>
      <w:sz w:val="22"/>
    </w:rPr>
  </w:style>
  <w:style w:type="paragraph" w:styleId="BodyTextIndent3">
    <w:name w:val="Body Text Indent 3"/>
    <w:basedOn w:val="Normal"/>
    <w:link w:val="BodyTextIndent3Char"/>
    <w:rsid w:val="0097102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97102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1023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Closing">
    <w:name w:val="Closing"/>
    <w:basedOn w:val="Normal"/>
    <w:link w:val="ClosingChar"/>
    <w:rsid w:val="00971023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rsid w:val="00971023"/>
    <w:rPr>
      <w:sz w:val="22"/>
    </w:rPr>
  </w:style>
  <w:style w:type="paragraph" w:styleId="Date">
    <w:name w:val="Date"/>
    <w:basedOn w:val="Normal"/>
    <w:next w:val="Normal"/>
    <w:link w:val="DateChar"/>
    <w:rsid w:val="00971023"/>
  </w:style>
  <w:style w:type="character" w:customStyle="1" w:styleId="DateChar">
    <w:name w:val="Date Char"/>
    <w:basedOn w:val="DefaultParagraphFont"/>
    <w:link w:val="Date"/>
    <w:rsid w:val="00971023"/>
    <w:rPr>
      <w:sz w:val="22"/>
    </w:rPr>
  </w:style>
  <w:style w:type="paragraph" w:styleId="DocumentMap">
    <w:name w:val="Document Map"/>
    <w:basedOn w:val="Normal"/>
    <w:link w:val="DocumentMapChar"/>
    <w:rsid w:val="00971023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71023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rsid w:val="00971023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rsid w:val="00971023"/>
    <w:rPr>
      <w:sz w:val="22"/>
    </w:rPr>
  </w:style>
  <w:style w:type="paragraph" w:styleId="EndnoteText">
    <w:name w:val="endnote text"/>
    <w:basedOn w:val="Normal"/>
    <w:link w:val="EndnoteTextChar"/>
    <w:rsid w:val="0097102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971023"/>
    <w:rPr>
      <w:sz w:val="20"/>
      <w:szCs w:val="20"/>
    </w:rPr>
  </w:style>
  <w:style w:type="paragraph" w:styleId="EnvelopeAddress">
    <w:name w:val="envelope address"/>
    <w:basedOn w:val="Normal"/>
    <w:rsid w:val="00971023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97102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971023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971023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971023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971023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9710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9710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971023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971023"/>
    <w:rPr>
      <w:i/>
      <w:iCs/>
      <w:sz w:val="22"/>
    </w:rPr>
  </w:style>
  <w:style w:type="paragraph" w:styleId="HTMLPreformatted">
    <w:name w:val="HTML Preformatted"/>
    <w:basedOn w:val="Normal"/>
    <w:link w:val="HTMLPreformattedChar"/>
    <w:semiHidden/>
    <w:unhideWhenUsed/>
    <w:rsid w:val="0097102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102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rsid w:val="00971023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971023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rsid w:val="00971023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rsid w:val="00971023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rsid w:val="00971023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rsid w:val="00971023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rsid w:val="00971023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rsid w:val="00971023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rsid w:val="00971023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rsid w:val="0097102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65"/>
    <w:qFormat/>
    <w:rsid w:val="00971023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IntenseQuoteChar">
    <w:name w:val="Intense Quote Char"/>
    <w:basedOn w:val="DefaultParagraphFont"/>
    <w:link w:val="IntenseQuote"/>
    <w:uiPriority w:val="65"/>
    <w:rsid w:val="00971023"/>
    <w:rPr>
      <w:i/>
      <w:iCs/>
      <w:color w:val="5F6973" w:themeColor="accent1"/>
      <w:sz w:val="22"/>
    </w:rPr>
  </w:style>
  <w:style w:type="paragraph" w:styleId="List">
    <w:name w:val="List"/>
    <w:basedOn w:val="Normal"/>
    <w:rsid w:val="00971023"/>
    <w:pPr>
      <w:ind w:left="283" w:hanging="283"/>
      <w:contextualSpacing/>
    </w:pPr>
  </w:style>
  <w:style w:type="paragraph" w:styleId="List2">
    <w:name w:val="List 2"/>
    <w:basedOn w:val="Normal"/>
    <w:rsid w:val="00971023"/>
    <w:pPr>
      <w:ind w:left="566" w:hanging="283"/>
      <w:contextualSpacing/>
    </w:pPr>
  </w:style>
  <w:style w:type="paragraph" w:styleId="List3">
    <w:name w:val="List 3"/>
    <w:basedOn w:val="Normal"/>
    <w:rsid w:val="00971023"/>
    <w:pPr>
      <w:ind w:left="849" w:hanging="283"/>
      <w:contextualSpacing/>
    </w:pPr>
  </w:style>
  <w:style w:type="paragraph" w:styleId="List4">
    <w:name w:val="List 4"/>
    <w:basedOn w:val="Normal"/>
    <w:rsid w:val="00971023"/>
    <w:pPr>
      <w:ind w:left="1132" w:hanging="283"/>
      <w:contextualSpacing/>
    </w:pPr>
  </w:style>
  <w:style w:type="paragraph" w:styleId="List5">
    <w:name w:val="List 5"/>
    <w:basedOn w:val="Normal"/>
    <w:rsid w:val="00971023"/>
    <w:pPr>
      <w:ind w:left="1415" w:hanging="283"/>
      <w:contextualSpacing/>
    </w:pPr>
  </w:style>
  <w:style w:type="paragraph" w:styleId="ListBullet">
    <w:name w:val="List Bullet"/>
    <w:basedOn w:val="Normal"/>
    <w:rsid w:val="00971023"/>
    <w:pPr>
      <w:numPr>
        <w:numId w:val="21"/>
      </w:numPr>
      <w:contextualSpacing/>
    </w:pPr>
  </w:style>
  <w:style w:type="paragraph" w:styleId="ListBullet2">
    <w:name w:val="List Bullet 2"/>
    <w:basedOn w:val="Normal"/>
    <w:rsid w:val="00971023"/>
    <w:pPr>
      <w:numPr>
        <w:numId w:val="22"/>
      </w:numPr>
      <w:contextualSpacing/>
    </w:pPr>
  </w:style>
  <w:style w:type="paragraph" w:styleId="ListBullet3">
    <w:name w:val="List Bullet 3"/>
    <w:basedOn w:val="Normal"/>
    <w:rsid w:val="00971023"/>
    <w:pPr>
      <w:numPr>
        <w:numId w:val="23"/>
      </w:numPr>
      <w:contextualSpacing/>
    </w:pPr>
  </w:style>
  <w:style w:type="paragraph" w:styleId="ListBullet4">
    <w:name w:val="List Bullet 4"/>
    <w:basedOn w:val="Normal"/>
    <w:rsid w:val="00971023"/>
    <w:pPr>
      <w:numPr>
        <w:numId w:val="24"/>
      </w:numPr>
      <w:contextualSpacing/>
    </w:pPr>
  </w:style>
  <w:style w:type="paragraph" w:styleId="ListBullet5">
    <w:name w:val="List Bullet 5"/>
    <w:basedOn w:val="Normal"/>
    <w:rsid w:val="00971023"/>
    <w:pPr>
      <w:numPr>
        <w:numId w:val="25"/>
      </w:numPr>
      <w:contextualSpacing/>
    </w:pPr>
  </w:style>
  <w:style w:type="paragraph" w:styleId="ListContinue">
    <w:name w:val="List Continue"/>
    <w:basedOn w:val="Normal"/>
    <w:rsid w:val="0097102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97102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97102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97102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971023"/>
    <w:pPr>
      <w:spacing w:after="120"/>
      <w:ind w:left="1415"/>
      <w:contextualSpacing/>
    </w:pPr>
  </w:style>
  <w:style w:type="paragraph" w:styleId="ListNumber">
    <w:name w:val="List Number"/>
    <w:basedOn w:val="Normal"/>
    <w:rsid w:val="00971023"/>
    <w:pPr>
      <w:numPr>
        <w:numId w:val="26"/>
      </w:numPr>
      <w:contextualSpacing/>
    </w:pPr>
  </w:style>
  <w:style w:type="paragraph" w:styleId="ListNumber2">
    <w:name w:val="List Number 2"/>
    <w:basedOn w:val="Normal"/>
    <w:rsid w:val="00971023"/>
    <w:pPr>
      <w:numPr>
        <w:numId w:val="27"/>
      </w:numPr>
      <w:contextualSpacing/>
    </w:pPr>
  </w:style>
  <w:style w:type="paragraph" w:styleId="ListNumber3">
    <w:name w:val="List Number 3"/>
    <w:basedOn w:val="Normal"/>
    <w:rsid w:val="00971023"/>
    <w:pPr>
      <w:numPr>
        <w:numId w:val="28"/>
      </w:numPr>
      <w:contextualSpacing/>
    </w:pPr>
  </w:style>
  <w:style w:type="paragraph" w:styleId="ListNumber4">
    <w:name w:val="List Number 4"/>
    <w:basedOn w:val="Normal"/>
    <w:rsid w:val="00971023"/>
    <w:pPr>
      <w:numPr>
        <w:numId w:val="29"/>
      </w:numPr>
      <w:contextualSpacing/>
    </w:pPr>
  </w:style>
  <w:style w:type="paragraph" w:styleId="ListNumber5">
    <w:name w:val="List Number 5"/>
    <w:basedOn w:val="Normal"/>
    <w:rsid w:val="00971023"/>
    <w:pPr>
      <w:numPr>
        <w:numId w:val="30"/>
      </w:numPr>
      <w:contextualSpacing/>
    </w:pPr>
  </w:style>
  <w:style w:type="paragraph" w:styleId="MacroText">
    <w:name w:val="macro"/>
    <w:link w:val="MacroTextChar"/>
    <w:rsid w:val="009710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97102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rsid w:val="009710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971023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Spacing">
    <w:name w:val="No Spacing"/>
    <w:uiPriority w:val="99"/>
    <w:qFormat/>
    <w:rsid w:val="00971023"/>
    <w:pPr>
      <w:jc w:val="both"/>
    </w:pPr>
    <w:rPr>
      <w:sz w:val="22"/>
    </w:rPr>
  </w:style>
  <w:style w:type="paragraph" w:styleId="NormalWeb">
    <w:name w:val="Normal (Web)"/>
    <w:basedOn w:val="Normal"/>
    <w:rsid w:val="00971023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97102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971023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rsid w:val="00971023"/>
    <w:rPr>
      <w:sz w:val="22"/>
    </w:rPr>
  </w:style>
  <w:style w:type="paragraph" w:styleId="PlainText">
    <w:name w:val="Plain Text"/>
    <w:basedOn w:val="Normal"/>
    <w:link w:val="PlainTextChar"/>
    <w:rsid w:val="0097102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97102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64"/>
    <w:qFormat/>
    <w:rsid w:val="009710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64"/>
    <w:rsid w:val="00971023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rsid w:val="00971023"/>
  </w:style>
  <w:style w:type="character" w:customStyle="1" w:styleId="SalutationChar">
    <w:name w:val="Salutation Char"/>
    <w:basedOn w:val="DefaultParagraphFont"/>
    <w:link w:val="Salutation"/>
    <w:rsid w:val="00971023"/>
    <w:rPr>
      <w:sz w:val="22"/>
    </w:rPr>
  </w:style>
  <w:style w:type="paragraph" w:styleId="Signature">
    <w:name w:val="Signature"/>
    <w:basedOn w:val="Normal"/>
    <w:link w:val="SignatureChar"/>
    <w:rsid w:val="00971023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rsid w:val="00971023"/>
    <w:rPr>
      <w:sz w:val="22"/>
    </w:rPr>
  </w:style>
  <w:style w:type="paragraph" w:styleId="Subtitle">
    <w:name w:val="Subtitle"/>
    <w:basedOn w:val="Normal"/>
    <w:next w:val="Normal"/>
    <w:link w:val="SubtitleChar"/>
    <w:qFormat/>
    <w:rsid w:val="0097102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97102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971023"/>
    <w:pPr>
      <w:ind w:left="220" w:hanging="220"/>
    </w:pPr>
  </w:style>
  <w:style w:type="paragraph" w:styleId="TableofFigures">
    <w:name w:val="table of figures"/>
    <w:basedOn w:val="Normal"/>
    <w:next w:val="Normal"/>
    <w:rsid w:val="00971023"/>
  </w:style>
  <w:style w:type="paragraph" w:styleId="Title">
    <w:name w:val="Title"/>
    <w:basedOn w:val="Normal"/>
    <w:next w:val="Normal"/>
    <w:link w:val="TitleChar"/>
    <w:qFormat/>
    <w:rsid w:val="0097102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71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971023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rsid w:val="00971023"/>
    <w:pPr>
      <w:spacing w:after="100"/>
    </w:pPr>
  </w:style>
  <w:style w:type="paragraph" w:styleId="TOC2">
    <w:name w:val="toc 2"/>
    <w:basedOn w:val="Normal"/>
    <w:next w:val="Normal"/>
    <w:autoRedefine/>
    <w:rsid w:val="00971023"/>
    <w:pPr>
      <w:spacing w:after="100"/>
      <w:ind w:left="220"/>
    </w:pPr>
  </w:style>
  <w:style w:type="paragraph" w:styleId="TOC3">
    <w:name w:val="toc 3"/>
    <w:basedOn w:val="Normal"/>
    <w:next w:val="Normal"/>
    <w:autoRedefine/>
    <w:rsid w:val="00971023"/>
    <w:pPr>
      <w:spacing w:after="100"/>
      <w:ind w:left="440"/>
    </w:pPr>
  </w:style>
  <w:style w:type="paragraph" w:styleId="TOC4">
    <w:name w:val="toc 4"/>
    <w:basedOn w:val="Normal"/>
    <w:next w:val="Normal"/>
    <w:autoRedefine/>
    <w:rsid w:val="00971023"/>
    <w:pPr>
      <w:spacing w:after="100"/>
      <w:ind w:left="660"/>
    </w:pPr>
  </w:style>
  <w:style w:type="paragraph" w:styleId="TOC5">
    <w:name w:val="toc 5"/>
    <w:basedOn w:val="Normal"/>
    <w:next w:val="Normal"/>
    <w:autoRedefine/>
    <w:rsid w:val="00971023"/>
    <w:pPr>
      <w:spacing w:after="100"/>
      <w:ind w:left="880"/>
    </w:pPr>
  </w:style>
  <w:style w:type="paragraph" w:styleId="TOC6">
    <w:name w:val="toc 6"/>
    <w:basedOn w:val="Normal"/>
    <w:next w:val="Normal"/>
    <w:autoRedefine/>
    <w:rsid w:val="00971023"/>
    <w:pPr>
      <w:spacing w:after="100"/>
      <w:ind w:left="1100"/>
    </w:pPr>
  </w:style>
  <w:style w:type="paragraph" w:styleId="TOC7">
    <w:name w:val="toc 7"/>
    <w:basedOn w:val="Normal"/>
    <w:next w:val="Normal"/>
    <w:autoRedefine/>
    <w:rsid w:val="00971023"/>
    <w:pPr>
      <w:spacing w:after="100"/>
      <w:ind w:left="1320"/>
    </w:pPr>
  </w:style>
  <w:style w:type="paragraph" w:styleId="TOC8">
    <w:name w:val="toc 8"/>
    <w:basedOn w:val="Normal"/>
    <w:next w:val="Normal"/>
    <w:autoRedefine/>
    <w:rsid w:val="00971023"/>
    <w:pPr>
      <w:spacing w:after="100"/>
      <w:ind w:left="1540"/>
    </w:pPr>
  </w:style>
  <w:style w:type="paragraph" w:styleId="TOC9">
    <w:name w:val="toc 9"/>
    <w:basedOn w:val="Normal"/>
    <w:next w:val="Normal"/>
    <w:autoRedefine/>
    <w:rsid w:val="0097102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62"/>
    <w:semiHidden/>
    <w:unhideWhenUsed/>
    <w:qFormat/>
    <w:rsid w:val="00971023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2b1ed756-d086-4fdf-a17a-21742199d804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20" ma:contentTypeDescription="Ein neues Dokument erstellen." ma:contentTypeScope="" ma:versionID="211439ee2fadb544a6ade85018508a45">
  <xsd:schema xmlns:xsd="http://www.w3.org/2001/XMLSchema" xmlns:xs="http://www.w3.org/2001/XMLSchema" xmlns:p="http://schemas.microsoft.com/office/2006/metadata/properties" xmlns:ns2="2b1ed756-d086-4fdf-a17a-21742199d804" xmlns:ns3="33270825-9502-4f44-99e1-0b2736f161aa" xmlns:ns4="ef406d6b-70e0-427c-b08d-4edfc77771aa" targetNamespace="http://schemas.microsoft.com/office/2006/metadata/properties" ma:root="true" ma:fieldsID="caf884f0dcf0e2644a2ceae36d3a42fe" ns2:_="" ns3:_="" ns4:_="">
    <xsd:import namespace="2b1ed756-d086-4fdf-a17a-21742199d804"/>
    <xsd:import namespace="33270825-9502-4f44-99e1-0b2736f161aa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ec13d3-e295-4160-a51a-24621d98b0e2}" ma:internalName="TaxCatchAll" ma:showField="CatchAllData" ma:web="33270825-9502-4f44-99e1-0b2736f16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2b1ed756-d086-4fdf-a17a-21742199d804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2DBD2E4-BEAA-4191-9B41-67D2978D1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12</Pages>
  <Words>955</Words>
  <Characters>23433</Characters>
  <Application>Microsoft Office Word</Application>
  <DocSecurity>0</DocSecurity>
  <Lines>388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24344</CharactersWithSpaces>
  <SharedDoc>false</SharedDoc>
  <HLinks>
    <vt:vector size="54" baseType="variant">
      <vt:variant>
        <vt:i4>5505109</vt:i4>
      </vt:variant>
      <vt:variant>
        <vt:i4>24</vt:i4>
      </vt:variant>
      <vt:variant>
        <vt:i4>0</vt:i4>
      </vt:variant>
      <vt:variant>
        <vt:i4>5</vt:i4>
      </vt:variant>
      <vt:variant>
        <vt:lpwstr>http://www.henkel.com/ir</vt:lpwstr>
      </vt:variant>
      <vt:variant>
        <vt:lpwstr/>
      </vt:variant>
      <vt:variant>
        <vt:i4>2555945</vt:i4>
      </vt:variant>
      <vt:variant>
        <vt:i4>21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2687054</vt:i4>
      </vt:variant>
      <vt:variant>
        <vt:i4>18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7208970</vt:i4>
      </vt:variant>
      <vt:variant>
        <vt:i4>15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7667735</vt:i4>
      </vt:variant>
      <vt:variant>
        <vt:i4>12</vt:i4>
      </vt:variant>
      <vt:variant>
        <vt:i4>0</vt:i4>
      </vt:variant>
      <vt:variant>
        <vt:i4>5</vt:i4>
      </vt:variant>
      <vt:variant>
        <vt:lpwstr>mailto:wulf.klueppelholz@henkel.com</vt:lpwstr>
      </vt:variant>
      <vt:variant>
        <vt:lpwstr/>
      </vt:variant>
      <vt:variant>
        <vt:i4>7208970</vt:i4>
      </vt:variant>
      <vt:variant>
        <vt:i4>9</vt:i4>
      </vt:variant>
      <vt:variant>
        <vt:i4>0</vt:i4>
      </vt:variant>
      <vt:variant>
        <vt:i4>5</vt:i4>
      </vt:variant>
      <vt:variant>
        <vt:lpwstr>mailto:dennis.starke@henkel.com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8192031</vt:i4>
      </vt:variant>
      <vt:variant>
        <vt:i4>3</vt:i4>
      </vt:variant>
      <vt:variant>
        <vt:i4>0</vt:i4>
      </vt:variant>
      <vt:variant>
        <vt:i4>5</vt:i4>
      </vt:variant>
      <vt:variant>
        <vt:lpwstr>mailto:leslie.iltgen@henkel.com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Esther Rim</cp:lastModifiedBy>
  <cp:revision>53</cp:revision>
  <cp:lastPrinted>2025-03-19T02:00:00Z</cp:lastPrinted>
  <dcterms:created xsi:type="dcterms:W3CDTF">2025-03-18T08:24:00Z</dcterms:created>
  <dcterms:modified xsi:type="dcterms:W3CDTF">2025-03-19T02:00:00Z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0x01010078C412AB7BD75244A4AD465861CD4C6E</vt:lpwstr>
  </property>
</Properties>
</file>