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AC1C" w14:textId="77777777" w:rsidR="002D391F" w:rsidRPr="006E00F4" w:rsidRDefault="002D391F" w:rsidP="002D391F">
      <w:pPr>
        <w:pStyle w:val="MonthDayYear"/>
        <w:jc w:val="both"/>
      </w:pPr>
    </w:p>
    <w:p w14:paraId="5CA6C2A8" w14:textId="718E15E1" w:rsidR="00461D39" w:rsidRPr="006E00F4" w:rsidRDefault="00861DC8" w:rsidP="002D391F">
      <w:pPr>
        <w:pStyle w:val="MonthDayYear"/>
      </w:pPr>
      <w:r w:rsidRPr="006E00F4">
        <w:rPr>
          <w:lang w:eastAsia="zh-TW"/>
        </w:rPr>
        <w:t>2025</w:t>
      </w:r>
      <w:r w:rsidRPr="006E00F4">
        <w:rPr>
          <w:rFonts w:hint="eastAsia"/>
          <w:lang w:eastAsia="zh-TW"/>
        </w:rPr>
        <w:t>年</w:t>
      </w:r>
      <w:r w:rsidRPr="006E00F4">
        <w:rPr>
          <w:lang w:eastAsia="zh-TW"/>
        </w:rPr>
        <w:t>3</w:t>
      </w:r>
      <w:r w:rsidRPr="006E00F4">
        <w:rPr>
          <w:rFonts w:hint="eastAsia"/>
          <w:lang w:eastAsia="zh-TW"/>
        </w:rPr>
        <w:t>月</w:t>
      </w:r>
      <w:r>
        <w:rPr>
          <w:lang w:eastAsia="zh-TW"/>
        </w:rPr>
        <w:t>11</w:t>
      </w:r>
      <w:r w:rsidRPr="006E00F4">
        <w:rPr>
          <w:rFonts w:hint="eastAsia"/>
          <w:lang w:eastAsia="zh-TW"/>
        </w:rPr>
        <w:t>日</w:t>
      </w:r>
    </w:p>
    <w:p w14:paraId="398BBFD8" w14:textId="3AD309FD" w:rsidR="00E76C67" w:rsidRPr="006E00F4" w:rsidRDefault="00861DC8" w:rsidP="00033476">
      <w:pPr>
        <w:pStyle w:val="Topline"/>
        <w:spacing w:after="360"/>
      </w:pPr>
      <w:r w:rsidRPr="006E00F4">
        <w:rPr>
          <w:rFonts w:hint="eastAsia"/>
          <w:lang w:eastAsia="zh-TW"/>
        </w:rPr>
        <w:t>漢高公佈</w:t>
      </w:r>
      <w:r w:rsidRPr="006E00F4">
        <w:rPr>
          <w:lang w:eastAsia="zh-TW"/>
        </w:rPr>
        <w:t>2024</w:t>
      </w:r>
      <w:r>
        <w:rPr>
          <w:rFonts w:hint="eastAsia"/>
          <w:lang w:eastAsia="zh-TW"/>
        </w:rPr>
        <w:t>財年</w:t>
      </w:r>
      <w:r w:rsidRPr="006E00F4">
        <w:rPr>
          <w:rFonts w:hint="eastAsia"/>
          <w:lang w:eastAsia="zh-TW"/>
        </w:rPr>
        <w:t>業績</w:t>
      </w:r>
      <w:r>
        <w:rPr>
          <w:rFonts w:hint="eastAsia"/>
          <w:lang w:eastAsia="zh-TW"/>
        </w:rPr>
        <w:t>表現</w:t>
      </w:r>
    </w:p>
    <w:p w14:paraId="0CC2D52D" w14:textId="5252FBD4" w:rsidR="00E76C67" w:rsidRPr="006E00F4" w:rsidRDefault="00861DC8" w:rsidP="00E76C67">
      <w:pPr>
        <w:jc w:val="left"/>
        <w:rPr>
          <w:rStyle w:val="Headline"/>
          <w:rFonts w:asciiTheme="majorHAnsi" w:eastAsiaTheme="majorEastAsia" w:hAnsiTheme="majorHAnsi" w:cstheme="majorHAnsi"/>
        </w:rPr>
      </w:pPr>
      <w:r>
        <w:rPr>
          <w:rStyle w:val="Headline"/>
          <w:rFonts w:asciiTheme="majorHAnsi" w:eastAsiaTheme="majorEastAsia" w:hAnsiTheme="majorHAnsi" w:hint="eastAsia"/>
          <w:lang w:eastAsia="zh-TW"/>
        </w:rPr>
        <w:t>漢高</w:t>
      </w:r>
      <w:r w:rsidRPr="006E00F4">
        <w:rPr>
          <w:rStyle w:val="Headline"/>
          <w:rFonts w:asciiTheme="majorHAnsi" w:eastAsiaTheme="majorEastAsia" w:hAnsiTheme="majorHAnsi"/>
          <w:lang w:eastAsia="zh-TW"/>
        </w:rPr>
        <w:t>2024</w:t>
      </w:r>
      <w:r w:rsidRPr="006E00F4">
        <w:rPr>
          <w:rStyle w:val="Headline"/>
          <w:rFonts w:asciiTheme="majorHAnsi" w:eastAsiaTheme="majorEastAsia" w:hAnsiTheme="majorHAnsi" w:hint="eastAsia"/>
          <w:lang w:eastAsia="zh-TW"/>
        </w:rPr>
        <w:t>年業績</w:t>
      </w:r>
      <w:r>
        <w:rPr>
          <w:rStyle w:val="Headline"/>
          <w:rFonts w:asciiTheme="majorHAnsi" w:eastAsiaTheme="majorEastAsia" w:hAnsiTheme="majorHAnsi" w:hint="eastAsia"/>
          <w:lang w:eastAsia="zh-TW"/>
        </w:rPr>
        <w:t>表現強勁</w:t>
      </w:r>
      <w:r w:rsidRPr="006E00F4">
        <w:rPr>
          <w:rStyle w:val="Headline"/>
          <w:rFonts w:asciiTheme="majorHAnsi" w:eastAsiaTheme="majorEastAsia" w:hAnsiTheme="majorHAnsi" w:hint="eastAsia"/>
          <w:lang w:eastAsia="zh-TW"/>
        </w:rPr>
        <w:t>，</w:t>
      </w:r>
      <w:r>
        <w:rPr>
          <w:rStyle w:val="Headline"/>
          <w:rFonts w:asciiTheme="majorHAnsi" w:eastAsiaTheme="majorEastAsia" w:hAnsiTheme="majorHAnsi" w:hint="eastAsia"/>
          <w:lang w:eastAsia="zh-TW"/>
        </w:rPr>
        <w:t>“</w:t>
      </w:r>
      <w:r w:rsidRPr="006E00F4">
        <w:rPr>
          <w:rStyle w:val="Headline"/>
          <w:rFonts w:asciiTheme="majorHAnsi" w:eastAsiaTheme="majorEastAsia" w:hAnsiTheme="majorHAnsi" w:hint="eastAsia"/>
          <w:lang w:eastAsia="zh-TW"/>
        </w:rPr>
        <w:t>目標性增長議程</w:t>
      </w:r>
      <w:r>
        <w:rPr>
          <w:rStyle w:val="Headline"/>
          <w:rFonts w:asciiTheme="majorHAnsi" w:eastAsiaTheme="majorEastAsia" w:hAnsiTheme="majorHAnsi" w:hint="eastAsia"/>
          <w:lang w:eastAsia="zh-TW"/>
        </w:rPr>
        <w:t>”</w:t>
      </w:r>
      <w:r w:rsidRPr="006E00F4">
        <w:rPr>
          <w:rStyle w:val="Headline"/>
          <w:rFonts w:asciiTheme="majorHAnsi" w:eastAsiaTheme="majorEastAsia" w:hAnsiTheme="majorHAnsi" w:hint="eastAsia"/>
          <w:lang w:eastAsia="zh-TW"/>
        </w:rPr>
        <w:t>成功實施顯成效</w:t>
      </w:r>
    </w:p>
    <w:p w14:paraId="2978D90B" w14:textId="77777777" w:rsidR="004B2C19" w:rsidRPr="006E00F4" w:rsidRDefault="004B2C19" w:rsidP="004B2C19">
      <w:pPr>
        <w:spacing w:line="240" w:lineRule="auto"/>
        <w:jc w:val="left"/>
        <w:rPr>
          <w:sz w:val="16"/>
          <w:szCs w:val="16"/>
        </w:rPr>
      </w:pPr>
    </w:p>
    <w:p w14:paraId="44993078" w14:textId="261A2D1E" w:rsidR="004B2C19" w:rsidRPr="006E00F4" w:rsidRDefault="00861DC8"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bookmarkStart w:id="0" w:name="_Hlk64363173"/>
      <w:bookmarkStart w:id="1" w:name="_Hlk43712519"/>
      <w:r w:rsidRPr="006E00F4">
        <w:rPr>
          <w:rFonts w:asciiTheme="majorHAnsi" w:eastAsiaTheme="majorEastAsia" w:hAnsiTheme="majorHAnsi"/>
          <w:b/>
          <w:lang w:eastAsia="zh-TW"/>
        </w:rPr>
        <w:t>2024</w:t>
      </w:r>
      <w:r w:rsidRPr="006E00F4">
        <w:rPr>
          <w:rFonts w:asciiTheme="majorHAnsi" w:eastAsiaTheme="majorEastAsia" w:hAnsiTheme="majorHAnsi" w:hint="eastAsia"/>
          <w:b/>
          <w:lang w:eastAsia="zh-TW"/>
        </w:rPr>
        <w:t>財年業績表現強勁</w:t>
      </w:r>
    </w:p>
    <w:bookmarkEnd w:id="0"/>
    <w:bookmarkEnd w:id="1"/>
    <w:p w14:paraId="4AD12596" w14:textId="7519F238"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銷售額：</w:t>
      </w:r>
      <w:r w:rsidRPr="006E00F4">
        <w:rPr>
          <w:rFonts w:asciiTheme="majorHAnsi" w:eastAsiaTheme="majorEastAsia" w:hAnsiTheme="majorHAnsi"/>
          <w:b/>
          <w:lang w:eastAsia="zh-TW"/>
        </w:rPr>
        <w:t>216</w:t>
      </w:r>
      <w:r w:rsidRPr="006E00F4">
        <w:rPr>
          <w:rFonts w:asciiTheme="majorHAnsi" w:eastAsiaTheme="majorEastAsia" w:hAnsiTheme="majorHAnsi" w:hint="eastAsia"/>
          <w:b/>
          <w:lang w:eastAsia="zh-TW"/>
        </w:rPr>
        <w:t>億歐元，有機增長</w:t>
      </w:r>
      <w:r w:rsidRPr="006E00F4">
        <w:rPr>
          <w:rFonts w:asciiTheme="majorHAnsi" w:eastAsiaTheme="majorEastAsia" w:hAnsiTheme="majorHAnsi"/>
          <w:b/>
          <w:lang w:eastAsia="zh-TW"/>
        </w:rPr>
        <w:t>2.6%</w:t>
      </w:r>
    </w:p>
    <w:p w14:paraId="77445BAB" w14:textId="6E3597AF"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營業利潤（息稅前利潤）</w:t>
      </w:r>
      <w:r w:rsidRPr="006E00F4">
        <w:rPr>
          <w:rFonts w:asciiTheme="majorHAnsi" w:eastAsiaTheme="majorEastAsia" w:hAnsiTheme="majorHAnsi"/>
          <w:b/>
          <w:lang w:eastAsia="zh-TW"/>
        </w:rPr>
        <w:t>*</w:t>
      </w:r>
      <w:r w:rsidRPr="006E00F4">
        <w:rPr>
          <w:rFonts w:asciiTheme="majorHAnsi" w:eastAsiaTheme="majorEastAsia" w:hAnsiTheme="majorHAnsi" w:hint="eastAsia"/>
          <w:b/>
          <w:lang w:eastAsia="zh-TW"/>
        </w:rPr>
        <w:t>：</w:t>
      </w:r>
      <w:r w:rsidRPr="006E00F4">
        <w:rPr>
          <w:rFonts w:asciiTheme="majorHAnsi" w:eastAsiaTheme="majorEastAsia" w:hAnsiTheme="majorHAnsi"/>
          <w:b/>
          <w:lang w:eastAsia="zh-TW"/>
        </w:rPr>
        <w:t>31</w:t>
      </w:r>
      <w:r w:rsidRPr="006E00F4">
        <w:rPr>
          <w:rFonts w:asciiTheme="majorHAnsi" w:eastAsiaTheme="majorEastAsia" w:hAnsiTheme="majorHAnsi" w:hint="eastAsia"/>
          <w:b/>
          <w:lang w:eastAsia="zh-TW"/>
        </w:rPr>
        <w:t>億歐元，強勁增長</w:t>
      </w:r>
      <w:r w:rsidRPr="006E00F4">
        <w:rPr>
          <w:rFonts w:asciiTheme="majorHAnsi" w:eastAsiaTheme="majorEastAsia" w:hAnsiTheme="majorHAnsi"/>
          <w:b/>
          <w:lang w:eastAsia="zh-TW"/>
        </w:rPr>
        <w:t>20.9%</w:t>
      </w:r>
    </w:p>
    <w:p w14:paraId="3362E46B" w14:textId="55B70432"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息稅前利潤率</w:t>
      </w:r>
      <w:r w:rsidRPr="006E00F4">
        <w:rPr>
          <w:rFonts w:asciiTheme="majorHAnsi" w:eastAsiaTheme="majorEastAsia" w:hAnsiTheme="majorHAnsi"/>
          <w:b/>
          <w:lang w:eastAsia="zh-TW"/>
        </w:rPr>
        <w:t>*</w:t>
      </w:r>
      <w:r w:rsidRPr="006E00F4">
        <w:rPr>
          <w:rFonts w:asciiTheme="majorHAnsi" w:eastAsiaTheme="majorEastAsia" w:hAnsiTheme="majorHAnsi" w:hint="eastAsia"/>
          <w:b/>
          <w:lang w:eastAsia="zh-TW"/>
        </w:rPr>
        <w:t>：</w:t>
      </w:r>
      <w:r w:rsidRPr="006E00F4">
        <w:rPr>
          <w:rFonts w:asciiTheme="majorHAnsi" w:eastAsiaTheme="majorEastAsia" w:hAnsiTheme="majorHAnsi"/>
          <w:b/>
          <w:lang w:eastAsia="zh-TW"/>
        </w:rPr>
        <w:t>14.3%</w:t>
      </w:r>
      <w:r w:rsidRPr="006E00F4">
        <w:rPr>
          <w:rFonts w:asciiTheme="majorHAnsi" w:eastAsiaTheme="majorEastAsia" w:hAnsiTheme="majorHAnsi" w:hint="eastAsia"/>
          <w:b/>
          <w:lang w:eastAsia="zh-TW"/>
        </w:rPr>
        <w:t>，大幅提高</w:t>
      </w:r>
      <w:r w:rsidRPr="006E00F4">
        <w:rPr>
          <w:rFonts w:asciiTheme="majorHAnsi" w:eastAsiaTheme="majorEastAsia" w:hAnsiTheme="majorHAnsi"/>
          <w:b/>
          <w:lang w:eastAsia="zh-TW"/>
        </w:rPr>
        <w:t>240</w:t>
      </w:r>
      <w:r w:rsidRPr="006E00F4">
        <w:rPr>
          <w:rFonts w:asciiTheme="majorHAnsi" w:eastAsiaTheme="majorEastAsia" w:hAnsiTheme="majorHAnsi" w:hint="eastAsia"/>
          <w:b/>
          <w:lang w:eastAsia="zh-TW"/>
        </w:rPr>
        <w:t>個基點</w:t>
      </w:r>
    </w:p>
    <w:p w14:paraId="358451C8" w14:textId="53C8DEE9"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優先股每股收益（</w:t>
      </w:r>
      <w:r w:rsidRPr="006E00F4">
        <w:rPr>
          <w:rFonts w:asciiTheme="majorHAnsi" w:eastAsiaTheme="majorEastAsia" w:hAnsiTheme="majorHAnsi"/>
          <w:b/>
          <w:lang w:eastAsia="zh-TW"/>
        </w:rPr>
        <w:t>EPS</w:t>
      </w:r>
      <w:r w:rsidRPr="006E00F4">
        <w:rPr>
          <w:rFonts w:asciiTheme="majorHAnsi" w:eastAsiaTheme="majorEastAsia" w:hAnsiTheme="majorHAnsi" w:hint="eastAsia"/>
          <w:b/>
          <w:lang w:eastAsia="zh-TW"/>
        </w:rPr>
        <w:t>）</w:t>
      </w:r>
      <w:r w:rsidRPr="006E00F4">
        <w:rPr>
          <w:rFonts w:asciiTheme="majorHAnsi" w:eastAsiaTheme="majorEastAsia" w:hAnsiTheme="majorHAnsi"/>
          <w:b/>
          <w:lang w:eastAsia="zh-TW"/>
        </w:rPr>
        <w:t>*</w:t>
      </w:r>
      <w:r>
        <w:rPr>
          <w:rFonts w:asciiTheme="majorHAnsi" w:eastAsiaTheme="majorEastAsia" w:hAnsiTheme="majorHAnsi" w:hint="eastAsia"/>
          <w:b/>
          <w:lang w:eastAsia="zh-TW"/>
        </w:rPr>
        <w:t>顯著提升：</w:t>
      </w:r>
      <w:r w:rsidRPr="006E00F4">
        <w:rPr>
          <w:rFonts w:asciiTheme="majorHAnsi" w:eastAsiaTheme="majorEastAsia" w:hAnsiTheme="majorHAnsi"/>
          <w:b/>
          <w:lang w:eastAsia="zh-TW"/>
        </w:rPr>
        <w:t>5.36</w:t>
      </w:r>
      <w:r w:rsidRPr="006E00F4">
        <w:rPr>
          <w:rFonts w:asciiTheme="majorHAnsi" w:eastAsiaTheme="majorEastAsia" w:hAnsiTheme="majorHAnsi" w:hint="eastAsia"/>
          <w:b/>
          <w:lang w:eastAsia="zh-TW"/>
        </w:rPr>
        <w:t>歐元，按固定匯率計算增長</w:t>
      </w:r>
      <w:r w:rsidRPr="006E00F4">
        <w:rPr>
          <w:rFonts w:asciiTheme="majorHAnsi" w:eastAsiaTheme="majorEastAsia" w:hAnsiTheme="majorHAnsi"/>
          <w:b/>
          <w:lang w:eastAsia="zh-TW"/>
        </w:rPr>
        <w:t>25.1%</w:t>
      </w:r>
    </w:p>
    <w:p w14:paraId="7696934F" w14:textId="0BD0DF98"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自由現金流充足，高達</w:t>
      </w:r>
      <w:r w:rsidRPr="006E00F4">
        <w:rPr>
          <w:rFonts w:asciiTheme="majorHAnsi" w:eastAsiaTheme="majorEastAsia" w:hAnsiTheme="majorHAnsi"/>
          <w:b/>
          <w:lang w:eastAsia="zh-TW"/>
        </w:rPr>
        <w:t>24</w:t>
      </w:r>
      <w:r w:rsidRPr="006E00F4">
        <w:rPr>
          <w:rFonts w:asciiTheme="majorHAnsi" w:eastAsiaTheme="majorEastAsia" w:hAnsiTheme="majorHAnsi" w:hint="eastAsia"/>
          <w:b/>
          <w:lang w:eastAsia="zh-TW"/>
        </w:rPr>
        <w:t>億歐元</w:t>
      </w:r>
    </w:p>
    <w:p w14:paraId="14E22DE1" w14:textId="74856366" w:rsidR="004B2C19" w:rsidRPr="006E00F4" w:rsidRDefault="00861DC8"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r>
        <w:rPr>
          <w:rFonts w:asciiTheme="majorHAnsi" w:eastAsiaTheme="majorEastAsia" w:hAnsiTheme="majorHAnsi" w:hint="eastAsia"/>
          <w:b/>
          <w:lang w:eastAsia="zh-TW"/>
        </w:rPr>
        <w:t>提議</w:t>
      </w:r>
      <w:r w:rsidRPr="006E00F4">
        <w:rPr>
          <w:rFonts w:asciiTheme="majorHAnsi" w:eastAsiaTheme="majorEastAsia" w:hAnsiTheme="majorHAnsi" w:hint="eastAsia"/>
          <w:b/>
          <w:lang w:eastAsia="zh-TW"/>
        </w:rPr>
        <w:t>兩位數百分比</w:t>
      </w:r>
      <w:r>
        <w:rPr>
          <w:rFonts w:asciiTheme="majorHAnsi" w:eastAsiaTheme="majorEastAsia" w:hAnsiTheme="majorHAnsi" w:hint="eastAsia"/>
          <w:b/>
          <w:lang w:eastAsia="zh-TW"/>
        </w:rPr>
        <w:t>的</w:t>
      </w:r>
      <w:r w:rsidRPr="006E00F4">
        <w:rPr>
          <w:rFonts w:asciiTheme="majorHAnsi" w:eastAsiaTheme="majorEastAsia" w:hAnsiTheme="majorHAnsi" w:hint="eastAsia"/>
          <w:b/>
          <w:lang w:eastAsia="zh-TW"/>
        </w:rPr>
        <w:t>股息增幅：優先股每股為</w:t>
      </w:r>
      <w:r w:rsidRPr="006E00F4">
        <w:rPr>
          <w:rFonts w:asciiTheme="majorHAnsi" w:eastAsiaTheme="majorEastAsia" w:hAnsiTheme="majorHAnsi"/>
          <w:b/>
          <w:lang w:eastAsia="zh-TW"/>
        </w:rPr>
        <w:t>2.04</w:t>
      </w:r>
      <w:r w:rsidRPr="006E00F4">
        <w:rPr>
          <w:rFonts w:asciiTheme="majorHAnsi" w:eastAsiaTheme="majorEastAsia" w:hAnsiTheme="majorHAnsi" w:hint="eastAsia"/>
          <w:b/>
          <w:lang w:eastAsia="zh-TW"/>
        </w:rPr>
        <w:t>歐元（增長</w:t>
      </w:r>
      <w:r w:rsidRPr="006E00F4">
        <w:rPr>
          <w:rFonts w:asciiTheme="majorHAnsi" w:eastAsiaTheme="majorEastAsia" w:hAnsiTheme="majorHAnsi"/>
          <w:b/>
          <w:lang w:eastAsia="zh-TW"/>
        </w:rPr>
        <w:t>10.3%</w:t>
      </w:r>
      <w:r w:rsidRPr="006E00F4">
        <w:rPr>
          <w:rFonts w:asciiTheme="majorHAnsi" w:eastAsiaTheme="majorEastAsia" w:hAnsiTheme="majorHAnsi" w:hint="eastAsia"/>
          <w:b/>
          <w:lang w:eastAsia="zh-TW"/>
        </w:rPr>
        <w:t>）</w:t>
      </w:r>
    </w:p>
    <w:p w14:paraId="5168F1C0" w14:textId="16A708B5" w:rsidR="00B0701C" w:rsidRPr="006E00F4" w:rsidRDefault="00861DC8" w:rsidP="004B2C19">
      <w:pPr>
        <w:pStyle w:val="ListParagraph"/>
        <w:numPr>
          <w:ilvl w:val="0"/>
          <w:numId w:val="7"/>
        </w:numPr>
        <w:spacing w:after="80"/>
        <w:ind w:left="357" w:right="-108" w:hanging="357"/>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決定</w:t>
      </w:r>
      <w:r>
        <w:rPr>
          <w:rFonts w:asciiTheme="majorHAnsi" w:eastAsiaTheme="majorEastAsia" w:hAnsiTheme="majorHAnsi" w:hint="eastAsia"/>
          <w:b/>
          <w:lang w:eastAsia="zh-TW"/>
        </w:rPr>
        <w:t>實施</w:t>
      </w:r>
      <w:r w:rsidRPr="006E00F4">
        <w:rPr>
          <w:rFonts w:asciiTheme="majorHAnsi" w:eastAsiaTheme="majorEastAsia" w:hAnsiTheme="majorHAnsi" w:hint="eastAsia"/>
          <w:b/>
          <w:lang w:eastAsia="zh-TW"/>
        </w:rPr>
        <w:t>高達</w:t>
      </w:r>
      <w:r w:rsidRPr="006E00F4">
        <w:rPr>
          <w:rFonts w:asciiTheme="majorHAnsi" w:eastAsiaTheme="majorEastAsia" w:hAnsiTheme="majorHAnsi"/>
          <w:b/>
          <w:lang w:eastAsia="zh-TW"/>
        </w:rPr>
        <w:t>10</w:t>
      </w:r>
      <w:r w:rsidRPr="006E00F4">
        <w:rPr>
          <w:rFonts w:asciiTheme="majorHAnsi" w:eastAsiaTheme="majorEastAsia" w:hAnsiTheme="majorHAnsi" w:hint="eastAsia"/>
          <w:b/>
          <w:lang w:eastAsia="zh-TW"/>
        </w:rPr>
        <w:t>億歐元的新</w:t>
      </w:r>
      <w:r>
        <w:rPr>
          <w:rFonts w:asciiTheme="majorHAnsi" w:eastAsiaTheme="majorEastAsia" w:hAnsiTheme="majorHAnsi" w:hint="eastAsia"/>
          <w:b/>
          <w:lang w:eastAsia="zh-TW"/>
        </w:rPr>
        <w:t>股票回購計畫</w:t>
      </w:r>
    </w:p>
    <w:p w14:paraId="5970E292" w14:textId="73BBBA4D" w:rsidR="004B2C19" w:rsidRPr="006E00F4" w:rsidRDefault="00861DC8" w:rsidP="004B2C19">
      <w:pPr>
        <w:numPr>
          <w:ilvl w:val="0"/>
          <w:numId w:val="7"/>
        </w:numPr>
        <w:spacing w:after="80"/>
        <w:ind w:left="357" w:right="-108" w:hanging="357"/>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進一步加快實施目標性增長議程</w:t>
      </w:r>
    </w:p>
    <w:p w14:paraId="508F831F" w14:textId="1DE84BBE"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消費品牌業務部：整合速度快於預期，產品組合措施已</w:t>
      </w:r>
      <w:r>
        <w:rPr>
          <w:rFonts w:asciiTheme="majorHAnsi" w:eastAsiaTheme="majorEastAsia" w:hAnsiTheme="majorHAnsi" w:hint="eastAsia"/>
          <w:b/>
          <w:lang w:eastAsia="zh-TW"/>
        </w:rPr>
        <w:t>完成</w:t>
      </w:r>
      <w:r w:rsidRPr="006E00F4">
        <w:rPr>
          <w:rFonts w:asciiTheme="majorHAnsi" w:eastAsiaTheme="majorEastAsia" w:hAnsiTheme="majorHAnsi" w:hint="eastAsia"/>
          <w:b/>
          <w:lang w:eastAsia="zh-TW"/>
        </w:rPr>
        <w:t>，到</w:t>
      </w:r>
      <w:r w:rsidRPr="006E00F4">
        <w:rPr>
          <w:rFonts w:asciiTheme="majorHAnsi" w:eastAsiaTheme="majorEastAsia" w:hAnsiTheme="majorHAnsi"/>
          <w:b/>
          <w:lang w:eastAsia="zh-TW"/>
        </w:rPr>
        <w:t>2025</w:t>
      </w:r>
      <w:r w:rsidRPr="006E00F4">
        <w:rPr>
          <w:rFonts w:asciiTheme="majorHAnsi" w:eastAsiaTheme="majorEastAsia" w:hAnsiTheme="majorHAnsi" w:hint="eastAsia"/>
          <w:b/>
          <w:lang w:eastAsia="zh-TW"/>
        </w:rPr>
        <w:t>年底將實現全部成本節約計畫</w:t>
      </w:r>
    </w:p>
    <w:p w14:paraId="79DE9E4C" w14:textId="268BAEB5" w:rsidR="004B2C19" w:rsidRPr="006E00F4" w:rsidRDefault="00861DC8" w:rsidP="00C6636E">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粘合劑技術業務部：</w:t>
      </w:r>
      <w:r w:rsidRPr="006E00F4">
        <w:rPr>
          <w:rFonts w:asciiTheme="majorHAnsi" w:eastAsiaTheme="majorEastAsia" w:hAnsiTheme="majorHAnsi"/>
          <w:b/>
          <w:lang w:eastAsia="zh-TW"/>
        </w:rPr>
        <w:t>2023</w:t>
      </w:r>
      <w:r w:rsidRPr="006E00F4">
        <w:rPr>
          <w:rFonts w:asciiTheme="majorHAnsi" w:eastAsiaTheme="majorEastAsia" w:hAnsiTheme="majorHAnsi" w:hint="eastAsia"/>
          <w:b/>
          <w:lang w:eastAsia="zh-TW"/>
        </w:rPr>
        <w:t>年實施的新架構已見成效</w:t>
      </w:r>
    </w:p>
    <w:p w14:paraId="7BF3BBB5" w14:textId="27D857A7" w:rsidR="004B2C19" w:rsidRPr="006E00F4" w:rsidRDefault="00861DC8" w:rsidP="005F00E8">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遠大的氣候保護目標：確定淨零排放路線圖</w:t>
      </w:r>
    </w:p>
    <w:p w14:paraId="36ABD4AA" w14:textId="36B6F86C" w:rsidR="004B2C19" w:rsidRPr="006E00F4" w:rsidRDefault="00861DC8" w:rsidP="004B2C19">
      <w:pPr>
        <w:numPr>
          <w:ilvl w:val="0"/>
          <w:numId w:val="7"/>
        </w:numPr>
        <w:spacing w:after="80"/>
        <w:ind w:left="357" w:right="-108" w:hanging="357"/>
        <w:jc w:val="left"/>
        <w:rPr>
          <w:rFonts w:asciiTheme="majorHAnsi" w:eastAsiaTheme="majorEastAsia" w:hAnsiTheme="majorHAnsi" w:cstheme="majorHAnsi"/>
          <w:b/>
          <w:szCs w:val="22"/>
        </w:rPr>
      </w:pPr>
      <w:r w:rsidRPr="006E00F4">
        <w:rPr>
          <w:rFonts w:asciiTheme="majorHAnsi" w:eastAsiaTheme="majorEastAsia" w:hAnsiTheme="majorHAnsi"/>
          <w:b/>
          <w:lang w:eastAsia="zh-TW"/>
        </w:rPr>
        <w:t>2025</w:t>
      </w:r>
      <w:r w:rsidRPr="006E00F4">
        <w:rPr>
          <w:rFonts w:asciiTheme="majorHAnsi" w:eastAsiaTheme="majorEastAsia" w:hAnsiTheme="majorHAnsi" w:hint="eastAsia"/>
          <w:b/>
          <w:lang w:eastAsia="zh-TW"/>
        </w:rPr>
        <w:t>財年展望：有望進一步實現</w:t>
      </w:r>
      <w:r>
        <w:rPr>
          <w:rFonts w:asciiTheme="majorHAnsi" w:eastAsiaTheme="majorEastAsia" w:hAnsiTheme="majorHAnsi" w:hint="eastAsia"/>
          <w:b/>
          <w:lang w:eastAsia="zh-TW"/>
        </w:rPr>
        <w:t>營收和利潤</w:t>
      </w:r>
      <w:r w:rsidRPr="006E00F4">
        <w:rPr>
          <w:rFonts w:asciiTheme="majorHAnsi" w:eastAsiaTheme="majorEastAsia" w:hAnsiTheme="majorHAnsi" w:hint="eastAsia"/>
          <w:b/>
          <w:lang w:eastAsia="zh-TW"/>
        </w:rPr>
        <w:t>增長</w:t>
      </w:r>
      <w:r>
        <w:rPr>
          <w:rFonts w:asciiTheme="majorHAnsi" w:eastAsiaTheme="majorEastAsia" w:hAnsiTheme="majorHAnsi" w:hint="eastAsia"/>
          <w:b/>
          <w:lang w:eastAsia="zh-TW"/>
        </w:rPr>
        <w:t>，</w:t>
      </w:r>
      <w:r w:rsidRPr="006E00F4">
        <w:rPr>
          <w:rFonts w:asciiTheme="majorHAnsi" w:eastAsiaTheme="majorEastAsia" w:hAnsiTheme="majorHAnsi" w:hint="eastAsia"/>
          <w:b/>
          <w:lang w:eastAsia="zh-TW"/>
        </w:rPr>
        <w:t>年初增長</w:t>
      </w:r>
      <w:r>
        <w:rPr>
          <w:rFonts w:asciiTheme="majorHAnsi" w:eastAsiaTheme="majorEastAsia" w:hAnsiTheme="majorHAnsi" w:hint="eastAsia"/>
          <w:b/>
          <w:lang w:eastAsia="zh-TW"/>
        </w:rPr>
        <w:t>緩慢</w:t>
      </w:r>
      <w:r w:rsidRPr="006E00F4">
        <w:rPr>
          <w:rFonts w:asciiTheme="majorHAnsi" w:eastAsiaTheme="majorEastAsia" w:hAnsiTheme="majorHAnsi" w:hint="eastAsia"/>
          <w:b/>
          <w:lang w:eastAsia="zh-TW"/>
        </w:rPr>
        <w:t>，</w:t>
      </w:r>
      <w:r>
        <w:rPr>
          <w:rFonts w:asciiTheme="majorHAnsi" w:eastAsiaTheme="majorEastAsia" w:hAnsiTheme="majorHAnsi" w:hint="eastAsia"/>
          <w:b/>
          <w:lang w:eastAsia="zh-TW"/>
        </w:rPr>
        <w:t>年內將</w:t>
      </w:r>
      <w:r w:rsidRPr="006E00F4">
        <w:rPr>
          <w:rFonts w:asciiTheme="majorHAnsi" w:eastAsiaTheme="majorEastAsia" w:hAnsiTheme="majorHAnsi" w:hint="eastAsia"/>
          <w:b/>
          <w:lang w:eastAsia="zh-TW"/>
        </w:rPr>
        <w:t>逐漸加速</w:t>
      </w:r>
    </w:p>
    <w:p w14:paraId="1B9BC818" w14:textId="19CC30E8" w:rsidR="004B2C19" w:rsidRPr="006E00F4" w:rsidRDefault="00861DC8"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有機銷售額增長：</w:t>
      </w:r>
      <w:r w:rsidRPr="006E00F4">
        <w:rPr>
          <w:rFonts w:asciiTheme="majorHAnsi" w:eastAsiaTheme="majorEastAsia" w:hAnsiTheme="majorHAnsi"/>
          <w:b/>
          <w:lang w:eastAsia="zh-TW"/>
        </w:rPr>
        <w:t>1.5</w:t>
      </w:r>
      <w:r>
        <w:rPr>
          <w:rFonts w:asciiTheme="majorHAnsi" w:eastAsiaTheme="majorEastAsia" w:hAnsiTheme="majorHAnsi"/>
          <w:b/>
          <w:lang w:eastAsia="zh-TW"/>
        </w:rPr>
        <w:t>%</w:t>
      </w:r>
      <w:r w:rsidRPr="006E00F4">
        <w:rPr>
          <w:rFonts w:asciiTheme="majorHAnsi" w:eastAsiaTheme="majorEastAsia" w:hAnsiTheme="majorHAnsi"/>
          <w:b/>
          <w:lang w:eastAsia="zh-TW"/>
        </w:rPr>
        <w:t xml:space="preserve"> - 3.5</w:t>
      </w:r>
      <w:r>
        <w:rPr>
          <w:rFonts w:asciiTheme="majorHAnsi" w:eastAsiaTheme="majorEastAsia" w:hAnsiTheme="majorHAnsi"/>
          <w:b/>
          <w:lang w:eastAsia="zh-TW"/>
        </w:rPr>
        <w:t>%</w:t>
      </w:r>
    </w:p>
    <w:p w14:paraId="4608D3C3" w14:textId="5F708146" w:rsidR="004B2C19" w:rsidRPr="006E00F4" w:rsidRDefault="00861DC8"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息稅前利潤率</w:t>
      </w:r>
      <w:r w:rsidRPr="006E00F4">
        <w:rPr>
          <w:rFonts w:asciiTheme="majorHAnsi" w:eastAsiaTheme="majorEastAsia" w:hAnsiTheme="majorHAnsi"/>
          <w:b/>
          <w:lang w:eastAsia="zh-TW"/>
        </w:rPr>
        <w:t>*</w:t>
      </w:r>
      <w:r w:rsidRPr="006E00F4">
        <w:rPr>
          <w:rFonts w:asciiTheme="majorHAnsi" w:eastAsiaTheme="majorEastAsia" w:hAnsiTheme="majorHAnsi" w:hint="eastAsia"/>
          <w:b/>
          <w:lang w:eastAsia="zh-TW"/>
        </w:rPr>
        <w:t>：</w:t>
      </w:r>
      <w:r w:rsidRPr="006E00F4">
        <w:rPr>
          <w:rFonts w:asciiTheme="majorHAnsi" w:eastAsiaTheme="majorEastAsia" w:hAnsiTheme="majorHAnsi"/>
          <w:b/>
          <w:lang w:eastAsia="zh-TW"/>
        </w:rPr>
        <w:t>14.0</w:t>
      </w:r>
      <w:r>
        <w:rPr>
          <w:rFonts w:asciiTheme="majorHAnsi" w:eastAsiaTheme="majorEastAsia" w:hAnsiTheme="majorHAnsi"/>
          <w:b/>
          <w:lang w:eastAsia="zh-TW"/>
        </w:rPr>
        <w:t>%</w:t>
      </w:r>
      <w:r w:rsidRPr="006E00F4">
        <w:rPr>
          <w:rFonts w:asciiTheme="majorHAnsi" w:eastAsiaTheme="majorEastAsia" w:hAnsiTheme="majorHAnsi"/>
          <w:b/>
          <w:lang w:eastAsia="zh-TW"/>
        </w:rPr>
        <w:t xml:space="preserve"> - 15.5</w:t>
      </w:r>
      <w:r>
        <w:rPr>
          <w:rFonts w:asciiTheme="majorHAnsi" w:eastAsiaTheme="majorEastAsia" w:hAnsiTheme="majorHAnsi"/>
          <w:b/>
          <w:lang w:eastAsia="zh-TW"/>
        </w:rPr>
        <w:t>%</w:t>
      </w:r>
    </w:p>
    <w:p w14:paraId="27CFC2DD" w14:textId="35FAC0BC" w:rsidR="004B2C19" w:rsidRPr="006E00F4" w:rsidRDefault="00861DC8" w:rsidP="00C82433">
      <w:pPr>
        <w:pStyle w:val="ListParagraph"/>
        <w:numPr>
          <w:ilvl w:val="1"/>
          <w:numId w:val="7"/>
        </w:numPr>
        <w:spacing w:after="80" w:line="266" w:lineRule="auto"/>
        <w:ind w:left="567" w:right="-108" w:hanging="283"/>
        <w:contextualSpacing w:val="0"/>
        <w:jc w:val="left"/>
        <w:rPr>
          <w:rFonts w:asciiTheme="majorHAnsi" w:eastAsiaTheme="majorEastAsia" w:hAnsiTheme="majorHAnsi" w:cstheme="majorHAnsi"/>
          <w:b/>
          <w:szCs w:val="22"/>
        </w:rPr>
      </w:pPr>
      <w:r w:rsidRPr="006E00F4">
        <w:rPr>
          <w:rFonts w:asciiTheme="majorHAnsi" w:eastAsiaTheme="majorEastAsia" w:hAnsiTheme="majorHAnsi" w:hint="eastAsia"/>
          <w:b/>
          <w:lang w:eastAsia="zh-TW"/>
        </w:rPr>
        <w:t>優先股每股收益（</w:t>
      </w:r>
      <w:r w:rsidRPr="006E00F4">
        <w:rPr>
          <w:rFonts w:asciiTheme="majorHAnsi" w:eastAsiaTheme="majorEastAsia" w:hAnsiTheme="majorHAnsi"/>
          <w:b/>
          <w:lang w:eastAsia="zh-TW"/>
        </w:rPr>
        <w:t>EPS</w:t>
      </w:r>
      <w:r w:rsidRPr="006E00F4">
        <w:rPr>
          <w:rFonts w:asciiTheme="majorHAnsi" w:eastAsiaTheme="majorEastAsia" w:hAnsiTheme="majorHAnsi" w:hint="eastAsia"/>
          <w:b/>
          <w:lang w:eastAsia="zh-TW"/>
        </w:rPr>
        <w:t>）</w:t>
      </w:r>
      <w:r w:rsidRPr="006E00F4">
        <w:rPr>
          <w:rFonts w:asciiTheme="majorHAnsi" w:eastAsiaTheme="majorEastAsia" w:hAnsiTheme="majorHAnsi"/>
          <w:b/>
          <w:lang w:eastAsia="zh-TW"/>
        </w:rPr>
        <w:t>*</w:t>
      </w:r>
      <w:r w:rsidRPr="006E00F4">
        <w:rPr>
          <w:rFonts w:asciiTheme="majorHAnsi" w:eastAsiaTheme="majorEastAsia" w:hAnsiTheme="majorHAnsi" w:hint="eastAsia"/>
          <w:b/>
          <w:lang w:eastAsia="zh-TW"/>
        </w:rPr>
        <w:t>：增幅介於較低至較高個位數百分比之間（按固定匯率計算）</w:t>
      </w:r>
    </w:p>
    <w:p w14:paraId="68736D07" w14:textId="77777777" w:rsidR="004B2C19" w:rsidRPr="006E00F4" w:rsidRDefault="004B2C19" w:rsidP="004B2C19">
      <w:pPr>
        <w:spacing w:line="240" w:lineRule="auto"/>
        <w:rPr>
          <w:rFonts w:cs="Segoe UI"/>
          <w:sz w:val="16"/>
          <w:szCs w:val="16"/>
        </w:rPr>
      </w:pPr>
    </w:p>
    <w:p w14:paraId="0EE6A770" w14:textId="4DC884EF" w:rsidR="004B2C19" w:rsidRDefault="00861DC8" w:rsidP="00521834">
      <w:pPr>
        <w:rPr>
          <w:b/>
        </w:rPr>
      </w:pPr>
      <w:r w:rsidRPr="006E00F4">
        <w:rPr>
          <w:rFonts w:hint="eastAsia"/>
          <w:b/>
          <w:lang w:eastAsia="zh-TW"/>
        </w:rPr>
        <w:t>杜塞爾多夫</w:t>
      </w:r>
      <w:r w:rsidRPr="006E00F4">
        <w:rPr>
          <w:b/>
          <w:lang w:eastAsia="zh-TW"/>
        </w:rPr>
        <w:t xml:space="preserve"> </w:t>
      </w:r>
      <w:r w:rsidRPr="006E00F4">
        <w:rPr>
          <w:rFonts w:hint="eastAsia"/>
          <w:b/>
          <w:lang w:eastAsia="zh-TW"/>
        </w:rPr>
        <w:t>–</w:t>
      </w:r>
      <w:r w:rsidRPr="006E00F4">
        <w:rPr>
          <w:b/>
          <w:lang w:eastAsia="zh-TW"/>
        </w:rPr>
        <w:t xml:space="preserve"> </w:t>
      </w:r>
      <w:r w:rsidRPr="006E00F4">
        <w:rPr>
          <w:rFonts w:hint="eastAsia"/>
          <w:b/>
          <w:lang w:eastAsia="zh-TW"/>
        </w:rPr>
        <w:t>“</w:t>
      </w:r>
      <w:r w:rsidRPr="006E00F4">
        <w:rPr>
          <w:b/>
          <w:lang w:eastAsia="zh-TW"/>
        </w:rPr>
        <w:t>2024</w:t>
      </w:r>
      <w:r w:rsidRPr="006E00F4">
        <w:rPr>
          <w:rFonts w:hint="eastAsia"/>
          <w:b/>
          <w:lang w:eastAsia="zh-TW"/>
        </w:rPr>
        <w:t>財年再次面臨重大挑戰和眾多經濟不確定因素。儘管如此，我們在過去一年中依然持續推進漢高的發展，達成</w:t>
      </w:r>
      <w:r>
        <w:rPr>
          <w:rFonts w:hint="eastAsia"/>
          <w:b/>
          <w:lang w:eastAsia="zh-TW"/>
        </w:rPr>
        <w:t>甚至超越</w:t>
      </w:r>
      <w:r w:rsidRPr="006E00F4">
        <w:rPr>
          <w:rFonts w:hint="eastAsia"/>
          <w:b/>
          <w:lang w:eastAsia="zh-TW"/>
        </w:rPr>
        <w:t>了多個重要里程碑。最重要的是，</w:t>
      </w:r>
      <w:r w:rsidRPr="006E00F4">
        <w:rPr>
          <w:b/>
          <w:lang w:eastAsia="zh-TW"/>
        </w:rPr>
        <w:t>2024</w:t>
      </w:r>
      <w:r w:rsidRPr="006E00F4">
        <w:rPr>
          <w:rFonts w:hint="eastAsia"/>
          <w:b/>
          <w:lang w:eastAsia="zh-TW"/>
        </w:rPr>
        <w:t>年出色的業績</w:t>
      </w:r>
      <w:r>
        <w:rPr>
          <w:rFonts w:hint="eastAsia"/>
          <w:b/>
          <w:lang w:eastAsia="zh-TW"/>
        </w:rPr>
        <w:t>證明了</w:t>
      </w:r>
      <w:r w:rsidRPr="006E00F4">
        <w:rPr>
          <w:rFonts w:hint="eastAsia"/>
          <w:b/>
          <w:lang w:eastAsia="zh-TW"/>
        </w:rPr>
        <w:t>我們目標性增長議程</w:t>
      </w:r>
      <w:r>
        <w:rPr>
          <w:rFonts w:hint="eastAsia"/>
          <w:b/>
          <w:lang w:eastAsia="zh-TW"/>
        </w:rPr>
        <w:t>的</w:t>
      </w:r>
      <w:r w:rsidRPr="006E00F4">
        <w:rPr>
          <w:rFonts w:hint="eastAsia"/>
          <w:b/>
          <w:lang w:eastAsia="zh-TW"/>
        </w:rPr>
        <w:t>成功實施。</w:t>
      </w:r>
      <w:r>
        <w:rPr>
          <w:rFonts w:hint="eastAsia"/>
          <w:b/>
          <w:lang w:eastAsia="zh-TW"/>
        </w:rPr>
        <w:t>”</w:t>
      </w:r>
      <w:r w:rsidRPr="006E00F4">
        <w:rPr>
          <w:rFonts w:hint="eastAsia"/>
          <w:b/>
          <w:lang w:eastAsia="zh-TW"/>
        </w:rPr>
        <w:t>漢高首席執行官卡斯滕·諾貝爾</w:t>
      </w:r>
      <w:r w:rsidRPr="006E00F4">
        <w:rPr>
          <w:rFonts w:hint="eastAsia"/>
          <w:b/>
          <w:lang w:eastAsia="zh-TW"/>
        </w:rPr>
        <w:lastRenderedPageBreak/>
        <w:t>（</w:t>
      </w:r>
      <w:r w:rsidRPr="006E00F4">
        <w:rPr>
          <w:b/>
          <w:lang w:eastAsia="zh-TW"/>
        </w:rPr>
        <w:t>Carsten Knobel</w:t>
      </w:r>
      <w:r w:rsidRPr="006E00F4">
        <w:rPr>
          <w:rFonts w:hint="eastAsia"/>
          <w:b/>
          <w:lang w:eastAsia="zh-TW"/>
        </w:rPr>
        <w:t>）表示：</w:t>
      </w:r>
      <w:r>
        <w:rPr>
          <w:rFonts w:hint="eastAsia"/>
          <w:b/>
          <w:lang w:eastAsia="zh-TW"/>
        </w:rPr>
        <w:t>“</w:t>
      </w:r>
      <w:r w:rsidRPr="006E00F4">
        <w:rPr>
          <w:b/>
          <w:lang w:eastAsia="zh-TW"/>
        </w:rPr>
        <w:t>2024</w:t>
      </w:r>
      <w:r w:rsidRPr="006E00F4">
        <w:rPr>
          <w:rFonts w:hint="eastAsia"/>
          <w:b/>
          <w:lang w:eastAsia="zh-TW"/>
        </w:rPr>
        <w:t>年，我們實現了良好的有機銷售額增長，並顯著提高了盈利能力</w:t>
      </w:r>
      <w:r>
        <w:rPr>
          <w:rFonts w:hint="eastAsia"/>
          <w:b/>
          <w:lang w:eastAsia="zh-TW"/>
        </w:rPr>
        <w:t>——</w:t>
      </w:r>
      <w:r w:rsidRPr="006E00F4">
        <w:rPr>
          <w:rFonts w:hint="eastAsia"/>
          <w:b/>
          <w:lang w:eastAsia="zh-TW"/>
        </w:rPr>
        <w:t>在出色的毛利率增長支持下，利潤率大幅提高</w:t>
      </w:r>
      <w:r w:rsidRPr="006E00F4">
        <w:rPr>
          <w:b/>
          <w:lang w:eastAsia="zh-TW"/>
        </w:rPr>
        <w:t>2.4%</w:t>
      </w:r>
      <w:r w:rsidRPr="006E00F4">
        <w:rPr>
          <w:rFonts w:hint="eastAsia"/>
          <w:b/>
          <w:lang w:eastAsia="zh-TW"/>
        </w:rPr>
        <w:t>，優先股每股收益也大幅增長</w:t>
      </w:r>
      <w:r w:rsidRPr="006E00F4">
        <w:rPr>
          <w:b/>
          <w:lang w:eastAsia="zh-TW"/>
        </w:rPr>
        <w:t>25%</w:t>
      </w:r>
      <w:r w:rsidRPr="006E00F4">
        <w:rPr>
          <w:rFonts w:hint="eastAsia"/>
          <w:b/>
          <w:lang w:eastAsia="zh-TW"/>
        </w:rPr>
        <w:t>。有針對性地提高產品對客戶和消費者的價值，是我們盈利增長的主要驅動力。此外，消費品牌整合帶來的成本節約</w:t>
      </w:r>
      <w:r>
        <w:rPr>
          <w:rFonts w:hint="eastAsia"/>
          <w:b/>
          <w:lang w:eastAsia="zh-TW"/>
        </w:rPr>
        <w:t>與其</w:t>
      </w:r>
      <w:r w:rsidRPr="006E00F4">
        <w:rPr>
          <w:rFonts w:hint="eastAsia"/>
          <w:b/>
          <w:lang w:eastAsia="zh-TW"/>
        </w:rPr>
        <w:t>已宣佈的產品組合優化措施</w:t>
      </w:r>
      <w:r>
        <w:rPr>
          <w:rFonts w:hint="eastAsia"/>
          <w:b/>
          <w:lang w:eastAsia="zh-TW"/>
        </w:rPr>
        <w:t>也為</w:t>
      </w:r>
      <w:r w:rsidRPr="006E00F4">
        <w:rPr>
          <w:rFonts w:hint="eastAsia"/>
          <w:b/>
          <w:lang w:eastAsia="zh-TW"/>
        </w:rPr>
        <w:t>強勁的業績</w:t>
      </w:r>
      <w:r>
        <w:rPr>
          <w:rFonts w:hint="eastAsia"/>
          <w:b/>
          <w:lang w:eastAsia="zh-TW"/>
        </w:rPr>
        <w:t>表現做出貢獻</w:t>
      </w:r>
      <w:r w:rsidRPr="006E00F4">
        <w:rPr>
          <w:rFonts w:hint="eastAsia"/>
          <w:b/>
          <w:lang w:eastAsia="zh-TW"/>
        </w:rPr>
        <w:t>。”</w:t>
      </w:r>
    </w:p>
    <w:p w14:paraId="37A04B90" w14:textId="77777777" w:rsidR="008D455D" w:rsidRDefault="008D455D" w:rsidP="00521834">
      <w:pPr>
        <w:rPr>
          <w:b/>
        </w:rPr>
      </w:pPr>
    </w:p>
    <w:p w14:paraId="4F139B6C" w14:textId="4215DE4F" w:rsidR="008D455D" w:rsidRDefault="008D455D" w:rsidP="008D455D">
      <w:pPr>
        <w:jc w:val="center"/>
        <w:rPr>
          <w:rFonts w:cs="Segoe UI"/>
          <w:b/>
          <w:bCs/>
          <w:szCs w:val="22"/>
        </w:rPr>
      </w:pPr>
      <w:r>
        <w:rPr>
          <w:rFonts w:cs="Segoe UI" w:hint="eastAsia"/>
          <w:b/>
          <w:bCs/>
          <w:noProof/>
          <w:szCs w:val="22"/>
        </w:rPr>
        <w:drawing>
          <wp:inline distT="0" distB="0" distL="0" distR="0" wp14:anchorId="5BFE4D9F" wp14:editId="71851C98">
            <wp:extent cx="3562503" cy="2375133"/>
            <wp:effectExtent l="0" t="0" r="0" b="0"/>
            <wp:docPr id="88258270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582704" name="图片 8825827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97849" cy="2398698"/>
                    </a:xfrm>
                    <a:prstGeom prst="rect">
                      <a:avLst/>
                    </a:prstGeom>
                  </pic:spPr>
                </pic:pic>
              </a:graphicData>
            </a:graphic>
          </wp:inline>
        </w:drawing>
      </w:r>
    </w:p>
    <w:p w14:paraId="0CAC7CA3" w14:textId="76A8C659" w:rsidR="008D455D" w:rsidRPr="008D455D" w:rsidRDefault="00861DC8" w:rsidP="008D455D">
      <w:pPr>
        <w:jc w:val="center"/>
        <w:rPr>
          <w:rFonts w:asciiTheme="majorEastAsia" w:eastAsiaTheme="majorEastAsia" w:hAnsiTheme="majorEastAsia" w:cs="Segoe UI"/>
          <w:b/>
          <w:bCs/>
          <w:szCs w:val="22"/>
        </w:rPr>
      </w:pPr>
      <w:r w:rsidRPr="008D455D">
        <w:rPr>
          <w:rStyle w:val="normaltextrun"/>
          <w:rFonts w:asciiTheme="majorEastAsia" w:eastAsiaTheme="majorEastAsia" w:hAnsiTheme="majorEastAsia" w:cs="Segoe UI" w:hint="eastAsia"/>
          <w:i/>
          <w:iCs/>
          <w:color w:val="000000"/>
          <w:szCs w:val="22"/>
          <w:shd w:val="clear" w:color="auto" w:fill="FFFFFF"/>
          <w:lang w:eastAsia="zh-TW"/>
        </w:rPr>
        <w:t>漢高首席執行官卡斯滕</w:t>
      </w:r>
      <w:r w:rsidRPr="008D455D">
        <w:rPr>
          <w:rStyle w:val="normaltextrun"/>
          <w:rFonts w:asciiTheme="majorEastAsia" w:eastAsiaTheme="majorEastAsia" w:hAnsiTheme="majorEastAsia" w:cs="Arial"/>
          <w:i/>
          <w:iCs/>
          <w:color w:val="000000"/>
          <w:szCs w:val="22"/>
          <w:shd w:val="clear" w:color="auto" w:fill="FFFFFF"/>
          <w:lang w:eastAsia="zh-TW"/>
        </w:rPr>
        <w:t>·</w:t>
      </w:r>
      <w:r w:rsidRPr="008D455D">
        <w:rPr>
          <w:rStyle w:val="normaltextrun"/>
          <w:rFonts w:asciiTheme="majorEastAsia" w:eastAsiaTheme="majorEastAsia" w:hAnsiTheme="majorEastAsia" w:cs="Segoe UI" w:hint="eastAsia"/>
          <w:i/>
          <w:iCs/>
          <w:color w:val="000000"/>
          <w:szCs w:val="22"/>
          <w:shd w:val="clear" w:color="auto" w:fill="FFFFFF"/>
          <w:lang w:eastAsia="zh-TW"/>
        </w:rPr>
        <w:t>諾貝爾（</w:t>
      </w:r>
      <w:r w:rsidRPr="008D455D">
        <w:rPr>
          <w:rStyle w:val="normaltextrun"/>
          <w:rFonts w:asciiTheme="majorEastAsia" w:eastAsiaTheme="majorEastAsia" w:hAnsiTheme="majorEastAsia" w:cs="Arial"/>
          <w:i/>
          <w:iCs/>
          <w:color w:val="000000"/>
          <w:szCs w:val="22"/>
          <w:shd w:val="clear" w:color="auto" w:fill="FFFFFF"/>
          <w:lang w:eastAsia="zh-TW"/>
        </w:rPr>
        <w:t>Carsten Knobel</w:t>
      </w:r>
      <w:r w:rsidRPr="008D455D">
        <w:rPr>
          <w:rStyle w:val="normaltextrun"/>
          <w:rFonts w:asciiTheme="majorEastAsia" w:eastAsiaTheme="majorEastAsia" w:hAnsiTheme="majorEastAsia" w:cs="Arial" w:hint="eastAsia"/>
          <w:i/>
          <w:iCs/>
          <w:color w:val="000000"/>
          <w:szCs w:val="22"/>
          <w:shd w:val="clear" w:color="auto" w:fill="FFFFFF"/>
          <w:lang w:eastAsia="zh-TW"/>
        </w:rPr>
        <w:t>）</w:t>
      </w:r>
    </w:p>
    <w:p w14:paraId="41B22870" w14:textId="77777777" w:rsidR="004B2C19" w:rsidRPr="006E00F4" w:rsidRDefault="004B2C19" w:rsidP="004B2C19">
      <w:pPr>
        <w:rPr>
          <w:rFonts w:cs="Segoe UI"/>
          <w:b/>
          <w:bCs/>
          <w:szCs w:val="22"/>
        </w:rPr>
      </w:pPr>
    </w:p>
    <w:p w14:paraId="4EA256FE" w14:textId="6EAC7FB8" w:rsidR="00BB0AB3" w:rsidRPr="006E00F4" w:rsidRDefault="00861DC8" w:rsidP="00C82433">
      <w:pPr>
        <w:rPr>
          <w:rFonts w:cs="Segoe UI"/>
          <w:b/>
          <w:bCs/>
          <w:szCs w:val="22"/>
          <w:lang w:eastAsia="zh-TW"/>
        </w:rPr>
      </w:pPr>
      <w:r w:rsidRPr="006E00F4">
        <w:rPr>
          <w:rFonts w:hint="eastAsia"/>
          <w:b/>
          <w:lang w:eastAsia="zh-TW"/>
        </w:rPr>
        <w:t>卡斯滕·諾貝爾繼續說道：“與此同時，我們必須繼續</w:t>
      </w:r>
      <w:r>
        <w:rPr>
          <w:rFonts w:hint="eastAsia"/>
          <w:b/>
          <w:lang w:eastAsia="zh-TW"/>
        </w:rPr>
        <w:t>專注於</w:t>
      </w:r>
      <w:r w:rsidRPr="006E00F4">
        <w:rPr>
          <w:rFonts w:hint="eastAsia"/>
          <w:b/>
          <w:lang w:eastAsia="zh-TW"/>
        </w:rPr>
        <w:t>對業務和未來增長</w:t>
      </w:r>
      <w:r>
        <w:rPr>
          <w:rFonts w:hint="eastAsia"/>
          <w:b/>
          <w:lang w:eastAsia="zh-TW"/>
        </w:rPr>
        <w:t>的</w:t>
      </w:r>
      <w:r w:rsidRPr="006E00F4">
        <w:rPr>
          <w:rFonts w:hint="eastAsia"/>
          <w:b/>
          <w:lang w:eastAsia="zh-TW"/>
        </w:rPr>
        <w:t>投資，例如通過增加消費品業務的行銷活動</w:t>
      </w:r>
      <w:r>
        <w:rPr>
          <w:rFonts w:hint="eastAsia"/>
          <w:b/>
          <w:lang w:eastAsia="zh-TW"/>
        </w:rPr>
        <w:t>，</w:t>
      </w:r>
      <w:r w:rsidRPr="006E00F4">
        <w:rPr>
          <w:rFonts w:hint="eastAsia"/>
          <w:b/>
          <w:lang w:eastAsia="zh-TW"/>
        </w:rPr>
        <w:t>以及在兩個業務部</w:t>
      </w:r>
      <w:r>
        <w:rPr>
          <w:rFonts w:hint="eastAsia"/>
          <w:b/>
          <w:lang w:eastAsia="zh-TW"/>
        </w:rPr>
        <w:t>推動</w:t>
      </w:r>
      <w:r w:rsidRPr="006E00F4">
        <w:rPr>
          <w:rFonts w:hint="eastAsia"/>
          <w:b/>
          <w:lang w:eastAsia="zh-TW"/>
        </w:rPr>
        <w:t>成功的創新。我們希望股東們能夠參與公司的成功發展。因此，我們將在年度股東大會上提議以兩位數的百分比增加股息。我們還決定實施一項新的股票回購計畫，回購金額高達</w:t>
      </w:r>
      <w:r w:rsidRPr="006E00F4">
        <w:rPr>
          <w:b/>
          <w:lang w:eastAsia="zh-TW"/>
        </w:rPr>
        <w:t>10</w:t>
      </w:r>
      <w:r w:rsidRPr="006E00F4">
        <w:rPr>
          <w:rFonts w:hint="eastAsia"/>
          <w:b/>
          <w:lang w:eastAsia="zh-TW"/>
        </w:rPr>
        <w:t>億歐元。”</w:t>
      </w:r>
    </w:p>
    <w:p w14:paraId="44F022DE" w14:textId="77777777" w:rsidR="00BB0AB3" w:rsidRPr="006E00F4" w:rsidRDefault="00BB0AB3" w:rsidP="00C82433">
      <w:pPr>
        <w:rPr>
          <w:rFonts w:cs="Segoe UI"/>
          <w:b/>
          <w:bCs/>
          <w:szCs w:val="22"/>
          <w:lang w:eastAsia="zh-TW"/>
        </w:rPr>
      </w:pPr>
    </w:p>
    <w:p w14:paraId="1B63804D" w14:textId="6F2B4F52" w:rsidR="0000752F" w:rsidRPr="006E00F4" w:rsidRDefault="00861DC8" w:rsidP="00A43578">
      <w:pPr>
        <w:rPr>
          <w:rFonts w:cs="Segoe UI"/>
          <w:b/>
          <w:bCs/>
          <w:szCs w:val="22"/>
          <w:lang w:eastAsia="zh-TW"/>
        </w:rPr>
      </w:pPr>
      <w:r w:rsidRPr="006E00F4">
        <w:rPr>
          <w:rFonts w:hint="eastAsia"/>
          <w:b/>
          <w:lang w:eastAsia="zh-TW"/>
        </w:rPr>
        <w:t>卡斯滕·諾貝爾還總結道：“過去一年的業績清楚地表明，漢高的轉型正在取得成功</w:t>
      </w:r>
      <w:r>
        <w:rPr>
          <w:rFonts w:hint="eastAsia"/>
          <w:b/>
          <w:lang w:eastAsia="zh-TW"/>
        </w:rPr>
        <w:t>。</w:t>
      </w:r>
      <w:r w:rsidRPr="006E00F4">
        <w:rPr>
          <w:rFonts w:hint="eastAsia"/>
          <w:b/>
          <w:lang w:eastAsia="zh-TW"/>
        </w:rPr>
        <w:t>根據目標性增長</w:t>
      </w:r>
      <w:r w:rsidR="00A11B44">
        <w:rPr>
          <w:rFonts w:hint="eastAsia"/>
          <w:b/>
          <w:lang w:eastAsia="zh-TW"/>
        </w:rPr>
        <w:t>策略</w:t>
      </w:r>
      <w:r w:rsidRPr="006E00F4">
        <w:rPr>
          <w:rFonts w:hint="eastAsia"/>
          <w:b/>
          <w:lang w:eastAsia="zh-TW"/>
        </w:rPr>
        <w:t>議程，我們正</w:t>
      </w:r>
      <w:r>
        <w:rPr>
          <w:rFonts w:hint="eastAsia"/>
          <w:b/>
          <w:lang w:eastAsia="zh-TW"/>
        </w:rPr>
        <w:t>沿著正確的路線發展公司以制勝未來。</w:t>
      </w:r>
      <w:r w:rsidRPr="006E00F4">
        <w:rPr>
          <w:rFonts w:hint="eastAsia"/>
          <w:b/>
          <w:lang w:eastAsia="zh-TW"/>
        </w:rPr>
        <w:t>這也反映在對</w:t>
      </w:r>
      <w:r w:rsidRPr="006E00F4">
        <w:rPr>
          <w:b/>
          <w:lang w:eastAsia="zh-TW"/>
        </w:rPr>
        <w:t>2025</w:t>
      </w:r>
      <w:r w:rsidRPr="006E00F4">
        <w:rPr>
          <w:rFonts w:hint="eastAsia"/>
          <w:b/>
          <w:lang w:eastAsia="zh-TW"/>
        </w:rPr>
        <w:t>財年的展望中，儘管商業環境仍然充滿挑戰，但我們預計銷售額和盈利將實現進一步增長。我要感謝所有漢高員工的傑出表現。得益於他們的團隊合作和非凡承諾，我們再次成功帶領公司度過了充滿挑戰的一年。”</w:t>
      </w:r>
    </w:p>
    <w:p w14:paraId="533DBDF9" w14:textId="77777777" w:rsidR="004B2C19" w:rsidRPr="006E00F4" w:rsidRDefault="004B2C19" w:rsidP="004B2C19">
      <w:pPr>
        <w:spacing w:after="80"/>
        <w:rPr>
          <w:rFonts w:cs="Segoe UI"/>
          <w:szCs w:val="22"/>
          <w:lang w:eastAsia="de-DE"/>
        </w:rPr>
      </w:pPr>
    </w:p>
    <w:p w14:paraId="61E61866" w14:textId="6BA34877" w:rsidR="00A43578" w:rsidRPr="006E00F4" w:rsidRDefault="00861DC8" w:rsidP="00A43578">
      <w:pPr>
        <w:spacing w:after="120"/>
        <w:rPr>
          <w:rFonts w:cs="Segoe UI"/>
          <w:b/>
          <w:bCs/>
          <w:szCs w:val="22"/>
          <w:lang w:eastAsia="zh-TW"/>
        </w:rPr>
      </w:pPr>
      <w:r w:rsidRPr="006E00F4">
        <w:rPr>
          <w:b/>
          <w:lang w:eastAsia="zh-TW"/>
        </w:rPr>
        <w:t>2025</w:t>
      </w:r>
      <w:r w:rsidRPr="006E00F4">
        <w:rPr>
          <w:rFonts w:hint="eastAsia"/>
          <w:b/>
          <w:lang w:eastAsia="zh-TW"/>
        </w:rPr>
        <w:t>財年展望</w:t>
      </w:r>
    </w:p>
    <w:p w14:paraId="4B3B392C" w14:textId="1C1B0807" w:rsidR="00A43578" w:rsidRPr="006E00F4" w:rsidRDefault="00861DC8" w:rsidP="00A43578">
      <w:pPr>
        <w:rPr>
          <w:rFonts w:cs="Segoe UI"/>
          <w:szCs w:val="22"/>
          <w:lang w:eastAsia="zh-TW"/>
        </w:rPr>
      </w:pPr>
      <w:r w:rsidRPr="006E00F4">
        <w:rPr>
          <w:rFonts w:hint="eastAsia"/>
          <w:lang w:eastAsia="zh-TW"/>
        </w:rPr>
        <w:t>繼</w:t>
      </w:r>
      <w:r w:rsidRPr="006E00F4">
        <w:rPr>
          <w:lang w:eastAsia="zh-TW"/>
        </w:rPr>
        <w:t>2024</w:t>
      </w:r>
      <w:r w:rsidRPr="006E00F4">
        <w:rPr>
          <w:rFonts w:hint="eastAsia"/>
          <w:lang w:eastAsia="zh-TW"/>
        </w:rPr>
        <w:t>年平穩增長</w:t>
      </w:r>
      <w:r>
        <w:rPr>
          <w:rFonts w:hint="eastAsia"/>
          <w:lang w:eastAsia="zh-TW"/>
        </w:rPr>
        <w:t>的</w:t>
      </w:r>
      <w:r w:rsidRPr="006E00F4">
        <w:rPr>
          <w:rFonts w:hint="eastAsia"/>
          <w:lang w:eastAsia="zh-TW"/>
        </w:rPr>
        <w:t>勢頭後，預計</w:t>
      </w:r>
      <w:r w:rsidRPr="006E00F4">
        <w:rPr>
          <w:lang w:eastAsia="zh-TW"/>
        </w:rPr>
        <w:t>2025</w:t>
      </w:r>
      <w:r w:rsidRPr="006E00F4">
        <w:rPr>
          <w:rFonts w:hint="eastAsia"/>
          <w:lang w:eastAsia="zh-TW"/>
        </w:rPr>
        <w:t>年全球經濟產出仍將比較平穩。因此，假定</w:t>
      </w:r>
      <w:r>
        <w:rPr>
          <w:rFonts w:hint="eastAsia"/>
          <w:lang w:eastAsia="zh-TW"/>
        </w:rPr>
        <w:t>工業領域需求和</w:t>
      </w:r>
      <w:r w:rsidRPr="006E00F4">
        <w:rPr>
          <w:rFonts w:hint="eastAsia"/>
          <w:lang w:eastAsia="zh-TW"/>
        </w:rPr>
        <w:t>漢高消費品業務關鍵領域的消費需求都會適度增長。此外，根據目前的估計，與前幾年相比，</w:t>
      </w:r>
      <w:r w:rsidRPr="006E00F4">
        <w:rPr>
          <w:lang w:eastAsia="zh-TW"/>
        </w:rPr>
        <w:t>2025</w:t>
      </w:r>
      <w:r w:rsidRPr="006E00F4">
        <w:rPr>
          <w:rFonts w:hint="eastAsia"/>
          <w:lang w:eastAsia="zh-TW"/>
        </w:rPr>
        <w:t>財年的全球通脹率預計將繼續降低，利率也將下降。</w:t>
      </w:r>
    </w:p>
    <w:p w14:paraId="3A0D191D" w14:textId="77777777" w:rsidR="00A43578" w:rsidRPr="006E00F4" w:rsidRDefault="00A43578" w:rsidP="00A43578">
      <w:pPr>
        <w:rPr>
          <w:rFonts w:cs="Segoe UI"/>
          <w:szCs w:val="22"/>
          <w:lang w:eastAsia="zh-TW"/>
        </w:rPr>
      </w:pPr>
    </w:p>
    <w:p w14:paraId="61E91D8C" w14:textId="227FDE51" w:rsidR="00A43578" w:rsidRPr="006E00F4" w:rsidRDefault="00861DC8" w:rsidP="00A43578">
      <w:pPr>
        <w:rPr>
          <w:rFonts w:cs="Segoe UI"/>
          <w:szCs w:val="22"/>
          <w:lang w:eastAsia="zh-TW"/>
        </w:rPr>
      </w:pPr>
      <w:r w:rsidRPr="006E00F4">
        <w:rPr>
          <w:rFonts w:hint="eastAsia"/>
          <w:lang w:eastAsia="zh-TW"/>
        </w:rPr>
        <w:t>在直接原材料價格方面，漢高預計與</w:t>
      </w:r>
      <w:r w:rsidRPr="006E00F4">
        <w:rPr>
          <w:lang w:eastAsia="zh-TW"/>
        </w:rPr>
        <w:t>2024</w:t>
      </w:r>
      <w:r w:rsidRPr="006E00F4">
        <w:rPr>
          <w:rFonts w:hint="eastAsia"/>
          <w:lang w:eastAsia="zh-TW"/>
        </w:rPr>
        <w:t>年的平均價格相比，將出現低至中等個位數百分比的上漲。外匯銷售額的換算預計將產生中性</w:t>
      </w:r>
      <w:r>
        <w:rPr>
          <w:rFonts w:hint="eastAsia"/>
          <w:lang w:eastAsia="zh-TW"/>
        </w:rPr>
        <w:t>至</w:t>
      </w:r>
      <w:r w:rsidRPr="006E00F4">
        <w:rPr>
          <w:rFonts w:hint="eastAsia"/>
          <w:lang w:eastAsia="zh-TW"/>
        </w:rPr>
        <w:t>低個位數百分比的</w:t>
      </w:r>
      <w:r>
        <w:rPr>
          <w:rFonts w:hint="eastAsia"/>
          <w:lang w:eastAsia="zh-TW"/>
        </w:rPr>
        <w:t>負面效應</w:t>
      </w:r>
      <w:r w:rsidRPr="006E00F4">
        <w:rPr>
          <w:rFonts w:hint="eastAsia"/>
          <w:lang w:eastAsia="zh-TW"/>
        </w:rPr>
        <w:t>。</w:t>
      </w:r>
      <w:r w:rsidR="00B07F4F" w:rsidRPr="006E00F4">
        <w:rPr>
          <w:rFonts w:hint="eastAsia"/>
          <w:lang w:eastAsia="zh-TW"/>
        </w:rPr>
        <w:t xml:space="preserve"> </w:t>
      </w:r>
    </w:p>
    <w:p w14:paraId="471F809D" w14:textId="77777777" w:rsidR="00A43578" w:rsidRPr="006E00F4" w:rsidRDefault="00A43578" w:rsidP="00A43578">
      <w:pPr>
        <w:rPr>
          <w:rFonts w:cs="Segoe UI"/>
          <w:szCs w:val="22"/>
          <w:lang w:eastAsia="zh-TW"/>
        </w:rPr>
      </w:pPr>
    </w:p>
    <w:p w14:paraId="795C0676" w14:textId="471883FB" w:rsidR="00BD6A0B" w:rsidRPr="006E00F4" w:rsidRDefault="00861DC8" w:rsidP="00BD6A0B">
      <w:pPr>
        <w:rPr>
          <w:rFonts w:cs="Segoe UI"/>
          <w:szCs w:val="22"/>
          <w:lang w:eastAsia="zh-TW"/>
        </w:rPr>
      </w:pPr>
      <w:r w:rsidRPr="006E00F4">
        <w:rPr>
          <w:rFonts w:hint="eastAsia"/>
          <w:lang w:eastAsia="zh-TW"/>
        </w:rPr>
        <w:t>此外，預計整個宏觀經濟和地緣政治環境的波動性和不確定性將持續保持在較高水準。</w:t>
      </w:r>
    </w:p>
    <w:p w14:paraId="5A70E696" w14:textId="77777777" w:rsidR="00916EAB" w:rsidRPr="006E00F4" w:rsidRDefault="00916EAB" w:rsidP="00A43578">
      <w:pPr>
        <w:rPr>
          <w:rFonts w:cs="Segoe UI"/>
          <w:lang w:eastAsia="zh-TW"/>
        </w:rPr>
      </w:pPr>
    </w:p>
    <w:p w14:paraId="2B04F21F" w14:textId="171769E1" w:rsidR="00A43578" w:rsidRPr="006E00F4" w:rsidRDefault="00861DC8" w:rsidP="00A43578">
      <w:pPr>
        <w:rPr>
          <w:rFonts w:cs="Segoe UI"/>
          <w:lang w:eastAsia="zh-TW"/>
        </w:rPr>
      </w:pPr>
      <w:r w:rsidRPr="006E00F4">
        <w:rPr>
          <w:rFonts w:hint="eastAsia"/>
          <w:lang w:eastAsia="zh-TW"/>
        </w:rPr>
        <w:t>考慮到這些假設條件，漢高預計</w:t>
      </w:r>
      <w:r w:rsidRPr="006E00F4">
        <w:rPr>
          <w:lang w:eastAsia="zh-TW"/>
        </w:rPr>
        <w:t>2025</w:t>
      </w:r>
      <w:r w:rsidRPr="006E00F4">
        <w:rPr>
          <w:rFonts w:hint="eastAsia"/>
          <w:lang w:eastAsia="zh-TW"/>
        </w:rPr>
        <w:t>財年的</w:t>
      </w:r>
      <w:r w:rsidRPr="006E00F4">
        <w:rPr>
          <w:rFonts w:hint="eastAsia"/>
          <w:b/>
          <w:bCs/>
          <w:lang w:eastAsia="zh-TW"/>
        </w:rPr>
        <w:t>有機銷售額增長</w:t>
      </w:r>
      <w:r w:rsidRPr="006E00F4">
        <w:rPr>
          <w:rFonts w:hint="eastAsia"/>
          <w:lang w:eastAsia="zh-TW"/>
        </w:rPr>
        <w:t>幅度將在</w:t>
      </w:r>
      <w:r w:rsidRPr="006E00F4">
        <w:rPr>
          <w:lang w:eastAsia="zh-TW"/>
        </w:rPr>
        <w:t>1.5%</w:t>
      </w:r>
      <w:r w:rsidRPr="006E00F4">
        <w:rPr>
          <w:rFonts w:hint="eastAsia"/>
          <w:lang w:eastAsia="zh-TW"/>
        </w:rPr>
        <w:t>至</w:t>
      </w:r>
      <w:r w:rsidRPr="006E00F4">
        <w:rPr>
          <w:lang w:eastAsia="zh-TW"/>
        </w:rPr>
        <w:t>3.5%</w:t>
      </w:r>
      <w:r>
        <w:rPr>
          <w:rFonts w:hint="eastAsia"/>
          <w:lang w:eastAsia="zh-TW"/>
        </w:rPr>
        <w:t>範圍內</w:t>
      </w:r>
      <w:r w:rsidRPr="006E00F4">
        <w:rPr>
          <w:rFonts w:hint="eastAsia"/>
          <w:lang w:eastAsia="zh-TW"/>
        </w:rPr>
        <w:t>。粘合劑技術業務部的有機增長預計為</w:t>
      </w:r>
      <w:r w:rsidRPr="006E00F4">
        <w:rPr>
          <w:lang w:eastAsia="zh-TW"/>
        </w:rPr>
        <w:t>2.0%</w:t>
      </w:r>
      <w:r w:rsidRPr="006E00F4">
        <w:rPr>
          <w:rFonts w:hint="eastAsia"/>
          <w:lang w:eastAsia="zh-TW"/>
        </w:rPr>
        <w:t>至</w:t>
      </w:r>
      <w:r w:rsidRPr="006E00F4">
        <w:rPr>
          <w:lang w:eastAsia="zh-TW"/>
        </w:rPr>
        <w:t>4.0%</w:t>
      </w:r>
      <w:r w:rsidRPr="006E00F4">
        <w:rPr>
          <w:rFonts w:hint="eastAsia"/>
          <w:lang w:eastAsia="zh-TW"/>
        </w:rPr>
        <w:t>，而消費品牌業務部預計在</w:t>
      </w:r>
      <w:r w:rsidRPr="006E00F4">
        <w:rPr>
          <w:lang w:eastAsia="zh-TW"/>
        </w:rPr>
        <w:t>1.0%</w:t>
      </w:r>
      <w:r w:rsidRPr="006E00F4">
        <w:rPr>
          <w:rFonts w:hint="eastAsia"/>
          <w:lang w:eastAsia="zh-TW"/>
        </w:rPr>
        <w:t>至</w:t>
      </w:r>
      <w:r w:rsidRPr="006E00F4">
        <w:rPr>
          <w:lang w:eastAsia="zh-TW"/>
        </w:rPr>
        <w:t>3.0%</w:t>
      </w:r>
      <w:r w:rsidRPr="006E00F4">
        <w:rPr>
          <w:rFonts w:hint="eastAsia"/>
          <w:lang w:eastAsia="zh-TW"/>
        </w:rPr>
        <w:t>之間。</w:t>
      </w:r>
      <w:r w:rsidRPr="006E00F4">
        <w:rPr>
          <w:rFonts w:hint="eastAsia"/>
          <w:b/>
          <w:bCs/>
          <w:lang w:eastAsia="zh-TW"/>
        </w:rPr>
        <w:t>調整後的銷售回報率（調整後的息稅前利潤率）</w:t>
      </w:r>
      <w:r w:rsidRPr="006E00F4">
        <w:rPr>
          <w:rFonts w:hint="eastAsia"/>
          <w:lang w:eastAsia="zh-TW"/>
        </w:rPr>
        <w:t>預計為</w:t>
      </w:r>
      <w:r w:rsidRPr="006E00F4">
        <w:rPr>
          <w:lang w:eastAsia="zh-TW"/>
        </w:rPr>
        <w:t>14.0%</w:t>
      </w:r>
      <w:r w:rsidRPr="006E00F4">
        <w:rPr>
          <w:rFonts w:hint="eastAsia"/>
          <w:lang w:eastAsia="zh-TW"/>
        </w:rPr>
        <w:t>至</w:t>
      </w:r>
      <w:r w:rsidRPr="006E00F4">
        <w:rPr>
          <w:lang w:eastAsia="zh-TW"/>
        </w:rPr>
        <w:t>15.5%</w:t>
      </w:r>
      <w:r w:rsidRPr="006E00F4">
        <w:rPr>
          <w:rFonts w:hint="eastAsia"/>
          <w:lang w:eastAsia="zh-TW"/>
        </w:rPr>
        <w:t>。粘合劑技術業務部調整後的銷售回報率預計為</w:t>
      </w:r>
      <w:r w:rsidRPr="006E00F4">
        <w:rPr>
          <w:lang w:eastAsia="zh-TW"/>
        </w:rPr>
        <w:t>16.0%</w:t>
      </w:r>
      <w:r w:rsidRPr="006E00F4">
        <w:rPr>
          <w:rFonts w:hint="eastAsia"/>
          <w:lang w:eastAsia="zh-TW"/>
        </w:rPr>
        <w:t>至</w:t>
      </w:r>
      <w:r w:rsidRPr="006E00F4">
        <w:rPr>
          <w:lang w:eastAsia="zh-TW"/>
        </w:rPr>
        <w:t>17.5%</w:t>
      </w:r>
      <w:r w:rsidRPr="006E00F4">
        <w:rPr>
          <w:rFonts w:hint="eastAsia"/>
          <w:lang w:eastAsia="zh-TW"/>
        </w:rPr>
        <w:t>，消費品牌業務部</w:t>
      </w:r>
      <w:r>
        <w:rPr>
          <w:rFonts w:hint="eastAsia"/>
          <w:lang w:eastAsia="zh-TW"/>
        </w:rPr>
        <w:t>預計</w:t>
      </w:r>
      <w:r w:rsidRPr="006E00F4">
        <w:rPr>
          <w:rFonts w:hint="eastAsia"/>
          <w:lang w:eastAsia="zh-TW"/>
        </w:rPr>
        <w:t>為</w:t>
      </w:r>
      <w:r w:rsidRPr="006E00F4">
        <w:rPr>
          <w:lang w:eastAsia="zh-TW"/>
        </w:rPr>
        <w:t>13.5%</w:t>
      </w:r>
      <w:r w:rsidRPr="006E00F4">
        <w:rPr>
          <w:rFonts w:hint="eastAsia"/>
          <w:lang w:eastAsia="zh-TW"/>
        </w:rPr>
        <w:t>至</w:t>
      </w:r>
      <w:r w:rsidRPr="006E00F4">
        <w:rPr>
          <w:lang w:eastAsia="zh-TW"/>
        </w:rPr>
        <w:t>15.0%</w:t>
      </w:r>
      <w:r w:rsidRPr="006E00F4">
        <w:rPr>
          <w:rFonts w:hint="eastAsia"/>
          <w:lang w:eastAsia="zh-TW"/>
        </w:rPr>
        <w:t>。按固定匯率計算的</w:t>
      </w:r>
      <w:r w:rsidRPr="006E00F4">
        <w:rPr>
          <w:rFonts w:hint="eastAsia"/>
          <w:b/>
          <w:bCs/>
          <w:lang w:eastAsia="zh-TW"/>
        </w:rPr>
        <w:t>調整後優先股每股收益（</w:t>
      </w:r>
      <w:r w:rsidRPr="006E00F4">
        <w:rPr>
          <w:b/>
          <w:bCs/>
          <w:lang w:eastAsia="zh-TW"/>
        </w:rPr>
        <w:t>EPS</w:t>
      </w:r>
      <w:r w:rsidRPr="006E00F4">
        <w:rPr>
          <w:rFonts w:hint="eastAsia"/>
          <w:b/>
          <w:bCs/>
          <w:lang w:eastAsia="zh-TW"/>
        </w:rPr>
        <w:t>）</w:t>
      </w:r>
      <w:r w:rsidRPr="006E00F4">
        <w:rPr>
          <w:rFonts w:hint="eastAsia"/>
          <w:lang w:eastAsia="zh-TW"/>
        </w:rPr>
        <w:t>預計將以較低至較高個位數百分比的幅度增長。</w:t>
      </w:r>
      <w:r w:rsidR="00B07F4F" w:rsidRPr="006E00F4">
        <w:rPr>
          <w:rFonts w:hint="eastAsia"/>
          <w:lang w:eastAsia="zh-TW"/>
        </w:rPr>
        <w:t xml:space="preserve"> </w:t>
      </w:r>
    </w:p>
    <w:p w14:paraId="77C966B3" w14:textId="77777777" w:rsidR="00A43578" w:rsidRPr="006E00F4" w:rsidRDefault="00A43578" w:rsidP="00A43578">
      <w:pPr>
        <w:rPr>
          <w:rFonts w:cs="Segoe UI"/>
          <w:szCs w:val="22"/>
          <w:lang w:eastAsia="zh-TW"/>
        </w:rPr>
      </w:pPr>
    </w:p>
    <w:p w14:paraId="392907CA" w14:textId="3B308B95" w:rsidR="00BD6A0B" w:rsidRPr="006E00F4" w:rsidRDefault="00861DC8" w:rsidP="00BD6A0B">
      <w:pPr>
        <w:rPr>
          <w:rFonts w:cs="Segoe UI"/>
          <w:color w:val="000000"/>
          <w:szCs w:val="22"/>
          <w:lang w:eastAsia="zh-TW"/>
        </w:rPr>
      </w:pPr>
      <w:r w:rsidRPr="006E00F4">
        <w:rPr>
          <w:rFonts w:hint="eastAsia"/>
          <w:lang w:eastAsia="zh-TW"/>
        </w:rPr>
        <w:t>因此，</w:t>
      </w:r>
      <w:r>
        <w:rPr>
          <w:rFonts w:hint="eastAsia"/>
          <w:lang w:eastAsia="zh-TW"/>
        </w:rPr>
        <w:t>漢高</w:t>
      </w:r>
      <w:r w:rsidRPr="006E00F4">
        <w:rPr>
          <w:rFonts w:hint="eastAsia"/>
          <w:lang w:eastAsia="zh-TW"/>
        </w:rPr>
        <w:t>預計今年開局有機銷售額增長緩慢，</w:t>
      </w:r>
      <w:r>
        <w:rPr>
          <w:rFonts w:hint="eastAsia"/>
          <w:lang w:eastAsia="zh-TW"/>
        </w:rPr>
        <w:t>而在年內有望提速</w:t>
      </w:r>
      <w:r w:rsidRPr="006E00F4">
        <w:rPr>
          <w:rFonts w:hint="eastAsia"/>
          <w:lang w:eastAsia="zh-TW"/>
        </w:rPr>
        <w:t>，從而使</w:t>
      </w:r>
      <w:r w:rsidRPr="006E00F4">
        <w:rPr>
          <w:lang w:eastAsia="zh-TW"/>
        </w:rPr>
        <w:t>2025</w:t>
      </w:r>
      <w:r w:rsidRPr="006E00F4">
        <w:rPr>
          <w:rFonts w:hint="eastAsia"/>
          <w:lang w:eastAsia="zh-TW"/>
        </w:rPr>
        <w:t>財年下半年的業績與上半年相比更加強勁。兩</w:t>
      </w:r>
      <w:r>
        <w:rPr>
          <w:rFonts w:hint="eastAsia"/>
          <w:lang w:eastAsia="zh-TW"/>
        </w:rPr>
        <w:t>大</w:t>
      </w:r>
      <w:r w:rsidRPr="006E00F4">
        <w:rPr>
          <w:rFonts w:hint="eastAsia"/>
          <w:lang w:eastAsia="zh-TW"/>
        </w:rPr>
        <w:t>業務部</w:t>
      </w:r>
      <w:r>
        <w:rPr>
          <w:rFonts w:hint="eastAsia"/>
          <w:lang w:eastAsia="zh-TW"/>
        </w:rPr>
        <w:t>門</w:t>
      </w:r>
      <w:r w:rsidRPr="006E00F4">
        <w:rPr>
          <w:rFonts w:hint="eastAsia"/>
          <w:lang w:eastAsia="zh-TW"/>
        </w:rPr>
        <w:t>的情況均是如此</w:t>
      </w:r>
      <w:r>
        <w:rPr>
          <w:rFonts w:hint="eastAsia"/>
          <w:lang w:eastAsia="zh-TW"/>
        </w:rPr>
        <w:t>。這主要歸因於</w:t>
      </w:r>
      <w:r w:rsidRPr="006E00F4">
        <w:rPr>
          <w:rFonts w:hint="eastAsia"/>
          <w:lang w:eastAsia="zh-TW"/>
        </w:rPr>
        <w:t>目前充滿挑戰的行業環境，以及我們</w:t>
      </w:r>
      <w:r>
        <w:rPr>
          <w:rFonts w:hint="eastAsia"/>
          <w:lang w:eastAsia="zh-TW"/>
        </w:rPr>
        <w:t>在</w:t>
      </w:r>
      <w:r w:rsidRPr="006E00F4">
        <w:rPr>
          <w:rFonts w:hint="eastAsia"/>
          <w:lang w:eastAsia="zh-TW"/>
        </w:rPr>
        <w:t>部分市場，尤其是</w:t>
      </w:r>
      <w:r>
        <w:rPr>
          <w:rFonts w:hint="eastAsia"/>
          <w:lang w:eastAsia="zh-TW"/>
        </w:rPr>
        <w:t>在</w:t>
      </w:r>
      <w:r w:rsidRPr="006E00F4">
        <w:rPr>
          <w:rFonts w:hint="eastAsia"/>
          <w:lang w:eastAsia="zh-TW"/>
        </w:rPr>
        <w:t>北美</w:t>
      </w:r>
      <w:r>
        <w:rPr>
          <w:rFonts w:hint="eastAsia"/>
          <w:lang w:eastAsia="zh-TW"/>
        </w:rPr>
        <w:t>面臨的市場增長疲軟</w:t>
      </w:r>
      <w:r w:rsidRPr="006E00F4">
        <w:rPr>
          <w:rFonts w:hint="eastAsia"/>
          <w:lang w:eastAsia="zh-TW"/>
        </w:rPr>
        <w:t>和消費情緒</w:t>
      </w:r>
      <w:r>
        <w:rPr>
          <w:rFonts w:hint="eastAsia"/>
          <w:lang w:eastAsia="zh-TW"/>
        </w:rPr>
        <w:t>低迷</w:t>
      </w:r>
      <w:r w:rsidRPr="006E00F4">
        <w:rPr>
          <w:rFonts w:hint="eastAsia"/>
          <w:lang w:eastAsia="zh-TW"/>
        </w:rPr>
        <w:t>。</w:t>
      </w:r>
    </w:p>
    <w:p w14:paraId="761C929E" w14:textId="77777777" w:rsidR="00364F24" w:rsidRPr="006E00F4" w:rsidRDefault="00364F24" w:rsidP="00BD6A0B">
      <w:pPr>
        <w:rPr>
          <w:rFonts w:cs="Segoe UI"/>
          <w:szCs w:val="22"/>
          <w:lang w:eastAsia="zh-TW"/>
        </w:rPr>
      </w:pPr>
    </w:p>
    <w:p w14:paraId="28E4FD25" w14:textId="4941CF05" w:rsidR="00364F24" w:rsidRPr="006E00F4" w:rsidRDefault="00861DC8" w:rsidP="00364F24">
      <w:pPr>
        <w:rPr>
          <w:rFonts w:cs="Segoe UI"/>
          <w:szCs w:val="22"/>
          <w:lang w:eastAsia="zh-TW"/>
        </w:rPr>
      </w:pPr>
      <w:r w:rsidRPr="006E00F4">
        <w:rPr>
          <w:rFonts w:hint="eastAsia"/>
          <w:lang w:eastAsia="zh-TW"/>
        </w:rPr>
        <w:t>在</w:t>
      </w:r>
      <w:r w:rsidRPr="006E00F4">
        <w:rPr>
          <w:rFonts w:hint="eastAsia"/>
          <w:b/>
          <w:bCs/>
          <w:lang w:eastAsia="zh-TW"/>
        </w:rPr>
        <w:t>消費品牌業務部</w:t>
      </w:r>
      <w:r w:rsidRPr="006E00F4">
        <w:rPr>
          <w:rFonts w:hint="eastAsia"/>
          <w:lang w:eastAsia="zh-TW"/>
        </w:rPr>
        <w:t>，需要考慮到</w:t>
      </w:r>
      <w:r>
        <w:rPr>
          <w:rFonts w:hint="eastAsia"/>
          <w:lang w:eastAsia="zh-TW"/>
        </w:rPr>
        <w:t>，去年相對實現</w:t>
      </w:r>
      <w:r w:rsidRPr="006E00F4">
        <w:rPr>
          <w:rFonts w:hint="eastAsia"/>
          <w:lang w:eastAsia="zh-TW"/>
        </w:rPr>
        <w:t>較高的有機銷售額增長主要得益於</w:t>
      </w:r>
      <w:r w:rsidRPr="006E00F4">
        <w:rPr>
          <w:lang w:eastAsia="zh-TW"/>
        </w:rPr>
        <w:t>2024</w:t>
      </w:r>
      <w:r w:rsidRPr="006E00F4">
        <w:rPr>
          <w:rFonts w:hint="eastAsia"/>
          <w:lang w:eastAsia="zh-TW"/>
        </w:rPr>
        <w:t>年上半年強勁推出的創新產品。</w:t>
      </w:r>
      <w:r w:rsidRPr="006E00F4">
        <w:rPr>
          <w:lang w:eastAsia="zh-TW"/>
        </w:rPr>
        <w:t>2025</w:t>
      </w:r>
      <w:r w:rsidRPr="006E00F4">
        <w:rPr>
          <w:rFonts w:hint="eastAsia"/>
          <w:lang w:eastAsia="zh-TW"/>
        </w:rPr>
        <w:t>年，創新產品的推出將更多地向下半年傾斜。此外，與最終確定</w:t>
      </w:r>
      <w:r w:rsidRPr="006E00F4">
        <w:rPr>
          <w:lang w:eastAsia="zh-TW"/>
        </w:rPr>
        <w:t>1-1-1</w:t>
      </w:r>
      <w:r w:rsidRPr="006E00F4">
        <w:rPr>
          <w:rFonts w:hint="eastAsia"/>
          <w:lang w:eastAsia="zh-TW"/>
        </w:rPr>
        <w:t>原則以及促銷</w:t>
      </w:r>
      <w:r>
        <w:rPr>
          <w:rFonts w:hint="eastAsia"/>
          <w:lang w:eastAsia="zh-TW"/>
        </w:rPr>
        <w:t>階段</w:t>
      </w:r>
      <w:r w:rsidRPr="006E00F4">
        <w:rPr>
          <w:rFonts w:hint="eastAsia"/>
          <w:lang w:eastAsia="zh-TW"/>
        </w:rPr>
        <w:t>相關的供應鏈中的</w:t>
      </w:r>
      <w:r>
        <w:rPr>
          <w:rFonts w:hint="eastAsia"/>
          <w:lang w:eastAsia="zh-TW"/>
        </w:rPr>
        <w:t>非經常性運營事項</w:t>
      </w:r>
      <w:r w:rsidRPr="006E00F4">
        <w:rPr>
          <w:rFonts w:hint="eastAsia"/>
          <w:lang w:eastAsia="zh-TW"/>
        </w:rPr>
        <w:t>，也將</w:t>
      </w:r>
      <w:r>
        <w:rPr>
          <w:rFonts w:hint="eastAsia"/>
          <w:lang w:eastAsia="zh-TW"/>
        </w:rPr>
        <w:t>影響</w:t>
      </w:r>
      <w:r w:rsidRPr="006E00F4">
        <w:rPr>
          <w:rFonts w:hint="eastAsia"/>
          <w:lang w:eastAsia="zh-TW"/>
        </w:rPr>
        <w:t>第一季度有機銷售額增長</w:t>
      </w:r>
      <w:r>
        <w:rPr>
          <w:rFonts w:hint="eastAsia"/>
          <w:lang w:eastAsia="zh-TW"/>
        </w:rPr>
        <w:t>且</w:t>
      </w:r>
      <w:r w:rsidRPr="006E00F4">
        <w:rPr>
          <w:rFonts w:hint="eastAsia"/>
          <w:lang w:eastAsia="zh-TW"/>
        </w:rPr>
        <w:t>銷量將低於去年同期。第一季度的有機銷售額預計將下降</w:t>
      </w:r>
      <w:r w:rsidRPr="006E00F4">
        <w:rPr>
          <w:lang w:eastAsia="zh-TW"/>
        </w:rPr>
        <w:t>2%</w:t>
      </w:r>
      <w:r w:rsidRPr="006E00F4">
        <w:rPr>
          <w:rFonts w:hint="eastAsia"/>
          <w:lang w:eastAsia="zh-TW"/>
        </w:rPr>
        <w:t>至</w:t>
      </w:r>
      <w:r w:rsidRPr="006E00F4">
        <w:rPr>
          <w:lang w:eastAsia="zh-TW"/>
        </w:rPr>
        <w:t>4%</w:t>
      </w:r>
      <w:r w:rsidRPr="006E00F4">
        <w:rPr>
          <w:rFonts w:hint="eastAsia"/>
          <w:lang w:eastAsia="zh-TW"/>
        </w:rPr>
        <w:t>，而價格預計將上漲。</w:t>
      </w:r>
      <w:r w:rsidRPr="006E00F4">
        <w:rPr>
          <w:lang w:eastAsia="zh-TW"/>
        </w:rPr>
        <w:t>2025</w:t>
      </w:r>
      <w:r w:rsidRPr="006E00F4">
        <w:rPr>
          <w:rFonts w:hint="eastAsia"/>
          <w:lang w:eastAsia="zh-TW"/>
        </w:rPr>
        <w:t>年全年，在銷量和價格的雙重驅動下，預計銷售額將實現整體有機增長。</w:t>
      </w:r>
    </w:p>
    <w:p w14:paraId="73D046B6" w14:textId="77777777" w:rsidR="00364F24" w:rsidRPr="006E00F4" w:rsidRDefault="00364F24" w:rsidP="00364F24">
      <w:pPr>
        <w:rPr>
          <w:rFonts w:cs="Segoe UI"/>
          <w:szCs w:val="22"/>
          <w:lang w:eastAsia="zh-TW"/>
        </w:rPr>
      </w:pPr>
    </w:p>
    <w:p w14:paraId="5C1D6486" w14:textId="0BA4E68A" w:rsidR="000E745A" w:rsidRDefault="00861DC8" w:rsidP="00364F24">
      <w:bookmarkStart w:id="2" w:name="_Hlk192504294"/>
      <w:r w:rsidRPr="006E00F4">
        <w:rPr>
          <w:rFonts w:hint="eastAsia"/>
          <w:lang w:eastAsia="zh-TW"/>
        </w:rPr>
        <w:t>預計</w:t>
      </w:r>
      <w:r w:rsidRPr="006E00F4">
        <w:rPr>
          <w:lang w:eastAsia="zh-TW"/>
        </w:rPr>
        <w:t xml:space="preserve">2025 </w:t>
      </w:r>
      <w:r w:rsidRPr="006E00F4">
        <w:rPr>
          <w:rFonts w:hint="eastAsia"/>
          <w:lang w:eastAsia="zh-TW"/>
        </w:rPr>
        <w:t>年全年，兩</w:t>
      </w:r>
      <w:r>
        <w:rPr>
          <w:rFonts w:hint="eastAsia"/>
          <w:lang w:eastAsia="zh-TW"/>
        </w:rPr>
        <w:t>大</w:t>
      </w:r>
      <w:r w:rsidRPr="006E00F4">
        <w:rPr>
          <w:rFonts w:hint="eastAsia"/>
          <w:lang w:eastAsia="zh-TW"/>
        </w:rPr>
        <w:t>業務部門以及整個集團的利潤率和盈利能力都將較上一年度進一步提升。</w:t>
      </w:r>
      <w:r w:rsidRPr="006E00F4">
        <w:rPr>
          <w:lang w:eastAsia="zh-TW"/>
        </w:rPr>
        <w:t>2025</w:t>
      </w:r>
      <w:r w:rsidRPr="006E00F4">
        <w:rPr>
          <w:rFonts w:hint="eastAsia"/>
          <w:lang w:eastAsia="zh-TW"/>
        </w:rPr>
        <w:t>財年前兩個月的業績表明，漢高和兩</w:t>
      </w:r>
      <w:r>
        <w:rPr>
          <w:rFonts w:hint="eastAsia"/>
          <w:lang w:eastAsia="zh-TW"/>
        </w:rPr>
        <w:t>大</w:t>
      </w:r>
      <w:r w:rsidRPr="006E00F4">
        <w:rPr>
          <w:rFonts w:hint="eastAsia"/>
          <w:lang w:eastAsia="zh-TW"/>
        </w:rPr>
        <w:t>業務部均進展順利。</w:t>
      </w:r>
      <w:r w:rsidR="00B07F4F" w:rsidRPr="006E00F4">
        <w:rPr>
          <w:rFonts w:hint="eastAsia"/>
        </w:rPr>
        <w:t xml:space="preserve"> </w:t>
      </w:r>
    </w:p>
    <w:p w14:paraId="2C0C5656" w14:textId="77777777" w:rsidR="00B07F4F" w:rsidRDefault="00B07F4F" w:rsidP="00364F24">
      <w:pPr>
        <w:rPr>
          <w:rFonts w:cs="Segoe UI"/>
          <w:szCs w:val="22"/>
        </w:rPr>
      </w:pPr>
    </w:p>
    <w:p w14:paraId="349AB005" w14:textId="77777777" w:rsidR="00B07F4F" w:rsidRPr="006E00F4" w:rsidRDefault="00B07F4F" w:rsidP="00364F24">
      <w:pPr>
        <w:rPr>
          <w:rFonts w:cs="Segoe UI"/>
          <w:szCs w:val="22"/>
        </w:rPr>
      </w:pPr>
    </w:p>
    <w:bookmarkEnd w:id="2"/>
    <w:p w14:paraId="6EA63E65" w14:textId="04671D2A" w:rsidR="000E745A" w:rsidRPr="006E00F4" w:rsidRDefault="00B07F4F" w:rsidP="00B07F4F">
      <w:pPr>
        <w:spacing w:line="240" w:lineRule="auto"/>
        <w:jc w:val="center"/>
        <w:rPr>
          <w:rFonts w:cs="Segoe UI"/>
          <w:b/>
          <w:bCs/>
          <w:szCs w:val="22"/>
        </w:rPr>
      </w:pPr>
      <w:r>
        <w:rPr>
          <w:rFonts w:cs="Segoe UI" w:hint="eastAsia"/>
          <w:noProof/>
          <w:szCs w:val="22"/>
        </w:rPr>
        <w:drawing>
          <wp:inline distT="0" distB="0" distL="0" distR="0" wp14:anchorId="02D6815E" wp14:editId="7A2DB3F5">
            <wp:extent cx="4045306" cy="2862215"/>
            <wp:effectExtent l="0" t="0" r="0" b="0"/>
            <wp:docPr id="196251864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18644" name="图片 196251864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75718" cy="2883733"/>
                    </a:xfrm>
                    <a:prstGeom prst="rect">
                      <a:avLst/>
                    </a:prstGeom>
                  </pic:spPr>
                </pic:pic>
              </a:graphicData>
            </a:graphic>
          </wp:inline>
        </w:drawing>
      </w:r>
    </w:p>
    <w:p w14:paraId="71E90226" w14:textId="31C1CBD4" w:rsidR="00B07F4F" w:rsidRDefault="00861DC8" w:rsidP="00B07F4F">
      <w:pPr>
        <w:spacing w:after="120"/>
        <w:jc w:val="center"/>
        <w:rPr>
          <w:rStyle w:val="normaltextrun"/>
          <w:rFonts w:asciiTheme="majorEastAsia" w:eastAsiaTheme="majorEastAsia" w:hAnsiTheme="majorEastAsia"/>
          <w:i/>
          <w:iCs/>
          <w:color w:val="000000"/>
          <w:shd w:val="clear" w:color="auto" w:fill="FFFFFF"/>
        </w:rPr>
      </w:pPr>
      <w:r w:rsidRPr="008D455D">
        <w:rPr>
          <w:rStyle w:val="normaltextrun"/>
          <w:rFonts w:asciiTheme="majorEastAsia" w:eastAsiaTheme="majorEastAsia" w:hAnsiTheme="majorEastAsia" w:hint="eastAsia"/>
          <w:i/>
          <w:iCs/>
          <w:color w:val="000000"/>
          <w:shd w:val="clear" w:color="auto" w:fill="FFFFFF"/>
          <w:lang w:eastAsia="zh-TW"/>
        </w:rPr>
        <w:t>漢高</w:t>
      </w:r>
      <w:r w:rsidRPr="008D455D">
        <w:rPr>
          <w:rStyle w:val="normaltextrun"/>
          <w:rFonts w:asciiTheme="majorEastAsia" w:eastAsiaTheme="majorEastAsia" w:hAnsiTheme="majorEastAsia"/>
          <w:i/>
          <w:iCs/>
          <w:color w:val="000000"/>
          <w:shd w:val="clear" w:color="auto" w:fill="FFFFFF"/>
          <w:lang w:eastAsia="zh-TW"/>
        </w:rPr>
        <w:t>2024</w:t>
      </w:r>
      <w:r w:rsidRPr="008D455D">
        <w:rPr>
          <w:rStyle w:val="normaltextrun"/>
          <w:rFonts w:asciiTheme="majorEastAsia" w:eastAsiaTheme="majorEastAsia" w:hAnsiTheme="majorEastAsia" w:hint="eastAsia"/>
          <w:i/>
          <w:iCs/>
          <w:color w:val="000000"/>
          <w:shd w:val="clear" w:color="auto" w:fill="FFFFFF"/>
          <w:lang w:eastAsia="zh-TW"/>
        </w:rPr>
        <w:t>年業績</w:t>
      </w:r>
      <w:r>
        <w:rPr>
          <w:rStyle w:val="normaltextrun"/>
          <w:rFonts w:asciiTheme="majorEastAsia" w:eastAsiaTheme="majorEastAsia" w:hAnsiTheme="majorEastAsia" w:hint="eastAsia"/>
          <w:i/>
          <w:iCs/>
          <w:color w:val="000000"/>
          <w:shd w:val="clear" w:color="auto" w:fill="FFFFFF"/>
          <w:lang w:eastAsia="zh-TW"/>
        </w:rPr>
        <w:t>報告</w:t>
      </w:r>
    </w:p>
    <w:p w14:paraId="6D51E62E" w14:textId="77777777" w:rsidR="00B07F4F" w:rsidRDefault="00B07F4F" w:rsidP="00B07F4F">
      <w:pPr>
        <w:spacing w:after="120"/>
        <w:jc w:val="center"/>
        <w:rPr>
          <w:rStyle w:val="normaltextrun"/>
          <w:rFonts w:asciiTheme="majorEastAsia" w:eastAsiaTheme="majorEastAsia" w:hAnsiTheme="majorEastAsia"/>
          <w:i/>
          <w:iCs/>
          <w:color w:val="000000"/>
          <w:shd w:val="clear" w:color="auto" w:fill="FFFFFF"/>
        </w:rPr>
      </w:pPr>
    </w:p>
    <w:p w14:paraId="6993F2B0" w14:textId="77777777" w:rsidR="00B07F4F" w:rsidRPr="008D455D" w:rsidRDefault="00B07F4F" w:rsidP="00B07F4F">
      <w:pPr>
        <w:spacing w:after="120"/>
        <w:jc w:val="center"/>
        <w:rPr>
          <w:rStyle w:val="normaltextrun"/>
          <w:rFonts w:asciiTheme="majorEastAsia" w:eastAsiaTheme="majorEastAsia" w:hAnsiTheme="majorEastAsia"/>
          <w:i/>
          <w:iCs/>
          <w:color w:val="000000"/>
          <w:shd w:val="clear" w:color="auto" w:fill="FFFFFF"/>
        </w:rPr>
      </w:pPr>
    </w:p>
    <w:p w14:paraId="7E953862" w14:textId="4DA40FFE" w:rsidR="004B2C19" w:rsidRDefault="00861DC8" w:rsidP="008558D0">
      <w:pPr>
        <w:spacing w:after="120"/>
        <w:rPr>
          <w:b/>
        </w:rPr>
      </w:pPr>
      <w:r w:rsidRPr="006E00F4">
        <w:rPr>
          <w:b/>
          <w:lang w:eastAsia="zh-TW"/>
        </w:rPr>
        <w:lastRenderedPageBreak/>
        <w:t>2024</w:t>
      </w:r>
      <w:r w:rsidRPr="006E00F4">
        <w:rPr>
          <w:rFonts w:hint="eastAsia"/>
          <w:b/>
          <w:lang w:eastAsia="zh-TW"/>
        </w:rPr>
        <w:t>財年集團銷售額及盈利表現</w:t>
      </w:r>
    </w:p>
    <w:p w14:paraId="51DC178F" w14:textId="278E17BA" w:rsidR="008D455D" w:rsidRPr="008D455D" w:rsidRDefault="00861DC8" w:rsidP="008D455D">
      <w:r w:rsidRPr="006E00F4">
        <w:rPr>
          <w:rFonts w:hint="eastAsia"/>
          <w:lang w:eastAsia="zh-TW"/>
        </w:rPr>
        <w:t>漢高集團</w:t>
      </w:r>
      <w:r w:rsidRPr="006E00F4">
        <w:rPr>
          <w:lang w:eastAsia="zh-TW"/>
        </w:rPr>
        <w:t>2024</w:t>
      </w:r>
      <w:r w:rsidRPr="006E00F4">
        <w:rPr>
          <w:rFonts w:hint="eastAsia"/>
          <w:lang w:eastAsia="zh-TW"/>
        </w:rPr>
        <w:t>財年的</w:t>
      </w:r>
      <w:r w:rsidRPr="006E00F4">
        <w:rPr>
          <w:rFonts w:hint="eastAsia"/>
          <w:b/>
          <w:bCs/>
          <w:lang w:eastAsia="zh-TW"/>
        </w:rPr>
        <w:t>銷售額</w:t>
      </w:r>
      <w:r w:rsidRPr="006E00F4">
        <w:rPr>
          <w:rFonts w:hint="eastAsia"/>
          <w:lang w:eastAsia="zh-TW"/>
        </w:rPr>
        <w:t>達到</w:t>
      </w:r>
      <w:r w:rsidRPr="006E00F4">
        <w:rPr>
          <w:lang w:eastAsia="zh-TW"/>
        </w:rPr>
        <w:t>215.86</w:t>
      </w:r>
      <w:r w:rsidRPr="006E00F4">
        <w:rPr>
          <w:rFonts w:hint="eastAsia"/>
          <w:lang w:eastAsia="zh-TW"/>
        </w:rPr>
        <w:t>億歐元，與去年相比名義增長</w:t>
      </w:r>
      <w:r w:rsidRPr="006E00F4">
        <w:rPr>
          <w:lang w:eastAsia="zh-TW"/>
        </w:rPr>
        <w:t>0.3%</w:t>
      </w:r>
      <w:r w:rsidRPr="006E00F4">
        <w:rPr>
          <w:rFonts w:hint="eastAsia"/>
          <w:lang w:eastAsia="zh-TW"/>
        </w:rPr>
        <w:t>。匯率因素導致銷售額下滑</w:t>
      </w:r>
      <w:r w:rsidRPr="006E00F4">
        <w:rPr>
          <w:lang w:eastAsia="zh-TW"/>
        </w:rPr>
        <w:t>1.8%</w:t>
      </w:r>
      <w:r w:rsidRPr="006E00F4">
        <w:rPr>
          <w:rFonts w:hint="eastAsia"/>
          <w:lang w:eastAsia="zh-TW"/>
        </w:rPr>
        <w:t>。對匯率因素進行調整後，銷售額增長幅度為</w:t>
      </w:r>
      <w:r w:rsidRPr="006E00F4">
        <w:rPr>
          <w:lang w:eastAsia="zh-TW"/>
        </w:rPr>
        <w:t>2.1%</w:t>
      </w:r>
      <w:r w:rsidRPr="006E00F4">
        <w:rPr>
          <w:rFonts w:hint="eastAsia"/>
          <w:lang w:eastAsia="zh-TW"/>
        </w:rPr>
        <w:t>。收購</w:t>
      </w:r>
      <w:r w:rsidRPr="006E00F4">
        <w:rPr>
          <w:lang w:eastAsia="zh-TW"/>
        </w:rPr>
        <w:t>/</w:t>
      </w:r>
      <w:r w:rsidRPr="006E00F4">
        <w:rPr>
          <w:rFonts w:hint="eastAsia"/>
          <w:lang w:eastAsia="zh-TW"/>
        </w:rPr>
        <w:t>撤資導致銷售額小幅下降</w:t>
      </w:r>
      <w:r w:rsidRPr="006E00F4">
        <w:rPr>
          <w:lang w:eastAsia="zh-TW"/>
        </w:rPr>
        <w:t>0.4%</w:t>
      </w:r>
      <w:r w:rsidRPr="006E00F4">
        <w:rPr>
          <w:rFonts w:hint="eastAsia"/>
          <w:lang w:eastAsia="zh-TW"/>
        </w:rPr>
        <w:t>，這主要是由於</w:t>
      </w:r>
      <w:r w:rsidRPr="006E00F4">
        <w:rPr>
          <w:lang w:eastAsia="zh-TW"/>
        </w:rPr>
        <w:t>2023</w:t>
      </w:r>
      <w:r w:rsidRPr="006E00F4">
        <w:rPr>
          <w:rFonts w:hint="eastAsia"/>
          <w:lang w:eastAsia="zh-TW"/>
        </w:rPr>
        <w:t>年出售了在俄羅斯的業務活動。</w:t>
      </w:r>
      <w:r w:rsidRPr="006E00F4">
        <w:rPr>
          <w:rFonts w:hint="eastAsia"/>
          <w:b/>
          <w:bCs/>
          <w:lang w:eastAsia="zh-TW"/>
        </w:rPr>
        <w:t>有機銷售額增長</w:t>
      </w:r>
      <w:r w:rsidRPr="006E00F4">
        <w:rPr>
          <w:rFonts w:hint="eastAsia"/>
          <w:lang w:eastAsia="zh-TW"/>
        </w:rPr>
        <w:t>，即對匯率因素和收購</w:t>
      </w:r>
      <w:r w:rsidRPr="006E00F4">
        <w:rPr>
          <w:lang w:eastAsia="zh-TW"/>
        </w:rPr>
        <w:t>/</w:t>
      </w:r>
      <w:r w:rsidRPr="006E00F4">
        <w:rPr>
          <w:rFonts w:hint="eastAsia"/>
          <w:lang w:eastAsia="zh-TW"/>
        </w:rPr>
        <w:t>撤資進行調整後的增長幅度為</w:t>
      </w:r>
      <w:r w:rsidRPr="006E00F4">
        <w:rPr>
          <w:lang w:eastAsia="zh-TW"/>
        </w:rPr>
        <w:t>2.6%</w:t>
      </w:r>
      <w:r w:rsidRPr="006E00F4">
        <w:rPr>
          <w:rFonts w:hint="eastAsia"/>
          <w:lang w:eastAsia="zh-TW"/>
        </w:rPr>
        <w:t>，呈現出良好的發展勢頭。這得益於價格和銷量的增長。</w:t>
      </w:r>
    </w:p>
    <w:p w14:paraId="4524703E" w14:textId="77777777" w:rsidR="0037555D" w:rsidRPr="006E00F4" w:rsidRDefault="0037555D" w:rsidP="0037555D">
      <w:pPr>
        <w:rPr>
          <w:rFonts w:cs="Segoe UI"/>
          <w:szCs w:val="22"/>
        </w:rPr>
      </w:pPr>
    </w:p>
    <w:p w14:paraId="7D8FF105" w14:textId="35F99868" w:rsidR="004B2C19" w:rsidRPr="006E00F4" w:rsidRDefault="00861DC8" w:rsidP="0037555D">
      <w:pPr>
        <w:rPr>
          <w:rFonts w:cs="Segoe UI"/>
          <w:szCs w:val="22"/>
        </w:rPr>
      </w:pPr>
      <w:r w:rsidRPr="006E00F4">
        <w:rPr>
          <w:rFonts w:hint="eastAsia"/>
          <w:b/>
          <w:bCs/>
          <w:lang w:eastAsia="zh-TW"/>
        </w:rPr>
        <w:t>粘合劑技術</w:t>
      </w:r>
      <w:r w:rsidRPr="006E00F4">
        <w:rPr>
          <w:rFonts w:hint="eastAsia"/>
          <w:lang w:eastAsia="zh-TW"/>
        </w:rPr>
        <w:t>業務部的有機銷售額增長</w:t>
      </w:r>
      <w:r w:rsidRPr="006E00F4">
        <w:rPr>
          <w:lang w:eastAsia="zh-TW"/>
        </w:rPr>
        <w:t>2.4%</w:t>
      </w:r>
      <w:r w:rsidRPr="006E00F4">
        <w:rPr>
          <w:rFonts w:hint="eastAsia"/>
          <w:lang w:eastAsia="zh-TW"/>
        </w:rPr>
        <w:t>，主要歸功於移動與電子業務的推動。在美髮業務領域的</w:t>
      </w:r>
      <w:r>
        <w:rPr>
          <w:rFonts w:hint="eastAsia"/>
          <w:lang w:eastAsia="zh-TW"/>
        </w:rPr>
        <w:t>主要</w:t>
      </w:r>
      <w:r w:rsidRPr="006E00F4">
        <w:rPr>
          <w:rFonts w:hint="eastAsia"/>
          <w:lang w:eastAsia="zh-TW"/>
        </w:rPr>
        <w:t>推動下，</w:t>
      </w:r>
      <w:r w:rsidRPr="006E00F4">
        <w:rPr>
          <w:rFonts w:hint="eastAsia"/>
          <w:b/>
          <w:bCs/>
          <w:lang w:eastAsia="zh-TW"/>
        </w:rPr>
        <w:t>消費品牌</w:t>
      </w:r>
      <w:r w:rsidRPr="006E00F4">
        <w:rPr>
          <w:rFonts w:hint="eastAsia"/>
          <w:lang w:eastAsia="zh-TW"/>
        </w:rPr>
        <w:t>業務部實現了</w:t>
      </w:r>
      <w:r w:rsidRPr="006E00F4">
        <w:rPr>
          <w:lang w:eastAsia="zh-TW"/>
        </w:rPr>
        <w:t>3.0%</w:t>
      </w:r>
      <w:r w:rsidRPr="006E00F4">
        <w:rPr>
          <w:rFonts w:hint="eastAsia"/>
          <w:lang w:eastAsia="zh-TW"/>
        </w:rPr>
        <w:t>的強勁有機銷售額增長。</w:t>
      </w:r>
    </w:p>
    <w:p w14:paraId="161E4D9F" w14:textId="77777777" w:rsidR="004B2C19" w:rsidRPr="006E00F4" w:rsidRDefault="004B2C19" w:rsidP="004B2C19">
      <w:pPr>
        <w:rPr>
          <w:rFonts w:cs="Segoe UI"/>
          <w:b/>
          <w:bCs/>
          <w:szCs w:val="22"/>
        </w:rPr>
      </w:pPr>
    </w:p>
    <w:p w14:paraId="146CE5CC" w14:textId="06E39F5A" w:rsidR="00D24C2D" w:rsidRPr="006E00F4" w:rsidRDefault="00861DC8" w:rsidP="00D24C2D">
      <w:pPr>
        <w:rPr>
          <w:rFonts w:cs="Segoe UI"/>
          <w:szCs w:val="22"/>
        </w:rPr>
      </w:pPr>
      <w:r w:rsidRPr="006E00F4">
        <w:rPr>
          <w:rFonts w:hint="eastAsia"/>
          <w:b/>
          <w:bCs/>
          <w:lang w:eastAsia="zh-TW"/>
        </w:rPr>
        <w:t>調整後的營業利潤（調整後的息稅前利潤率）</w:t>
      </w:r>
      <w:r w:rsidRPr="006E00F4">
        <w:rPr>
          <w:rFonts w:hint="eastAsia"/>
          <w:lang w:eastAsia="zh-TW"/>
        </w:rPr>
        <w:t>大幅增長</w:t>
      </w:r>
      <w:r w:rsidRPr="006E00F4">
        <w:rPr>
          <w:lang w:eastAsia="zh-TW"/>
        </w:rPr>
        <w:t>20.9%</w:t>
      </w:r>
      <w:r w:rsidRPr="006E00F4">
        <w:rPr>
          <w:rFonts w:hint="eastAsia"/>
          <w:lang w:eastAsia="zh-TW"/>
        </w:rPr>
        <w:t>，達到</w:t>
      </w:r>
      <w:r w:rsidRPr="006E00F4">
        <w:rPr>
          <w:lang w:eastAsia="zh-TW"/>
        </w:rPr>
        <w:t>30.89</w:t>
      </w:r>
      <w:r w:rsidRPr="006E00F4">
        <w:rPr>
          <w:rFonts w:hint="eastAsia"/>
          <w:lang w:eastAsia="zh-TW"/>
        </w:rPr>
        <w:t>億歐元（</w:t>
      </w:r>
      <w:r>
        <w:rPr>
          <w:lang w:eastAsia="zh-TW"/>
        </w:rPr>
        <w:t>2023</w:t>
      </w:r>
      <w:r w:rsidRPr="006E00F4">
        <w:rPr>
          <w:rFonts w:hint="eastAsia"/>
          <w:lang w:eastAsia="zh-TW"/>
        </w:rPr>
        <w:t>年：</w:t>
      </w:r>
      <w:r w:rsidRPr="006E00F4">
        <w:rPr>
          <w:lang w:eastAsia="zh-TW"/>
        </w:rPr>
        <w:t>25.56</w:t>
      </w:r>
      <w:r w:rsidRPr="006E00F4">
        <w:rPr>
          <w:rFonts w:hint="eastAsia"/>
          <w:lang w:eastAsia="zh-TW"/>
        </w:rPr>
        <w:t>億歐元）。</w:t>
      </w:r>
    </w:p>
    <w:p w14:paraId="30B89036" w14:textId="77777777" w:rsidR="00D24C2D" w:rsidRPr="006E00F4" w:rsidRDefault="00D24C2D" w:rsidP="00D24C2D">
      <w:pPr>
        <w:rPr>
          <w:rFonts w:cs="Segoe UI"/>
          <w:szCs w:val="22"/>
        </w:rPr>
      </w:pPr>
    </w:p>
    <w:p w14:paraId="0031DD42" w14:textId="662E84DC" w:rsidR="00D24C2D" w:rsidRPr="006E00F4" w:rsidRDefault="00861DC8" w:rsidP="00D24C2D">
      <w:pPr>
        <w:rPr>
          <w:rFonts w:cs="Segoe UI"/>
          <w:szCs w:val="22"/>
        </w:rPr>
      </w:pPr>
      <w:r w:rsidRPr="006E00F4">
        <w:rPr>
          <w:lang w:eastAsia="zh-TW"/>
        </w:rPr>
        <w:t>2024</w:t>
      </w:r>
      <w:r w:rsidRPr="006E00F4">
        <w:rPr>
          <w:rFonts w:hint="eastAsia"/>
          <w:lang w:eastAsia="zh-TW"/>
        </w:rPr>
        <w:t>財年</w:t>
      </w:r>
      <w:r w:rsidRPr="006E00F4">
        <w:rPr>
          <w:rFonts w:hint="eastAsia"/>
          <w:b/>
          <w:bCs/>
          <w:lang w:eastAsia="zh-TW"/>
        </w:rPr>
        <w:t>調整後的銷售回報率（調整後的息稅前利潤率）</w:t>
      </w:r>
      <w:r w:rsidRPr="006E00F4">
        <w:rPr>
          <w:rFonts w:hint="eastAsia"/>
          <w:lang w:eastAsia="zh-TW"/>
        </w:rPr>
        <w:t>同比大幅增長</w:t>
      </w:r>
      <w:r w:rsidRPr="006E00F4">
        <w:rPr>
          <w:lang w:eastAsia="zh-TW"/>
        </w:rPr>
        <w:t>14.3%</w:t>
      </w:r>
      <w:r w:rsidRPr="006E00F4">
        <w:rPr>
          <w:rFonts w:hint="eastAsia"/>
          <w:lang w:eastAsia="zh-TW"/>
        </w:rPr>
        <w:t>（</w:t>
      </w:r>
      <w:r w:rsidRPr="006E00F4">
        <w:rPr>
          <w:lang w:eastAsia="zh-TW"/>
        </w:rPr>
        <w:t>2023</w:t>
      </w:r>
      <w:r w:rsidRPr="006E00F4">
        <w:rPr>
          <w:rFonts w:hint="eastAsia"/>
          <w:lang w:eastAsia="zh-TW"/>
        </w:rPr>
        <w:t>年：</w:t>
      </w:r>
      <w:r w:rsidRPr="006E00F4">
        <w:rPr>
          <w:lang w:eastAsia="zh-TW"/>
        </w:rPr>
        <w:t>11.9%</w:t>
      </w:r>
      <w:r w:rsidRPr="006E00F4">
        <w:rPr>
          <w:rFonts w:hint="eastAsia"/>
          <w:lang w:eastAsia="zh-TW"/>
        </w:rPr>
        <w:t>）。</w:t>
      </w:r>
    </w:p>
    <w:p w14:paraId="1401E1E1" w14:textId="77777777" w:rsidR="00D24C2D" w:rsidRPr="006E00F4" w:rsidRDefault="00D24C2D" w:rsidP="00D24C2D">
      <w:pPr>
        <w:rPr>
          <w:rFonts w:cs="Segoe UI"/>
          <w:szCs w:val="22"/>
        </w:rPr>
      </w:pPr>
    </w:p>
    <w:p w14:paraId="57C9563E" w14:textId="494228E2" w:rsidR="00D24C2D" w:rsidRPr="006E00F4" w:rsidRDefault="00861DC8" w:rsidP="00D24C2D">
      <w:pPr>
        <w:rPr>
          <w:rFonts w:cs="Segoe UI"/>
          <w:szCs w:val="22"/>
          <w:lang w:eastAsia="zh-TW"/>
        </w:rPr>
      </w:pPr>
      <w:r w:rsidRPr="006E00F4">
        <w:rPr>
          <w:rFonts w:hint="eastAsia"/>
          <w:b/>
          <w:bCs/>
          <w:lang w:eastAsia="zh-TW"/>
        </w:rPr>
        <w:t>調整後的優先股每股收益</w:t>
      </w:r>
      <w:r w:rsidRPr="006E00F4">
        <w:rPr>
          <w:rFonts w:hint="eastAsia"/>
          <w:lang w:eastAsia="zh-TW"/>
        </w:rPr>
        <w:t>也大幅增長</w:t>
      </w:r>
      <w:r w:rsidRPr="006E00F4">
        <w:rPr>
          <w:lang w:eastAsia="zh-TW"/>
        </w:rPr>
        <w:t>23.2%</w:t>
      </w:r>
      <w:r w:rsidRPr="006E00F4">
        <w:rPr>
          <w:rFonts w:hint="eastAsia"/>
          <w:lang w:eastAsia="zh-TW"/>
        </w:rPr>
        <w:t>，達到</w:t>
      </w:r>
      <w:r w:rsidRPr="006E00F4">
        <w:rPr>
          <w:lang w:eastAsia="zh-TW"/>
        </w:rPr>
        <w:t>5.36</w:t>
      </w:r>
      <w:r w:rsidRPr="006E00F4">
        <w:rPr>
          <w:rFonts w:hint="eastAsia"/>
          <w:lang w:eastAsia="zh-TW"/>
        </w:rPr>
        <w:t>歐元（</w:t>
      </w:r>
      <w:r>
        <w:rPr>
          <w:lang w:eastAsia="zh-TW"/>
        </w:rPr>
        <w:t>2023</w:t>
      </w:r>
      <w:r w:rsidRPr="006E00F4">
        <w:rPr>
          <w:rFonts w:hint="eastAsia"/>
          <w:lang w:eastAsia="zh-TW"/>
        </w:rPr>
        <w:t>年：</w:t>
      </w:r>
      <w:r w:rsidRPr="006E00F4">
        <w:rPr>
          <w:lang w:eastAsia="zh-TW"/>
        </w:rPr>
        <w:t>4.35</w:t>
      </w:r>
      <w:r w:rsidRPr="006E00F4">
        <w:rPr>
          <w:rFonts w:hint="eastAsia"/>
          <w:lang w:eastAsia="zh-TW"/>
        </w:rPr>
        <w:t>歐元）。按固定匯率計算，調整後的優先股每股收益增長</w:t>
      </w:r>
      <w:r w:rsidRPr="006E00F4">
        <w:rPr>
          <w:lang w:eastAsia="zh-TW"/>
        </w:rPr>
        <w:t>25.1%</w:t>
      </w:r>
      <w:r w:rsidRPr="006E00F4">
        <w:rPr>
          <w:rFonts w:hint="eastAsia"/>
          <w:lang w:eastAsia="zh-TW"/>
        </w:rPr>
        <w:t>。</w:t>
      </w:r>
    </w:p>
    <w:p w14:paraId="61FE60F0" w14:textId="77777777" w:rsidR="004B2C19" w:rsidRPr="006E00F4" w:rsidRDefault="004B2C19" w:rsidP="004B2C19">
      <w:pPr>
        <w:rPr>
          <w:rFonts w:cs="Segoe UI"/>
          <w:szCs w:val="22"/>
          <w:lang w:eastAsia="zh-TW"/>
        </w:rPr>
      </w:pPr>
    </w:p>
    <w:p w14:paraId="1A5794F9" w14:textId="796B6FD1" w:rsidR="004B2C19" w:rsidRPr="006E00F4" w:rsidRDefault="00861DC8" w:rsidP="00D24C2D">
      <w:pPr>
        <w:rPr>
          <w:rFonts w:cs="Segoe UI"/>
          <w:szCs w:val="22"/>
          <w:lang w:eastAsia="zh-TW"/>
        </w:rPr>
      </w:pPr>
      <w:r w:rsidRPr="006E00F4">
        <w:rPr>
          <w:rFonts w:hint="eastAsia"/>
          <w:b/>
          <w:bCs/>
          <w:lang w:eastAsia="zh-TW"/>
        </w:rPr>
        <w:t>淨營運資本</w:t>
      </w:r>
      <w:r w:rsidRPr="006E00F4">
        <w:rPr>
          <w:rFonts w:hint="eastAsia"/>
          <w:lang w:eastAsia="zh-TW"/>
        </w:rPr>
        <w:t>占銷售額的</w:t>
      </w:r>
      <w:r w:rsidRPr="006E00F4">
        <w:rPr>
          <w:lang w:eastAsia="zh-TW"/>
        </w:rPr>
        <w:t>3.0%</w:t>
      </w:r>
      <w:r w:rsidRPr="006E00F4">
        <w:rPr>
          <w:rFonts w:hint="eastAsia"/>
          <w:lang w:eastAsia="zh-TW"/>
        </w:rPr>
        <w:t>，同比略有上升（</w:t>
      </w:r>
      <w:r w:rsidRPr="006E00F4">
        <w:rPr>
          <w:lang w:eastAsia="zh-TW"/>
        </w:rPr>
        <w:t>2023</w:t>
      </w:r>
      <w:r w:rsidRPr="006E00F4">
        <w:rPr>
          <w:rFonts w:hint="eastAsia"/>
          <w:lang w:eastAsia="zh-TW"/>
        </w:rPr>
        <w:t>年：</w:t>
      </w:r>
      <w:r w:rsidRPr="006E00F4">
        <w:rPr>
          <w:lang w:eastAsia="zh-TW"/>
        </w:rPr>
        <w:t>2.6%</w:t>
      </w:r>
      <w:r w:rsidRPr="006E00F4">
        <w:rPr>
          <w:rFonts w:hint="eastAsia"/>
          <w:lang w:eastAsia="zh-TW"/>
        </w:rPr>
        <w:t>）。</w:t>
      </w:r>
    </w:p>
    <w:p w14:paraId="2CFADB91" w14:textId="77777777" w:rsidR="004B2C19" w:rsidRPr="006E00F4" w:rsidRDefault="004B2C19" w:rsidP="004B2C19">
      <w:pPr>
        <w:rPr>
          <w:rFonts w:cs="Segoe UI"/>
          <w:szCs w:val="22"/>
          <w:lang w:eastAsia="zh-TW"/>
        </w:rPr>
      </w:pPr>
    </w:p>
    <w:p w14:paraId="7EB859E0" w14:textId="0FA6539C" w:rsidR="00D24C2D" w:rsidRPr="006E00F4" w:rsidRDefault="00861DC8" w:rsidP="00D24C2D">
      <w:pPr>
        <w:rPr>
          <w:rFonts w:cs="Segoe UI"/>
          <w:szCs w:val="22"/>
        </w:rPr>
      </w:pPr>
      <w:r w:rsidRPr="006E00F4">
        <w:rPr>
          <w:rFonts w:hint="eastAsia"/>
          <w:b/>
          <w:bCs/>
          <w:lang w:eastAsia="zh-TW"/>
        </w:rPr>
        <w:t>自由現金流</w:t>
      </w:r>
      <w:r>
        <w:rPr>
          <w:rFonts w:hint="eastAsia"/>
          <w:lang w:eastAsia="zh-TW"/>
        </w:rPr>
        <w:t>總計</w:t>
      </w:r>
      <w:r w:rsidRPr="006E00F4">
        <w:rPr>
          <w:lang w:eastAsia="zh-TW"/>
        </w:rPr>
        <w:t>23.62</w:t>
      </w:r>
      <w:r w:rsidRPr="006E00F4">
        <w:rPr>
          <w:rFonts w:hint="eastAsia"/>
          <w:lang w:eastAsia="zh-TW"/>
        </w:rPr>
        <w:t>億歐元，與去年同期</w:t>
      </w:r>
      <w:r>
        <w:rPr>
          <w:rFonts w:hint="eastAsia"/>
          <w:lang w:eastAsia="zh-TW"/>
        </w:rPr>
        <w:t>在</w:t>
      </w:r>
      <w:r w:rsidRPr="006E00F4">
        <w:rPr>
          <w:rFonts w:hint="eastAsia"/>
          <w:lang w:eastAsia="zh-TW"/>
        </w:rPr>
        <w:t>淨營運資本正常化積極影響</w:t>
      </w:r>
      <w:r>
        <w:rPr>
          <w:rFonts w:hint="eastAsia"/>
          <w:lang w:eastAsia="zh-TW"/>
        </w:rPr>
        <w:t>下的情況</w:t>
      </w:r>
      <w:r w:rsidRPr="006E00F4">
        <w:rPr>
          <w:rFonts w:hint="eastAsia"/>
          <w:lang w:eastAsia="zh-TW"/>
        </w:rPr>
        <w:t>相比有所減少（</w:t>
      </w:r>
      <w:r w:rsidRPr="006E00F4">
        <w:rPr>
          <w:lang w:eastAsia="zh-TW"/>
        </w:rPr>
        <w:t>2023</w:t>
      </w:r>
      <w:r w:rsidRPr="006E00F4">
        <w:rPr>
          <w:rFonts w:hint="eastAsia"/>
          <w:lang w:eastAsia="zh-TW"/>
        </w:rPr>
        <w:t>年：</w:t>
      </w:r>
      <w:r w:rsidRPr="006E00F4">
        <w:rPr>
          <w:lang w:eastAsia="zh-TW"/>
        </w:rPr>
        <w:t>26.03</w:t>
      </w:r>
      <w:r w:rsidRPr="006E00F4">
        <w:rPr>
          <w:rFonts w:hint="eastAsia"/>
          <w:lang w:eastAsia="zh-TW"/>
        </w:rPr>
        <w:t>億歐元）。</w:t>
      </w:r>
      <w:r w:rsidR="00B07F4F" w:rsidRPr="006E00F4">
        <w:rPr>
          <w:rFonts w:hint="eastAsia"/>
        </w:rPr>
        <w:t xml:space="preserve"> </w:t>
      </w:r>
    </w:p>
    <w:p w14:paraId="015CF066" w14:textId="77777777" w:rsidR="00D24C2D" w:rsidRPr="006E00F4" w:rsidRDefault="00D24C2D" w:rsidP="00D24C2D">
      <w:pPr>
        <w:rPr>
          <w:rFonts w:cs="Segoe UI"/>
          <w:szCs w:val="22"/>
        </w:rPr>
      </w:pPr>
    </w:p>
    <w:p w14:paraId="58750AC1" w14:textId="78453289" w:rsidR="004B2C19" w:rsidRPr="006E00F4" w:rsidRDefault="00861DC8" w:rsidP="00D24C2D">
      <w:pPr>
        <w:rPr>
          <w:rFonts w:cs="Segoe UI"/>
          <w:szCs w:val="22"/>
        </w:rPr>
      </w:pPr>
      <w:r w:rsidRPr="006E00F4">
        <w:rPr>
          <w:rFonts w:hint="eastAsia"/>
          <w:b/>
          <w:bCs/>
          <w:lang w:eastAsia="zh-TW"/>
        </w:rPr>
        <w:t>淨財務狀況</w:t>
      </w:r>
      <w:r w:rsidRPr="006E00F4">
        <w:rPr>
          <w:rFonts w:hint="eastAsia"/>
          <w:lang w:eastAsia="zh-TW"/>
        </w:rPr>
        <w:t>為</w:t>
      </w:r>
      <w:r w:rsidRPr="006E00F4">
        <w:rPr>
          <w:lang w:eastAsia="zh-TW"/>
        </w:rPr>
        <w:t>-9300</w:t>
      </w:r>
      <w:r w:rsidRPr="006E00F4">
        <w:rPr>
          <w:rFonts w:hint="eastAsia"/>
          <w:lang w:eastAsia="zh-TW"/>
        </w:rPr>
        <w:t>萬歐元，略低於去年水準，這主要是由於收購支出（</w:t>
      </w:r>
      <w:r w:rsidRPr="006E00F4">
        <w:rPr>
          <w:lang w:eastAsia="zh-TW"/>
        </w:rPr>
        <w:t>2023</w:t>
      </w:r>
      <w:r w:rsidRPr="006E00F4">
        <w:rPr>
          <w:rFonts w:hint="eastAsia"/>
          <w:lang w:eastAsia="zh-TW"/>
        </w:rPr>
        <w:t>年</w:t>
      </w:r>
      <w:r w:rsidRPr="006E00F4">
        <w:rPr>
          <w:lang w:eastAsia="zh-TW"/>
        </w:rPr>
        <w:t>12</w:t>
      </w:r>
      <w:r w:rsidRPr="006E00F4">
        <w:rPr>
          <w:rFonts w:hint="eastAsia"/>
          <w:lang w:eastAsia="zh-TW"/>
        </w:rPr>
        <w:t>月</w:t>
      </w:r>
      <w:r w:rsidRPr="006E00F4">
        <w:rPr>
          <w:lang w:eastAsia="zh-TW"/>
        </w:rPr>
        <w:t>31</w:t>
      </w:r>
      <w:r w:rsidRPr="006E00F4">
        <w:rPr>
          <w:rFonts w:hint="eastAsia"/>
          <w:lang w:eastAsia="zh-TW"/>
        </w:rPr>
        <w:t>日：</w:t>
      </w:r>
      <w:r w:rsidRPr="006E00F4">
        <w:rPr>
          <w:lang w:eastAsia="zh-TW"/>
        </w:rPr>
        <w:t>1200</w:t>
      </w:r>
      <w:r w:rsidRPr="006E00F4">
        <w:rPr>
          <w:rFonts w:hint="eastAsia"/>
          <w:lang w:eastAsia="zh-TW"/>
        </w:rPr>
        <w:t>萬歐元）。</w:t>
      </w:r>
    </w:p>
    <w:p w14:paraId="1D2A7285" w14:textId="77777777" w:rsidR="00C8634B" w:rsidRPr="006E00F4" w:rsidRDefault="00C8634B">
      <w:pPr>
        <w:spacing w:line="240" w:lineRule="auto"/>
        <w:jc w:val="left"/>
        <w:rPr>
          <w:rFonts w:cs="Segoe UI"/>
        </w:rPr>
      </w:pPr>
    </w:p>
    <w:p w14:paraId="1AB3A20A" w14:textId="0DABF4B0" w:rsidR="004B2C19" w:rsidRPr="006E00F4" w:rsidRDefault="00861DC8" w:rsidP="00D24C2D">
      <w:pPr>
        <w:rPr>
          <w:rFonts w:cs="Segoe UI"/>
          <w:lang w:eastAsia="zh-TW"/>
        </w:rPr>
      </w:pPr>
      <w:r w:rsidRPr="006E00F4">
        <w:rPr>
          <w:rFonts w:hint="eastAsia"/>
          <w:lang w:eastAsia="zh-TW"/>
        </w:rPr>
        <w:t>管理委員會、監事會和股東委員會將在</w:t>
      </w:r>
      <w:r w:rsidRPr="006E00F4">
        <w:rPr>
          <w:lang w:eastAsia="zh-TW"/>
        </w:rPr>
        <w:t>2025</w:t>
      </w:r>
      <w:r w:rsidRPr="006E00F4">
        <w:rPr>
          <w:rFonts w:hint="eastAsia"/>
          <w:lang w:eastAsia="zh-TW"/>
        </w:rPr>
        <w:t>年</w:t>
      </w:r>
      <w:r w:rsidRPr="006E00F4">
        <w:rPr>
          <w:lang w:eastAsia="zh-TW"/>
        </w:rPr>
        <w:t>4</w:t>
      </w:r>
      <w:r w:rsidRPr="006E00F4">
        <w:rPr>
          <w:rFonts w:hint="eastAsia"/>
          <w:lang w:eastAsia="zh-TW"/>
        </w:rPr>
        <w:t>月</w:t>
      </w:r>
      <w:r w:rsidRPr="006E00F4">
        <w:rPr>
          <w:lang w:eastAsia="zh-TW"/>
        </w:rPr>
        <w:t>28</w:t>
      </w:r>
      <w:r w:rsidRPr="006E00F4">
        <w:rPr>
          <w:rFonts w:hint="eastAsia"/>
          <w:lang w:eastAsia="zh-TW"/>
        </w:rPr>
        <w:t>日的年度股東大會上提議</w:t>
      </w:r>
      <w:r w:rsidRPr="006E00F4">
        <w:rPr>
          <w:rFonts w:hint="eastAsia"/>
          <w:b/>
          <w:bCs/>
          <w:lang w:eastAsia="zh-TW"/>
        </w:rPr>
        <w:t>股息</w:t>
      </w:r>
      <w:r w:rsidRPr="006E00F4">
        <w:rPr>
          <w:rFonts w:hint="eastAsia"/>
          <w:lang w:eastAsia="zh-TW"/>
        </w:rPr>
        <w:t>比去年增加</w:t>
      </w:r>
      <w:r w:rsidRPr="006E00F4">
        <w:rPr>
          <w:lang w:eastAsia="zh-TW"/>
        </w:rPr>
        <w:t>10.3%</w:t>
      </w:r>
      <w:r w:rsidRPr="006E00F4">
        <w:rPr>
          <w:rFonts w:hint="eastAsia"/>
          <w:lang w:eastAsia="zh-TW"/>
        </w:rPr>
        <w:t>，即優先股每股</w:t>
      </w:r>
      <w:r w:rsidRPr="006E00F4">
        <w:rPr>
          <w:lang w:eastAsia="zh-TW"/>
        </w:rPr>
        <w:t>2.04</w:t>
      </w:r>
      <w:r w:rsidRPr="006E00F4">
        <w:rPr>
          <w:rFonts w:hint="eastAsia"/>
          <w:lang w:eastAsia="zh-TW"/>
        </w:rPr>
        <w:t>歐元，普通股每股</w:t>
      </w:r>
      <w:r w:rsidRPr="006E00F4">
        <w:rPr>
          <w:lang w:eastAsia="zh-TW"/>
        </w:rPr>
        <w:t>2.02</w:t>
      </w:r>
      <w:r w:rsidRPr="006E00F4">
        <w:rPr>
          <w:rFonts w:hint="eastAsia"/>
          <w:lang w:eastAsia="zh-TW"/>
        </w:rPr>
        <w:t>歐元（增加</w:t>
      </w:r>
      <w:r w:rsidRPr="006E00F4">
        <w:rPr>
          <w:lang w:eastAsia="zh-TW"/>
        </w:rPr>
        <w:t>10.4%</w:t>
      </w:r>
      <w:r w:rsidRPr="006E00F4">
        <w:rPr>
          <w:rFonts w:hint="eastAsia"/>
          <w:lang w:eastAsia="zh-TW"/>
        </w:rPr>
        <w:t>）。這相當於</w:t>
      </w:r>
      <w:r w:rsidRPr="006E00F4">
        <w:rPr>
          <w:lang w:eastAsia="zh-TW"/>
        </w:rPr>
        <w:t>37.9%</w:t>
      </w:r>
      <w:r w:rsidRPr="006E00F4">
        <w:rPr>
          <w:rFonts w:hint="eastAsia"/>
          <w:lang w:eastAsia="zh-TW"/>
        </w:rPr>
        <w:t>的派息率，在</w:t>
      </w:r>
      <w:r w:rsidRPr="006E00F4">
        <w:rPr>
          <w:lang w:eastAsia="zh-TW"/>
        </w:rPr>
        <w:t>30%</w:t>
      </w:r>
      <w:r w:rsidRPr="006E00F4">
        <w:rPr>
          <w:rFonts w:hint="eastAsia"/>
          <w:lang w:eastAsia="zh-TW"/>
        </w:rPr>
        <w:t>至</w:t>
      </w:r>
      <w:r w:rsidRPr="006E00F4">
        <w:rPr>
          <w:lang w:eastAsia="zh-TW"/>
        </w:rPr>
        <w:t>40%</w:t>
      </w:r>
      <w:r w:rsidRPr="006E00F4">
        <w:rPr>
          <w:rFonts w:hint="eastAsia"/>
          <w:lang w:eastAsia="zh-TW"/>
        </w:rPr>
        <w:t>的目標範圍之內。股息的增加得益于漢高集團上一財年的良好財務業績和雄厚的財務基礎。</w:t>
      </w:r>
    </w:p>
    <w:p w14:paraId="785C0FF4" w14:textId="77777777" w:rsidR="004B2C19" w:rsidRPr="006E00F4" w:rsidRDefault="004B2C19" w:rsidP="004B2C19">
      <w:pPr>
        <w:rPr>
          <w:rFonts w:cs="Segoe UI"/>
          <w:lang w:eastAsia="zh-TW"/>
        </w:rPr>
      </w:pPr>
    </w:p>
    <w:p w14:paraId="7FD977E3" w14:textId="4C526185" w:rsidR="004B2C19" w:rsidRPr="006E00F4" w:rsidRDefault="00861DC8" w:rsidP="004B2C19">
      <w:pPr>
        <w:spacing w:after="120"/>
        <w:rPr>
          <w:rFonts w:cs="Segoe UI"/>
          <w:b/>
          <w:bCs/>
          <w:szCs w:val="22"/>
          <w:lang w:eastAsia="zh-TW"/>
        </w:rPr>
      </w:pPr>
      <w:r w:rsidRPr="006E00F4">
        <w:rPr>
          <w:b/>
          <w:lang w:eastAsia="zh-TW"/>
        </w:rPr>
        <w:t>2024</w:t>
      </w:r>
      <w:r w:rsidRPr="006E00F4">
        <w:rPr>
          <w:rFonts w:hint="eastAsia"/>
          <w:b/>
          <w:lang w:eastAsia="zh-TW"/>
        </w:rPr>
        <w:t>財年業務部門業績</w:t>
      </w:r>
    </w:p>
    <w:p w14:paraId="2B896A99" w14:textId="67E57C7D" w:rsidR="004B2C19" w:rsidRPr="006E00F4" w:rsidRDefault="00861DC8" w:rsidP="009E6215">
      <w:pPr>
        <w:rPr>
          <w:rFonts w:cs="Segoe UI"/>
          <w:szCs w:val="22"/>
        </w:rPr>
      </w:pPr>
      <w:r w:rsidRPr="006E00F4">
        <w:rPr>
          <w:rFonts w:hint="eastAsia"/>
          <w:b/>
          <w:bCs/>
          <w:lang w:eastAsia="zh-TW"/>
        </w:rPr>
        <w:t>粘合劑技術</w:t>
      </w:r>
      <w:r w:rsidRPr="006E00F4">
        <w:rPr>
          <w:rFonts w:hint="eastAsia"/>
          <w:lang w:eastAsia="zh-TW"/>
        </w:rPr>
        <w:t>業務部</w:t>
      </w:r>
      <w:r w:rsidRPr="006E00F4">
        <w:rPr>
          <w:lang w:eastAsia="zh-TW"/>
        </w:rPr>
        <w:t>2024</w:t>
      </w:r>
      <w:r w:rsidRPr="006E00F4">
        <w:rPr>
          <w:rFonts w:hint="eastAsia"/>
          <w:lang w:eastAsia="zh-TW"/>
        </w:rPr>
        <w:t>財年的總</w:t>
      </w:r>
      <w:r w:rsidRPr="006E00F4">
        <w:rPr>
          <w:rFonts w:hint="eastAsia"/>
          <w:b/>
          <w:bCs/>
          <w:lang w:eastAsia="zh-TW"/>
        </w:rPr>
        <w:t>銷售額</w:t>
      </w:r>
      <w:r w:rsidRPr="006E00F4">
        <w:rPr>
          <w:rFonts w:hint="eastAsia"/>
          <w:lang w:eastAsia="zh-TW"/>
        </w:rPr>
        <w:t>為</w:t>
      </w:r>
      <w:r w:rsidRPr="006E00F4">
        <w:rPr>
          <w:lang w:eastAsia="zh-TW"/>
        </w:rPr>
        <w:t>109.70</w:t>
      </w:r>
      <w:r w:rsidRPr="006E00F4">
        <w:rPr>
          <w:rFonts w:hint="eastAsia"/>
          <w:lang w:eastAsia="zh-TW"/>
        </w:rPr>
        <w:t>億歐元，同比名義增長</w:t>
      </w:r>
      <w:r w:rsidRPr="006E00F4">
        <w:rPr>
          <w:lang w:eastAsia="zh-TW"/>
        </w:rPr>
        <w:t>1.7%</w:t>
      </w:r>
      <w:r w:rsidRPr="006E00F4">
        <w:rPr>
          <w:rFonts w:hint="eastAsia"/>
          <w:lang w:eastAsia="zh-TW"/>
        </w:rPr>
        <w:t>。雖然匯率因素</w:t>
      </w:r>
      <w:r>
        <w:rPr>
          <w:rFonts w:hint="eastAsia"/>
          <w:lang w:eastAsia="zh-TW"/>
        </w:rPr>
        <w:t>造成</w:t>
      </w:r>
      <w:r w:rsidRPr="006E00F4">
        <w:rPr>
          <w:lang w:eastAsia="zh-TW"/>
        </w:rPr>
        <w:t>1.8%</w:t>
      </w:r>
      <w:r>
        <w:rPr>
          <w:rFonts w:hint="eastAsia"/>
          <w:lang w:eastAsia="zh-TW"/>
        </w:rPr>
        <w:t>的負面影響</w:t>
      </w:r>
      <w:r w:rsidRPr="006E00F4">
        <w:rPr>
          <w:rFonts w:hint="eastAsia"/>
          <w:lang w:eastAsia="zh-TW"/>
        </w:rPr>
        <w:t>，但收購</w:t>
      </w:r>
      <w:r w:rsidRPr="006E00F4">
        <w:rPr>
          <w:lang w:eastAsia="zh-TW"/>
        </w:rPr>
        <w:t>/</w:t>
      </w:r>
      <w:r w:rsidRPr="006E00F4">
        <w:rPr>
          <w:rFonts w:hint="eastAsia"/>
          <w:lang w:eastAsia="zh-TW"/>
        </w:rPr>
        <w:t>撤資促使銷售額增長</w:t>
      </w:r>
      <w:r w:rsidRPr="006E00F4">
        <w:rPr>
          <w:lang w:eastAsia="zh-TW"/>
        </w:rPr>
        <w:t>1.1%</w:t>
      </w:r>
      <w:r w:rsidRPr="006E00F4">
        <w:rPr>
          <w:rFonts w:hint="eastAsia"/>
          <w:lang w:eastAsia="zh-TW"/>
        </w:rPr>
        <w:t>。</w:t>
      </w:r>
      <w:r w:rsidRPr="006E00F4">
        <w:rPr>
          <w:rFonts w:hint="eastAsia"/>
          <w:b/>
          <w:bCs/>
          <w:lang w:eastAsia="zh-TW"/>
        </w:rPr>
        <w:t>有機銷售額</w:t>
      </w:r>
      <w:r w:rsidRPr="006E00F4">
        <w:rPr>
          <w:rFonts w:hint="eastAsia"/>
          <w:lang w:eastAsia="zh-TW"/>
        </w:rPr>
        <w:t>增長</w:t>
      </w:r>
      <w:r w:rsidRPr="006E00F4">
        <w:rPr>
          <w:lang w:eastAsia="zh-TW"/>
        </w:rPr>
        <w:t>2.4%</w:t>
      </w:r>
      <w:r>
        <w:rPr>
          <w:rFonts w:hint="eastAsia"/>
          <w:lang w:eastAsia="zh-TW"/>
        </w:rPr>
        <w:t>，主要歸因於</w:t>
      </w:r>
      <w:r w:rsidRPr="006E00F4">
        <w:rPr>
          <w:rFonts w:hint="eastAsia"/>
          <w:lang w:eastAsia="zh-TW"/>
        </w:rPr>
        <w:t>下半年</w:t>
      </w:r>
      <w:r>
        <w:rPr>
          <w:rFonts w:hint="eastAsia"/>
          <w:lang w:eastAsia="zh-TW"/>
        </w:rPr>
        <w:t>因</w:t>
      </w:r>
      <w:r w:rsidRPr="006E00F4">
        <w:rPr>
          <w:rFonts w:hint="eastAsia"/>
          <w:lang w:eastAsia="zh-TW"/>
        </w:rPr>
        <w:t>部分主要終端市場需求增加</w:t>
      </w:r>
      <w:r>
        <w:rPr>
          <w:rFonts w:hint="eastAsia"/>
          <w:lang w:eastAsia="zh-TW"/>
        </w:rPr>
        <w:t>而帶來</w:t>
      </w:r>
      <w:r w:rsidRPr="006E00F4">
        <w:rPr>
          <w:rFonts w:hint="eastAsia"/>
          <w:lang w:eastAsia="zh-TW"/>
        </w:rPr>
        <w:t>銷量的強勁增長。價格與去年持平。</w:t>
      </w:r>
      <w:r w:rsidRPr="006E00F4">
        <w:rPr>
          <w:rFonts w:hint="eastAsia"/>
          <w:b/>
          <w:bCs/>
          <w:lang w:eastAsia="zh-TW"/>
        </w:rPr>
        <w:t>調整後的營業</w:t>
      </w:r>
      <w:r w:rsidRPr="006E00F4">
        <w:rPr>
          <w:rFonts w:hint="eastAsia"/>
          <w:b/>
          <w:bCs/>
          <w:lang w:eastAsia="zh-TW"/>
        </w:rPr>
        <w:lastRenderedPageBreak/>
        <w:t>利潤</w:t>
      </w:r>
      <w:r w:rsidRPr="006E00F4">
        <w:rPr>
          <w:rFonts w:hint="eastAsia"/>
          <w:lang w:eastAsia="zh-TW"/>
        </w:rPr>
        <w:t>為</w:t>
      </w:r>
      <w:r w:rsidRPr="006E00F4">
        <w:rPr>
          <w:lang w:eastAsia="zh-TW"/>
        </w:rPr>
        <w:t>18.17</w:t>
      </w:r>
      <w:r w:rsidRPr="006E00F4">
        <w:rPr>
          <w:rFonts w:hint="eastAsia"/>
          <w:lang w:eastAsia="zh-TW"/>
        </w:rPr>
        <w:t>億歐元，同比實現兩位數增長，創下該業務部的新高。</w:t>
      </w:r>
      <w:r w:rsidRPr="006E00F4">
        <w:rPr>
          <w:rFonts w:hint="eastAsia"/>
          <w:b/>
          <w:bCs/>
          <w:lang w:eastAsia="zh-TW"/>
        </w:rPr>
        <w:t>調整後的銷售回報率</w:t>
      </w:r>
      <w:r w:rsidRPr="006E00F4">
        <w:rPr>
          <w:rFonts w:hint="eastAsia"/>
          <w:lang w:eastAsia="zh-TW"/>
        </w:rPr>
        <w:t>同比上浮</w:t>
      </w:r>
      <w:r w:rsidRPr="006E00F4">
        <w:rPr>
          <w:lang w:eastAsia="zh-TW"/>
        </w:rPr>
        <w:t>190</w:t>
      </w:r>
      <w:r w:rsidRPr="006E00F4">
        <w:rPr>
          <w:rFonts w:hint="eastAsia"/>
          <w:lang w:eastAsia="zh-TW"/>
        </w:rPr>
        <w:t>個基點，達到</w:t>
      </w:r>
      <w:r w:rsidRPr="006E00F4">
        <w:rPr>
          <w:lang w:eastAsia="zh-TW"/>
        </w:rPr>
        <w:t>16.6%</w:t>
      </w:r>
      <w:r w:rsidRPr="006E00F4">
        <w:rPr>
          <w:rFonts w:hint="eastAsia"/>
          <w:lang w:eastAsia="zh-TW"/>
        </w:rPr>
        <w:t>。</w:t>
      </w:r>
    </w:p>
    <w:p w14:paraId="51CB2B60" w14:textId="77777777" w:rsidR="004B2C19" w:rsidRPr="006E00F4" w:rsidRDefault="004B2C19" w:rsidP="004B2C19">
      <w:pPr>
        <w:rPr>
          <w:rFonts w:cs="Segoe UI"/>
          <w:szCs w:val="22"/>
        </w:rPr>
      </w:pPr>
    </w:p>
    <w:p w14:paraId="4AEE1084" w14:textId="4BA397F1" w:rsidR="004B2C19" w:rsidRPr="006E00F4" w:rsidRDefault="00861DC8" w:rsidP="009E6215">
      <w:pPr>
        <w:rPr>
          <w:rFonts w:cs="Segoe UI"/>
          <w:szCs w:val="22"/>
        </w:rPr>
      </w:pPr>
      <w:r w:rsidRPr="006E00F4">
        <w:rPr>
          <w:rFonts w:hint="eastAsia"/>
          <w:b/>
          <w:bCs/>
          <w:lang w:eastAsia="zh-TW"/>
        </w:rPr>
        <w:t>消費品牌</w:t>
      </w:r>
      <w:r w:rsidRPr="006E00F4">
        <w:rPr>
          <w:rFonts w:hint="eastAsia"/>
          <w:lang w:eastAsia="zh-TW"/>
        </w:rPr>
        <w:t>業務部</w:t>
      </w:r>
      <w:r w:rsidRPr="006E00F4">
        <w:rPr>
          <w:lang w:eastAsia="zh-TW"/>
        </w:rPr>
        <w:t>2024</w:t>
      </w:r>
      <w:r w:rsidRPr="006E00F4">
        <w:rPr>
          <w:rFonts w:hint="eastAsia"/>
          <w:lang w:eastAsia="zh-TW"/>
        </w:rPr>
        <w:t>財年的總</w:t>
      </w:r>
      <w:r w:rsidRPr="006E00F4">
        <w:rPr>
          <w:rFonts w:hint="eastAsia"/>
          <w:b/>
          <w:bCs/>
          <w:lang w:eastAsia="zh-TW"/>
        </w:rPr>
        <w:t>銷售額</w:t>
      </w:r>
      <w:r w:rsidRPr="006E00F4">
        <w:rPr>
          <w:rFonts w:hint="eastAsia"/>
          <w:lang w:eastAsia="zh-TW"/>
        </w:rPr>
        <w:t>為</w:t>
      </w:r>
      <w:r w:rsidRPr="006E00F4">
        <w:rPr>
          <w:lang w:eastAsia="zh-TW"/>
        </w:rPr>
        <w:t>104.67</w:t>
      </w:r>
      <w:r w:rsidRPr="006E00F4">
        <w:rPr>
          <w:rFonts w:hint="eastAsia"/>
          <w:lang w:eastAsia="zh-TW"/>
        </w:rPr>
        <w:t>億歐元，較去年名義下降</w:t>
      </w:r>
      <w:r w:rsidRPr="006E00F4">
        <w:rPr>
          <w:lang w:eastAsia="zh-TW"/>
        </w:rPr>
        <w:t>0.9%</w:t>
      </w:r>
      <w:r w:rsidRPr="006E00F4">
        <w:rPr>
          <w:rFonts w:hint="eastAsia"/>
          <w:lang w:eastAsia="zh-TW"/>
        </w:rPr>
        <w:t>。外匯因素導致銷售額下降</w:t>
      </w:r>
      <w:r w:rsidRPr="006E00F4">
        <w:rPr>
          <w:lang w:eastAsia="zh-TW"/>
        </w:rPr>
        <w:t>1.8%</w:t>
      </w:r>
      <w:r w:rsidRPr="006E00F4">
        <w:rPr>
          <w:rFonts w:hint="eastAsia"/>
          <w:lang w:eastAsia="zh-TW"/>
        </w:rPr>
        <w:t>。收購</w:t>
      </w:r>
      <w:r w:rsidRPr="006E00F4">
        <w:rPr>
          <w:lang w:eastAsia="zh-TW"/>
        </w:rPr>
        <w:t>/</w:t>
      </w:r>
      <w:r w:rsidRPr="006E00F4">
        <w:rPr>
          <w:rFonts w:hint="eastAsia"/>
          <w:lang w:eastAsia="zh-TW"/>
        </w:rPr>
        <w:t>撤資也導致銷售額下降</w:t>
      </w:r>
      <w:r w:rsidRPr="006E00F4">
        <w:rPr>
          <w:lang w:eastAsia="zh-TW"/>
        </w:rPr>
        <w:t>2.0%</w:t>
      </w:r>
      <w:r w:rsidRPr="006E00F4">
        <w:rPr>
          <w:rFonts w:hint="eastAsia"/>
          <w:lang w:eastAsia="zh-TW"/>
        </w:rPr>
        <w:t>，主要原因是我們於</w:t>
      </w:r>
      <w:r w:rsidRPr="006E00F4">
        <w:rPr>
          <w:lang w:eastAsia="zh-TW"/>
        </w:rPr>
        <w:t>2023</w:t>
      </w:r>
      <w:r w:rsidRPr="006E00F4">
        <w:rPr>
          <w:rFonts w:hint="eastAsia"/>
          <w:lang w:eastAsia="zh-TW"/>
        </w:rPr>
        <w:t>年</w:t>
      </w:r>
      <w:r w:rsidRPr="006E00F4">
        <w:rPr>
          <w:lang w:eastAsia="zh-TW"/>
        </w:rPr>
        <w:t>4</w:t>
      </w:r>
      <w:r w:rsidRPr="006E00F4">
        <w:rPr>
          <w:rFonts w:hint="eastAsia"/>
          <w:lang w:eastAsia="zh-TW"/>
        </w:rPr>
        <w:t>月出售了在俄羅斯的業務活動。</w:t>
      </w:r>
      <w:r w:rsidRPr="006E00F4">
        <w:rPr>
          <w:rFonts w:hint="eastAsia"/>
          <w:b/>
          <w:bCs/>
          <w:lang w:eastAsia="zh-TW"/>
        </w:rPr>
        <w:t>有機</w:t>
      </w:r>
      <w:r w:rsidRPr="00D1154A">
        <w:rPr>
          <w:rFonts w:hint="eastAsia"/>
          <w:lang w:eastAsia="zh-TW"/>
        </w:rPr>
        <w:t>銷售額</w:t>
      </w:r>
      <w:r w:rsidRPr="006E00F4">
        <w:rPr>
          <w:rFonts w:hint="eastAsia"/>
          <w:lang w:eastAsia="zh-TW"/>
        </w:rPr>
        <w:t>增長</w:t>
      </w:r>
      <w:r w:rsidRPr="006E00F4">
        <w:rPr>
          <w:lang w:eastAsia="zh-TW"/>
        </w:rPr>
        <w:t>3.0%</w:t>
      </w:r>
      <w:r w:rsidRPr="006E00F4">
        <w:rPr>
          <w:rFonts w:hint="eastAsia"/>
          <w:lang w:eastAsia="zh-TW"/>
        </w:rPr>
        <w:t>。銷售額的增長主要得益於大幅的價格上漲，而銷量的下滑則主要歸因於持續的產品組合優化措施。</w:t>
      </w:r>
      <w:r w:rsidRPr="006E00F4">
        <w:rPr>
          <w:rFonts w:hint="eastAsia"/>
          <w:b/>
          <w:bCs/>
          <w:lang w:eastAsia="zh-TW"/>
        </w:rPr>
        <w:t>調整後的營業利潤</w:t>
      </w:r>
      <w:r>
        <w:rPr>
          <w:rFonts w:hint="eastAsia"/>
          <w:lang w:eastAsia="zh-TW"/>
        </w:rPr>
        <w:t>大幅增長至</w:t>
      </w:r>
      <w:r w:rsidRPr="006E00F4">
        <w:rPr>
          <w:lang w:eastAsia="zh-TW"/>
        </w:rPr>
        <w:t>14.19</w:t>
      </w:r>
      <w:r w:rsidRPr="006E00F4">
        <w:rPr>
          <w:rFonts w:hint="eastAsia"/>
          <w:lang w:eastAsia="zh-TW"/>
        </w:rPr>
        <w:t>億歐元（</w:t>
      </w:r>
      <w:r>
        <w:rPr>
          <w:lang w:eastAsia="zh-TW"/>
        </w:rPr>
        <w:t>2023</w:t>
      </w:r>
      <w:r>
        <w:rPr>
          <w:rFonts w:hint="eastAsia"/>
          <w:lang w:eastAsia="zh-TW"/>
        </w:rPr>
        <w:t>年：</w:t>
      </w:r>
      <w:r w:rsidRPr="006E00F4">
        <w:rPr>
          <w:lang w:eastAsia="zh-TW"/>
        </w:rPr>
        <w:t>11.15</w:t>
      </w:r>
      <w:r w:rsidRPr="006E00F4">
        <w:rPr>
          <w:rFonts w:hint="eastAsia"/>
          <w:lang w:eastAsia="zh-TW"/>
        </w:rPr>
        <w:t>億歐元）。</w:t>
      </w:r>
      <w:r w:rsidRPr="006E00F4">
        <w:rPr>
          <w:rFonts w:hint="eastAsia"/>
          <w:b/>
          <w:bCs/>
          <w:lang w:eastAsia="zh-TW"/>
        </w:rPr>
        <w:t>調整後的銷售回報率</w:t>
      </w:r>
      <w:r w:rsidRPr="006E00F4">
        <w:rPr>
          <w:rFonts w:hint="eastAsia"/>
          <w:lang w:eastAsia="zh-TW"/>
        </w:rPr>
        <w:t>達</w:t>
      </w:r>
      <w:r w:rsidRPr="006E00F4">
        <w:rPr>
          <w:lang w:eastAsia="zh-TW"/>
        </w:rPr>
        <w:t>13.6%</w:t>
      </w:r>
      <w:r w:rsidRPr="006E00F4">
        <w:rPr>
          <w:rFonts w:hint="eastAsia"/>
          <w:lang w:eastAsia="zh-TW"/>
        </w:rPr>
        <w:t>，較去年大幅提高</w:t>
      </w:r>
      <w:r w:rsidRPr="006E00F4">
        <w:rPr>
          <w:lang w:eastAsia="zh-TW"/>
        </w:rPr>
        <w:t>300</w:t>
      </w:r>
      <w:r w:rsidRPr="006E00F4">
        <w:rPr>
          <w:rFonts w:hint="eastAsia"/>
          <w:lang w:eastAsia="zh-TW"/>
        </w:rPr>
        <w:t>個基點。</w:t>
      </w:r>
    </w:p>
    <w:p w14:paraId="29FC6967" w14:textId="77777777" w:rsidR="004B2C19" w:rsidRPr="006E00F4" w:rsidRDefault="004B2C19" w:rsidP="004B2C19">
      <w:pPr>
        <w:spacing w:after="120"/>
        <w:rPr>
          <w:rFonts w:cs="Segoe UI"/>
          <w:b/>
          <w:bCs/>
          <w:szCs w:val="22"/>
          <w:lang w:eastAsia="de-DE"/>
        </w:rPr>
      </w:pPr>
    </w:p>
    <w:p w14:paraId="4BB37082" w14:textId="123D065C" w:rsidR="004B2C19" w:rsidRPr="006E00F4" w:rsidRDefault="00861DC8" w:rsidP="004B2C19">
      <w:pPr>
        <w:spacing w:after="120"/>
        <w:rPr>
          <w:rFonts w:cs="Segoe UI"/>
          <w:szCs w:val="22"/>
        </w:rPr>
      </w:pPr>
      <w:r w:rsidRPr="006E00F4">
        <w:rPr>
          <w:rFonts w:hint="eastAsia"/>
          <w:b/>
          <w:lang w:eastAsia="zh-TW"/>
        </w:rPr>
        <w:t>轉型取得重大進展</w:t>
      </w:r>
    </w:p>
    <w:p w14:paraId="39B7A91A" w14:textId="6D253911" w:rsidR="00D04EC3" w:rsidRPr="006E00F4" w:rsidRDefault="00861DC8" w:rsidP="00D04EC3">
      <w:pPr>
        <w:rPr>
          <w:rFonts w:cs="Segoe UI"/>
          <w:bCs/>
          <w:szCs w:val="22"/>
          <w:lang w:eastAsia="zh-TW"/>
        </w:rPr>
      </w:pPr>
      <w:r w:rsidRPr="006E00F4">
        <w:rPr>
          <w:rFonts w:hint="eastAsia"/>
          <w:lang w:eastAsia="zh-TW"/>
        </w:rPr>
        <w:t>過去幾年中，漢高在眾多領域都進行了深刻變革，並</w:t>
      </w:r>
      <w:r>
        <w:rPr>
          <w:rFonts w:hint="eastAsia"/>
          <w:lang w:eastAsia="zh-TW"/>
        </w:rPr>
        <w:t>持續貫徹</w:t>
      </w:r>
      <w:r w:rsidRPr="006E00F4">
        <w:rPr>
          <w:rFonts w:hint="eastAsia"/>
          <w:lang w:eastAsia="zh-TW"/>
        </w:rPr>
        <w:t>自己的目標性增長</w:t>
      </w:r>
      <w:r w:rsidR="00A11B44">
        <w:rPr>
          <w:rFonts w:hint="eastAsia"/>
          <w:lang w:eastAsia="zh-TW"/>
        </w:rPr>
        <w:t>策略</w:t>
      </w:r>
      <w:r w:rsidRPr="006E00F4">
        <w:rPr>
          <w:rFonts w:hint="eastAsia"/>
          <w:lang w:eastAsia="zh-TW"/>
        </w:rPr>
        <w:t>議程。長期和持續成功的關鍵驅動因素在於</w:t>
      </w:r>
      <w:r>
        <w:rPr>
          <w:rFonts w:hint="eastAsia"/>
          <w:lang w:eastAsia="zh-TW"/>
        </w:rPr>
        <w:t>不斷</w:t>
      </w:r>
      <w:r w:rsidRPr="006E00F4">
        <w:rPr>
          <w:rFonts w:hint="eastAsia"/>
          <w:lang w:eastAsia="zh-TW"/>
        </w:rPr>
        <w:t>轉型的意願和決心。目的是實現業績的持續增長。為此，公司必須在各個領域不斷變革，推動</w:t>
      </w:r>
      <w:r>
        <w:rPr>
          <w:rFonts w:hint="eastAsia"/>
          <w:lang w:eastAsia="zh-TW"/>
        </w:rPr>
        <w:t>進一步</w:t>
      </w:r>
      <w:r w:rsidRPr="006E00F4">
        <w:rPr>
          <w:rFonts w:hint="eastAsia"/>
          <w:lang w:eastAsia="zh-TW"/>
        </w:rPr>
        <w:t>發展。</w:t>
      </w:r>
    </w:p>
    <w:p w14:paraId="55DF1C6A" w14:textId="77777777" w:rsidR="00C8634B" w:rsidRPr="006E00F4" w:rsidRDefault="00C8634B" w:rsidP="00D04EC3">
      <w:pPr>
        <w:rPr>
          <w:rFonts w:cs="Segoe UI"/>
          <w:bCs/>
          <w:szCs w:val="22"/>
          <w:lang w:eastAsia="zh-TW"/>
        </w:rPr>
      </w:pPr>
    </w:p>
    <w:p w14:paraId="446780AC" w14:textId="61C9C191" w:rsidR="004B2C19" w:rsidRPr="006E00F4" w:rsidRDefault="00861DC8" w:rsidP="004B2C19">
      <w:pPr>
        <w:spacing w:after="120"/>
        <w:jc w:val="left"/>
        <w:rPr>
          <w:rFonts w:cs="Segoe UI"/>
          <w:b/>
          <w:bCs/>
          <w:szCs w:val="22"/>
          <w:lang w:eastAsia="zh-TW"/>
        </w:rPr>
      </w:pPr>
      <w:r w:rsidRPr="006E00F4">
        <w:rPr>
          <w:rFonts w:hint="eastAsia"/>
          <w:b/>
          <w:lang w:eastAsia="zh-TW"/>
        </w:rPr>
        <w:t>消費品牌業務部：合併進度快於計畫</w:t>
      </w:r>
    </w:p>
    <w:p w14:paraId="50C1F78D" w14:textId="2B69255E" w:rsidR="00D407F1" w:rsidRPr="006E00F4" w:rsidRDefault="00861DC8" w:rsidP="00D407F1">
      <w:pPr>
        <w:rPr>
          <w:rFonts w:cs="Segoe UI"/>
          <w:szCs w:val="22"/>
        </w:rPr>
      </w:pPr>
      <w:r w:rsidRPr="006E00F4">
        <w:rPr>
          <w:rFonts w:hint="eastAsia"/>
          <w:lang w:eastAsia="zh-TW"/>
        </w:rPr>
        <w:t>漢高</w:t>
      </w:r>
      <w:r>
        <w:rPr>
          <w:rFonts w:hint="eastAsia"/>
          <w:lang w:eastAsia="zh-TW"/>
        </w:rPr>
        <w:t>近年來</w:t>
      </w:r>
      <w:r w:rsidRPr="006E00F4">
        <w:rPr>
          <w:rFonts w:hint="eastAsia"/>
          <w:lang w:eastAsia="zh-TW"/>
        </w:rPr>
        <w:t>最重大的變革可能就是</w:t>
      </w:r>
      <w:r w:rsidRPr="006E00F4">
        <w:rPr>
          <w:lang w:eastAsia="zh-TW"/>
        </w:rPr>
        <w:t>2022</w:t>
      </w:r>
      <w:r w:rsidRPr="006E00F4">
        <w:rPr>
          <w:rFonts w:hint="eastAsia"/>
          <w:lang w:eastAsia="zh-TW"/>
        </w:rPr>
        <w:t>年初宣佈將消費品業務</w:t>
      </w:r>
      <w:r>
        <w:rPr>
          <w:rFonts w:hint="eastAsia"/>
          <w:lang w:eastAsia="zh-TW"/>
        </w:rPr>
        <w:t>整合為</w:t>
      </w:r>
      <w:r w:rsidRPr="006E00F4">
        <w:rPr>
          <w:rFonts w:hint="eastAsia"/>
          <w:b/>
          <w:bCs/>
          <w:lang w:eastAsia="zh-TW"/>
        </w:rPr>
        <w:t>消費品牌</w:t>
      </w:r>
      <w:r w:rsidRPr="006E00F4">
        <w:rPr>
          <w:rFonts w:hint="eastAsia"/>
          <w:lang w:eastAsia="zh-TW"/>
        </w:rPr>
        <w:t>業務部。自此，很多方面都發生了改變。自</w:t>
      </w:r>
      <w:r w:rsidRPr="006E00F4">
        <w:rPr>
          <w:lang w:eastAsia="zh-TW"/>
        </w:rPr>
        <w:t>2023</w:t>
      </w:r>
      <w:r w:rsidRPr="006E00F4">
        <w:rPr>
          <w:rFonts w:hint="eastAsia"/>
          <w:lang w:eastAsia="zh-TW"/>
        </w:rPr>
        <w:t>年初以來，該業務部已在其新</w:t>
      </w:r>
      <w:r>
        <w:rPr>
          <w:rFonts w:hint="eastAsia"/>
          <w:lang w:eastAsia="zh-TW"/>
        </w:rPr>
        <w:t>組織</w:t>
      </w:r>
      <w:r w:rsidRPr="006E00F4">
        <w:rPr>
          <w:rFonts w:hint="eastAsia"/>
          <w:lang w:eastAsia="zh-TW"/>
        </w:rPr>
        <w:t>架構下運營，並在當年取得了明顯的增長。剛剛過去的</w:t>
      </w:r>
      <w:r w:rsidRPr="006E00F4">
        <w:rPr>
          <w:lang w:eastAsia="zh-TW"/>
        </w:rPr>
        <w:t>2024</w:t>
      </w:r>
      <w:r w:rsidRPr="006E00F4">
        <w:rPr>
          <w:rFonts w:hint="eastAsia"/>
          <w:lang w:eastAsia="zh-TW"/>
        </w:rPr>
        <w:t>財年</w:t>
      </w:r>
      <w:r>
        <w:rPr>
          <w:rFonts w:hint="eastAsia"/>
          <w:lang w:eastAsia="zh-TW"/>
        </w:rPr>
        <w:t>表現印證了</w:t>
      </w:r>
      <w:r w:rsidRPr="006E00F4">
        <w:rPr>
          <w:rFonts w:hint="eastAsia"/>
          <w:lang w:eastAsia="zh-TW"/>
        </w:rPr>
        <w:t>我們將之前單獨的消費品業務合併為一個平臺</w:t>
      </w:r>
      <w:r>
        <w:rPr>
          <w:rFonts w:hint="eastAsia"/>
          <w:lang w:eastAsia="zh-TW"/>
        </w:rPr>
        <w:t>的決策</w:t>
      </w:r>
      <w:r w:rsidRPr="006E00F4">
        <w:rPr>
          <w:rFonts w:hint="eastAsia"/>
          <w:lang w:eastAsia="zh-TW"/>
        </w:rPr>
        <w:t>顯然是正確的。</w:t>
      </w:r>
    </w:p>
    <w:p w14:paraId="3C42B769" w14:textId="77777777" w:rsidR="00D407F1" w:rsidRPr="006E00F4" w:rsidRDefault="00D407F1" w:rsidP="00D407F1">
      <w:pPr>
        <w:rPr>
          <w:rFonts w:cs="Segoe UI"/>
          <w:szCs w:val="22"/>
          <w:lang w:eastAsia="de-DE"/>
        </w:rPr>
      </w:pPr>
    </w:p>
    <w:p w14:paraId="4D82C178" w14:textId="537B64B0" w:rsidR="00D407F1" w:rsidRPr="006E00F4" w:rsidRDefault="00861DC8" w:rsidP="00D407F1">
      <w:r w:rsidRPr="006E00F4">
        <w:rPr>
          <w:rFonts w:hint="eastAsia"/>
          <w:lang w:eastAsia="zh-TW"/>
        </w:rPr>
        <w:t>消費品牌業務部的整合工作在團隊整合、產品組合重組和實現協同效應方面的進展速度</w:t>
      </w:r>
      <w:r>
        <w:rPr>
          <w:rFonts w:hint="eastAsia"/>
          <w:lang w:eastAsia="zh-TW"/>
        </w:rPr>
        <w:t>都快於</w:t>
      </w:r>
      <w:r w:rsidRPr="006E00F4">
        <w:rPr>
          <w:rFonts w:hint="eastAsia"/>
          <w:lang w:eastAsia="zh-TW"/>
        </w:rPr>
        <w:t>最初計畫。整合的第一階段於</w:t>
      </w:r>
      <w:r w:rsidRPr="006E00F4">
        <w:rPr>
          <w:lang w:eastAsia="zh-TW"/>
        </w:rPr>
        <w:t>2024</w:t>
      </w:r>
      <w:r w:rsidRPr="006E00F4">
        <w:rPr>
          <w:rFonts w:hint="eastAsia"/>
          <w:lang w:eastAsia="zh-TW"/>
        </w:rPr>
        <w:t>年完成</w:t>
      </w:r>
      <w:r>
        <w:rPr>
          <w:rFonts w:hint="eastAsia"/>
          <w:lang w:eastAsia="zh-TW"/>
        </w:rPr>
        <w:t>，</w:t>
      </w:r>
      <w:r w:rsidRPr="006E00F4">
        <w:rPr>
          <w:rFonts w:hint="eastAsia"/>
          <w:lang w:eastAsia="zh-TW"/>
        </w:rPr>
        <w:t>主要涉及銷售和行銷團隊的合併。第二階段從</w:t>
      </w:r>
      <w:r w:rsidRPr="006E00F4">
        <w:rPr>
          <w:lang w:eastAsia="zh-TW"/>
        </w:rPr>
        <w:t>2023</w:t>
      </w:r>
      <w:r w:rsidRPr="006E00F4">
        <w:rPr>
          <w:rFonts w:hint="eastAsia"/>
          <w:lang w:eastAsia="zh-TW"/>
        </w:rPr>
        <w:t>年開始實施，通過改善供應鏈（即生產網路和供應鏈）</w:t>
      </w:r>
      <w:r>
        <w:rPr>
          <w:rFonts w:hint="eastAsia"/>
          <w:lang w:eastAsia="zh-TW"/>
        </w:rPr>
        <w:t>，預計到</w:t>
      </w:r>
      <w:r>
        <w:rPr>
          <w:lang w:eastAsia="zh-TW"/>
        </w:rPr>
        <w:t>2025</w:t>
      </w:r>
      <w:r>
        <w:rPr>
          <w:rFonts w:hint="eastAsia"/>
          <w:lang w:eastAsia="zh-TW"/>
        </w:rPr>
        <w:t>年底</w:t>
      </w:r>
      <w:r w:rsidRPr="006E00F4">
        <w:rPr>
          <w:rFonts w:hint="eastAsia"/>
          <w:lang w:eastAsia="zh-TW"/>
        </w:rPr>
        <w:t>實現全面的成本節約。</w:t>
      </w:r>
    </w:p>
    <w:p w14:paraId="2C44ED90" w14:textId="77777777" w:rsidR="00D407F1" w:rsidRPr="006E00F4" w:rsidRDefault="00D407F1" w:rsidP="00D407F1"/>
    <w:p w14:paraId="0AE2F623" w14:textId="00EB628F" w:rsidR="007E4FB6" w:rsidRPr="006E00F4" w:rsidRDefault="00861DC8" w:rsidP="007E4FB6">
      <w:pPr>
        <w:rPr>
          <w:rFonts w:cs="Segoe UI"/>
          <w:szCs w:val="22"/>
          <w:lang w:eastAsia="zh-TW"/>
        </w:rPr>
      </w:pPr>
      <w:r w:rsidRPr="006E00F4">
        <w:rPr>
          <w:rFonts w:hint="eastAsia"/>
          <w:lang w:eastAsia="zh-TW"/>
        </w:rPr>
        <w:t>與此同時，消費品牌業務部始終關注高毛利率的</w:t>
      </w:r>
      <w:r>
        <w:rPr>
          <w:rFonts w:hint="eastAsia"/>
          <w:lang w:eastAsia="zh-TW"/>
        </w:rPr>
        <w:t>強大</w:t>
      </w:r>
      <w:r w:rsidRPr="006E00F4">
        <w:rPr>
          <w:rFonts w:hint="eastAsia"/>
          <w:lang w:eastAsia="zh-TW"/>
        </w:rPr>
        <w:t>品牌和業務，以及在市場和品類中的領先地位。專注於增長強勁和利潤較高的品牌和業務正顯現</w:t>
      </w:r>
      <w:r>
        <w:rPr>
          <w:rFonts w:hint="eastAsia"/>
          <w:lang w:eastAsia="zh-TW"/>
        </w:rPr>
        <w:t>出</w:t>
      </w:r>
      <w:r w:rsidRPr="006E00F4">
        <w:rPr>
          <w:rFonts w:hint="eastAsia"/>
          <w:lang w:eastAsia="zh-TW"/>
        </w:rPr>
        <w:t>積極</w:t>
      </w:r>
      <w:r>
        <w:rPr>
          <w:rFonts w:hint="eastAsia"/>
          <w:lang w:eastAsia="zh-TW"/>
        </w:rPr>
        <w:t>的</w:t>
      </w:r>
      <w:r w:rsidRPr="006E00F4">
        <w:rPr>
          <w:rFonts w:hint="eastAsia"/>
          <w:lang w:eastAsia="zh-TW"/>
        </w:rPr>
        <w:t>效果：消費品牌</w:t>
      </w:r>
      <w:r>
        <w:rPr>
          <w:rFonts w:hint="eastAsia"/>
          <w:lang w:eastAsia="zh-TW"/>
        </w:rPr>
        <w:t>業務部</w:t>
      </w:r>
      <w:r w:rsidRPr="006E00F4">
        <w:rPr>
          <w:rFonts w:hint="eastAsia"/>
          <w:lang w:eastAsia="zh-TW"/>
        </w:rPr>
        <w:t>中的前十大品牌占了</w:t>
      </w:r>
      <w:r w:rsidRPr="006E00F4">
        <w:rPr>
          <w:lang w:eastAsia="zh-TW"/>
        </w:rPr>
        <w:t>2024</w:t>
      </w:r>
      <w:r w:rsidRPr="006E00F4">
        <w:rPr>
          <w:rFonts w:hint="eastAsia"/>
          <w:lang w:eastAsia="zh-TW"/>
        </w:rPr>
        <w:t>年總收入的一半以上，</w:t>
      </w:r>
      <w:r>
        <w:rPr>
          <w:rFonts w:hint="eastAsia"/>
          <w:lang w:eastAsia="zh-TW"/>
        </w:rPr>
        <w:t>銷量增長的同時也</w:t>
      </w:r>
      <w:r w:rsidRPr="006E00F4">
        <w:rPr>
          <w:rFonts w:hint="eastAsia"/>
          <w:lang w:eastAsia="zh-TW"/>
        </w:rPr>
        <w:t>實現了非常強勁的有機增長。</w:t>
      </w:r>
      <w:r w:rsidR="00B07F4F" w:rsidRPr="006E00F4">
        <w:rPr>
          <w:rFonts w:hint="eastAsia"/>
          <w:lang w:eastAsia="zh-TW"/>
        </w:rPr>
        <w:t xml:space="preserve"> </w:t>
      </w:r>
    </w:p>
    <w:p w14:paraId="40095297" w14:textId="77777777" w:rsidR="004B2C19" w:rsidRPr="006E00F4" w:rsidRDefault="004B2C19" w:rsidP="007E4FB6">
      <w:pPr>
        <w:rPr>
          <w:rFonts w:cs="Segoe UI"/>
          <w:szCs w:val="22"/>
          <w:lang w:eastAsia="de-DE"/>
        </w:rPr>
      </w:pPr>
    </w:p>
    <w:p w14:paraId="0FB4ECDA" w14:textId="229398CE" w:rsidR="004B2C19" w:rsidRPr="006E00F4" w:rsidRDefault="00861DC8" w:rsidP="004B2C19">
      <w:pPr>
        <w:spacing w:after="120"/>
        <w:rPr>
          <w:rFonts w:cs="Segoe UI"/>
          <w:b/>
          <w:bCs/>
          <w:szCs w:val="22"/>
        </w:rPr>
      </w:pPr>
      <w:r w:rsidRPr="006E00F4">
        <w:rPr>
          <w:rFonts w:hint="eastAsia"/>
          <w:b/>
          <w:lang w:eastAsia="zh-TW"/>
        </w:rPr>
        <w:t>粘合劑技術業務部的進一步發展</w:t>
      </w:r>
    </w:p>
    <w:p w14:paraId="31ED6983" w14:textId="004B8B22" w:rsidR="007E4FB6" w:rsidRPr="006E00F4" w:rsidRDefault="00861DC8" w:rsidP="007E4FB6">
      <w:pPr>
        <w:rPr>
          <w:rFonts w:cs="Segoe UI"/>
          <w:szCs w:val="22"/>
          <w:lang w:eastAsia="zh-TW"/>
        </w:rPr>
      </w:pPr>
      <w:r w:rsidRPr="006E00F4">
        <w:rPr>
          <w:rFonts w:hint="eastAsia"/>
          <w:b/>
          <w:bCs/>
          <w:lang w:eastAsia="zh-TW"/>
        </w:rPr>
        <w:t>粘合劑技術</w:t>
      </w:r>
      <w:r w:rsidRPr="006E00F4">
        <w:rPr>
          <w:rFonts w:hint="eastAsia"/>
          <w:lang w:eastAsia="zh-TW"/>
        </w:rPr>
        <w:t>業務部在過去的一年裡也取得了重大進展，總體業務表現良好。該業務部為全球</w:t>
      </w:r>
      <w:r w:rsidRPr="006E00F4">
        <w:rPr>
          <w:lang w:eastAsia="zh-TW"/>
        </w:rPr>
        <w:t>800</w:t>
      </w:r>
      <w:r w:rsidRPr="006E00F4">
        <w:rPr>
          <w:rFonts w:hint="eastAsia"/>
          <w:lang w:eastAsia="zh-TW"/>
        </w:rPr>
        <w:t>多個行業領域的超過</w:t>
      </w:r>
      <w:r w:rsidRPr="006E00F4">
        <w:rPr>
          <w:lang w:eastAsia="zh-TW"/>
        </w:rPr>
        <w:t>10</w:t>
      </w:r>
      <w:r w:rsidRPr="006E00F4">
        <w:rPr>
          <w:rFonts w:hint="eastAsia"/>
          <w:lang w:eastAsia="zh-TW"/>
        </w:rPr>
        <w:t>萬個客戶提供約</w:t>
      </w:r>
      <w:r w:rsidRPr="006E00F4">
        <w:rPr>
          <w:lang w:eastAsia="zh-TW"/>
        </w:rPr>
        <w:t>20,000</w:t>
      </w:r>
      <w:r w:rsidRPr="006E00F4">
        <w:rPr>
          <w:rFonts w:hint="eastAsia"/>
          <w:lang w:eastAsia="zh-TW"/>
        </w:rPr>
        <w:t>種產品和解決方案。</w:t>
      </w:r>
      <w:r>
        <w:rPr>
          <w:rFonts w:hint="eastAsia"/>
          <w:lang w:eastAsia="zh-TW"/>
        </w:rPr>
        <w:t>憑藉</w:t>
      </w:r>
      <w:r w:rsidRPr="006E00F4">
        <w:rPr>
          <w:rFonts w:hint="eastAsia"/>
          <w:lang w:eastAsia="zh-TW"/>
        </w:rPr>
        <w:t>產品組合的廣度和深度</w:t>
      </w:r>
      <w:r>
        <w:rPr>
          <w:rFonts w:hint="eastAsia"/>
          <w:lang w:eastAsia="zh-TW"/>
        </w:rPr>
        <w:t>、</w:t>
      </w:r>
      <w:r w:rsidRPr="006E00F4">
        <w:rPr>
          <w:rFonts w:hint="eastAsia"/>
          <w:lang w:eastAsia="zh-TW"/>
        </w:rPr>
        <w:t>全球</w:t>
      </w:r>
      <w:r>
        <w:rPr>
          <w:rFonts w:hint="eastAsia"/>
          <w:lang w:eastAsia="zh-TW"/>
        </w:rPr>
        <w:t>影響力</w:t>
      </w:r>
      <w:r w:rsidRPr="006E00F4">
        <w:rPr>
          <w:rFonts w:hint="eastAsia"/>
          <w:lang w:eastAsia="zh-TW"/>
        </w:rPr>
        <w:t>以及</w:t>
      </w:r>
      <w:r>
        <w:rPr>
          <w:rFonts w:hint="eastAsia"/>
          <w:lang w:eastAsia="zh-TW"/>
        </w:rPr>
        <w:t>為客戶定制</w:t>
      </w:r>
      <w:r w:rsidRPr="006E00F4">
        <w:rPr>
          <w:rFonts w:hint="eastAsia"/>
          <w:lang w:eastAsia="zh-TW"/>
        </w:rPr>
        <w:t>解決方案</w:t>
      </w:r>
      <w:r>
        <w:rPr>
          <w:rFonts w:hint="eastAsia"/>
          <w:lang w:eastAsia="zh-TW"/>
        </w:rPr>
        <w:t>的專業</w:t>
      </w:r>
      <w:r w:rsidRPr="006E00F4">
        <w:rPr>
          <w:rFonts w:hint="eastAsia"/>
          <w:lang w:eastAsia="zh-TW"/>
        </w:rPr>
        <w:t>，漢高在市場上獨樹一幟，並進一步擴大了全球領先的市場地位。</w:t>
      </w:r>
      <w:r>
        <w:rPr>
          <w:rFonts w:hint="eastAsia"/>
          <w:lang w:eastAsia="zh-TW"/>
        </w:rPr>
        <w:t>攜手</w:t>
      </w:r>
      <w:r w:rsidRPr="006E00F4">
        <w:rPr>
          <w:rFonts w:hint="eastAsia"/>
          <w:lang w:eastAsia="zh-TW"/>
        </w:rPr>
        <w:t>移動和電子、包裝和消費品</w:t>
      </w:r>
      <w:r>
        <w:rPr>
          <w:rFonts w:hint="eastAsia"/>
          <w:lang w:eastAsia="zh-TW"/>
        </w:rPr>
        <w:t>，</w:t>
      </w:r>
      <w:r w:rsidRPr="006E00F4">
        <w:rPr>
          <w:rFonts w:hint="eastAsia"/>
          <w:lang w:eastAsia="zh-TW"/>
        </w:rPr>
        <w:t>以及工匠、建築和專業這三大業務領域，粘合劑技術業務部正專注于探索未來的主要發展趨勢</w:t>
      </w:r>
      <w:r>
        <w:rPr>
          <w:rFonts w:hint="eastAsia"/>
          <w:lang w:eastAsia="zh-TW"/>
        </w:rPr>
        <w:t>，</w:t>
      </w:r>
      <w:r w:rsidRPr="006E00F4">
        <w:rPr>
          <w:rFonts w:hint="eastAsia"/>
          <w:lang w:eastAsia="zh-TW"/>
        </w:rPr>
        <w:t>其中包括電動</w:t>
      </w:r>
      <w:r>
        <w:rPr>
          <w:rFonts w:hint="eastAsia"/>
          <w:lang w:eastAsia="zh-TW"/>
        </w:rPr>
        <w:t>出行</w:t>
      </w:r>
      <w:r w:rsidRPr="006E00F4">
        <w:rPr>
          <w:rFonts w:hint="eastAsia"/>
          <w:lang w:eastAsia="zh-TW"/>
        </w:rPr>
        <w:t>和</w:t>
      </w:r>
      <w:r>
        <w:rPr>
          <w:rFonts w:hint="eastAsia"/>
          <w:lang w:eastAsia="zh-TW"/>
        </w:rPr>
        <w:t>互聯互通（</w:t>
      </w:r>
      <w:r w:rsidRPr="006E00F4">
        <w:rPr>
          <w:rFonts w:hint="eastAsia"/>
          <w:lang w:eastAsia="zh-TW"/>
        </w:rPr>
        <w:t>即系統間</w:t>
      </w:r>
      <w:r>
        <w:rPr>
          <w:rFonts w:hint="eastAsia"/>
          <w:lang w:eastAsia="zh-TW"/>
        </w:rPr>
        <w:t>日漸緊密</w:t>
      </w:r>
      <w:r w:rsidRPr="006E00F4">
        <w:rPr>
          <w:rFonts w:hint="eastAsia"/>
          <w:lang w:eastAsia="zh-TW"/>
        </w:rPr>
        <w:t>的</w:t>
      </w:r>
      <w:r>
        <w:rPr>
          <w:rFonts w:hint="eastAsia"/>
          <w:lang w:eastAsia="zh-TW"/>
        </w:rPr>
        <w:t>連線性）</w:t>
      </w:r>
      <w:r w:rsidRPr="006E00F4">
        <w:rPr>
          <w:rFonts w:hint="eastAsia"/>
          <w:lang w:eastAsia="zh-TW"/>
        </w:rPr>
        <w:t>以及</w:t>
      </w:r>
      <w:r w:rsidR="00A11B44">
        <w:rPr>
          <w:rFonts w:hint="eastAsia"/>
          <w:lang w:eastAsia="zh-TW"/>
        </w:rPr>
        <w:t>綠色永續</w:t>
      </w:r>
      <w:r w:rsidRPr="006E00F4">
        <w:rPr>
          <w:rFonts w:hint="eastAsia"/>
          <w:lang w:eastAsia="zh-TW"/>
        </w:rPr>
        <w:t>。</w:t>
      </w:r>
    </w:p>
    <w:p w14:paraId="7BF58B5F" w14:textId="77777777" w:rsidR="007E4FB6" w:rsidRPr="006E00F4" w:rsidRDefault="007E4FB6" w:rsidP="007E4FB6">
      <w:pPr>
        <w:rPr>
          <w:rFonts w:cs="Segoe UI"/>
          <w:szCs w:val="22"/>
          <w:lang w:eastAsia="de-DE"/>
        </w:rPr>
      </w:pPr>
    </w:p>
    <w:p w14:paraId="4DE87E0A" w14:textId="3C7C2C25" w:rsidR="007E4FB6" w:rsidRDefault="00861DC8" w:rsidP="007E4FB6">
      <w:r w:rsidRPr="00671649">
        <w:rPr>
          <w:rFonts w:hint="eastAsia"/>
          <w:lang w:eastAsia="zh-TW"/>
        </w:rPr>
        <w:lastRenderedPageBreak/>
        <w:t>在充滿挑戰的</w:t>
      </w:r>
      <w:r w:rsidRPr="00671649">
        <w:rPr>
          <w:lang w:eastAsia="zh-TW"/>
        </w:rPr>
        <w:t>2024</w:t>
      </w:r>
      <w:r w:rsidRPr="00671649">
        <w:rPr>
          <w:rFonts w:hint="eastAsia"/>
          <w:lang w:eastAsia="zh-TW"/>
        </w:rPr>
        <w:t>年，粘合劑技術業務部憑藉精簡</w:t>
      </w:r>
      <w:r>
        <w:rPr>
          <w:rFonts w:hint="eastAsia"/>
          <w:lang w:eastAsia="zh-TW"/>
        </w:rPr>
        <w:t>的</w:t>
      </w:r>
      <w:r w:rsidRPr="00671649">
        <w:rPr>
          <w:rFonts w:hint="eastAsia"/>
          <w:lang w:eastAsia="zh-TW"/>
        </w:rPr>
        <w:t>架構、部分</w:t>
      </w:r>
      <w:r>
        <w:rPr>
          <w:rFonts w:hint="eastAsia"/>
          <w:lang w:eastAsia="zh-TW"/>
        </w:rPr>
        <w:t>新</w:t>
      </w:r>
      <w:r w:rsidRPr="00671649">
        <w:rPr>
          <w:rFonts w:hint="eastAsia"/>
          <w:lang w:eastAsia="zh-TW"/>
        </w:rPr>
        <w:t>領導團隊</w:t>
      </w:r>
      <w:r>
        <w:rPr>
          <w:rFonts w:hint="eastAsia"/>
          <w:lang w:eastAsia="zh-TW"/>
        </w:rPr>
        <w:t>的組建</w:t>
      </w:r>
      <w:r w:rsidRPr="00671649">
        <w:rPr>
          <w:rFonts w:hint="eastAsia"/>
          <w:lang w:eastAsia="zh-TW"/>
        </w:rPr>
        <w:t>、</w:t>
      </w:r>
      <w:r>
        <w:rPr>
          <w:rFonts w:hint="eastAsia"/>
          <w:lang w:eastAsia="zh-TW"/>
        </w:rPr>
        <w:t>以及對</w:t>
      </w:r>
      <w:r w:rsidRPr="00671649">
        <w:rPr>
          <w:rFonts w:hint="eastAsia"/>
          <w:lang w:eastAsia="zh-TW"/>
        </w:rPr>
        <w:t>未來趨勢</w:t>
      </w:r>
      <w:r>
        <w:rPr>
          <w:rFonts w:hint="eastAsia"/>
          <w:lang w:eastAsia="zh-TW"/>
        </w:rPr>
        <w:t>的</w:t>
      </w:r>
      <w:r w:rsidRPr="00671649">
        <w:rPr>
          <w:rFonts w:hint="eastAsia"/>
          <w:lang w:eastAsia="zh-TW"/>
        </w:rPr>
        <w:t>持續關注，再次成功</w:t>
      </w:r>
      <w:r>
        <w:rPr>
          <w:rFonts w:hint="eastAsia"/>
          <w:lang w:eastAsia="zh-TW"/>
        </w:rPr>
        <w:t>推動了業務發展</w:t>
      </w:r>
      <w:r w:rsidRPr="00671649">
        <w:rPr>
          <w:rFonts w:hint="eastAsia"/>
          <w:lang w:eastAsia="zh-TW"/>
        </w:rPr>
        <w:t>。</w:t>
      </w:r>
    </w:p>
    <w:p w14:paraId="6B3824A4" w14:textId="77777777" w:rsidR="00671649" w:rsidRPr="006E00F4" w:rsidRDefault="00671649" w:rsidP="007E4FB6">
      <w:pPr>
        <w:rPr>
          <w:rFonts w:cs="Segoe UI"/>
          <w:szCs w:val="22"/>
          <w:lang w:eastAsia="de-DE"/>
        </w:rPr>
      </w:pPr>
    </w:p>
    <w:p w14:paraId="0563226A" w14:textId="75E51FBE" w:rsidR="004B2C19" w:rsidRPr="006E00F4" w:rsidRDefault="00861DC8" w:rsidP="004B2C19">
      <w:pPr>
        <w:spacing w:after="120"/>
        <w:rPr>
          <w:rFonts w:cs="Segoe UI"/>
          <w:b/>
          <w:bCs/>
          <w:szCs w:val="22"/>
          <w:lang w:eastAsia="zh-TW"/>
        </w:rPr>
      </w:pPr>
      <w:r w:rsidRPr="006E00F4">
        <w:rPr>
          <w:rFonts w:hint="eastAsia"/>
          <w:b/>
          <w:lang w:eastAsia="zh-TW"/>
        </w:rPr>
        <w:t>所有</w:t>
      </w:r>
      <w:r w:rsidR="00A11B44">
        <w:rPr>
          <w:rFonts w:hint="eastAsia"/>
          <w:b/>
          <w:lang w:eastAsia="zh-TW"/>
        </w:rPr>
        <w:t>策略</w:t>
      </w:r>
      <w:r w:rsidRPr="006E00F4">
        <w:rPr>
          <w:rFonts w:hint="eastAsia"/>
          <w:b/>
          <w:lang w:eastAsia="zh-TW"/>
        </w:rPr>
        <w:t>優先事項均取得進一步進展</w:t>
      </w:r>
    </w:p>
    <w:p w14:paraId="791025D5" w14:textId="62EB35F1" w:rsidR="004B2C19" w:rsidRPr="006E00F4" w:rsidRDefault="00861DC8" w:rsidP="004B2C19">
      <w:pPr>
        <w:autoSpaceDE w:val="0"/>
        <w:autoSpaceDN w:val="0"/>
        <w:adjustRightInd w:val="0"/>
        <w:rPr>
          <w:rFonts w:cs="Segoe UI"/>
          <w:bCs/>
          <w:szCs w:val="22"/>
          <w:lang w:eastAsia="zh-TW"/>
        </w:rPr>
      </w:pPr>
      <w:r w:rsidRPr="006E00F4">
        <w:rPr>
          <w:rFonts w:hint="eastAsia"/>
          <w:lang w:eastAsia="zh-TW"/>
        </w:rPr>
        <w:t>在充滿挑戰的宏觀經濟和地緣政治環境下，漢高在</w:t>
      </w:r>
      <w:r>
        <w:rPr>
          <w:lang w:eastAsia="zh-TW"/>
        </w:rPr>
        <w:t>2024</w:t>
      </w:r>
      <w:r>
        <w:rPr>
          <w:rFonts w:hint="eastAsia"/>
          <w:lang w:eastAsia="zh-TW"/>
        </w:rPr>
        <w:t>財年</w:t>
      </w:r>
      <w:r w:rsidRPr="006E00F4">
        <w:rPr>
          <w:rFonts w:hint="eastAsia"/>
          <w:lang w:eastAsia="zh-TW"/>
        </w:rPr>
        <w:t>繼續實施其增長</w:t>
      </w:r>
      <w:r w:rsidR="00A11B44">
        <w:rPr>
          <w:rFonts w:hint="eastAsia"/>
          <w:lang w:eastAsia="zh-TW"/>
        </w:rPr>
        <w:t>策略</w:t>
      </w:r>
      <w:r w:rsidRPr="006E00F4">
        <w:rPr>
          <w:rFonts w:hint="eastAsia"/>
          <w:lang w:eastAsia="zh-TW"/>
        </w:rPr>
        <w:t>，並在各個領域取得了重要進展。公司進一步發展其業務和品牌組合，加強在創新、</w:t>
      </w:r>
      <w:r w:rsidR="00A11B44">
        <w:rPr>
          <w:rFonts w:hint="eastAsia"/>
          <w:lang w:eastAsia="zh-TW"/>
        </w:rPr>
        <w:t>永續發展</w:t>
      </w:r>
      <w:r w:rsidRPr="006E00F4">
        <w:rPr>
          <w:rFonts w:hint="eastAsia"/>
          <w:lang w:eastAsia="zh-TW"/>
        </w:rPr>
        <w:t>和數位化領域的競爭優勢，優化運營模式，並培養企業文化。</w:t>
      </w:r>
    </w:p>
    <w:p w14:paraId="7B884CC5" w14:textId="77777777" w:rsidR="004B2C19" w:rsidRPr="006E00F4" w:rsidRDefault="004B2C19" w:rsidP="004B2C19">
      <w:pPr>
        <w:autoSpaceDE w:val="0"/>
        <w:autoSpaceDN w:val="0"/>
        <w:adjustRightInd w:val="0"/>
        <w:rPr>
          <w:rFonts w:cs="Segoe UI"/>
          <w:bCs/>
          <w:szCs w:val="22"/>
          <w:lang w:eastAsia="zh-TW"/>
        </w:rPr>
      </w:pPr>
    </w:p>
    <w:p w14:paraId="1860F803" w14:textId="5E587F40" w:rsidR="008F3112" w:rsidRPr="006E00F4" w:rsidRDefault="00861DC8" w:rsidP="004B2C19">
      <w:pPr>
        <w:autoSpaceDE w:val="0"/>
        <w:autoSpaceDN w:val="0"/>
        <w:adjustRightInd w:val="0"/>
        <w:rPr>
          <w:rFonts w:cs="Segoe UI"/>
          <w:bCs/>
          <w:szCs w:val="22"/>
          <w:lang w:eastAsia="zh-TW"/>
        </w:rPr>
      </w:pPr>
      <w:r w:rsidRPr="006E00F4">
        <w:rPr>
          <w:rFonts w:hint="eastAsia"/>
          <w:lang w:eastAsia="zh-TW"/>
        </w:rPr>
        <w:t>作為</w:t>
      </w:r>
      <w:r w:rsidRPr="006E00F4">
        <w:rPr>
          <w:rFonts w:hint="eastAsia"/>
          <w:b/>
          <w:bCs/>
          <w:lang w:eastAsia="zh-TW"/>
        </w:rPr>
        <w:t>積極產品組合管理</w:t>
      </w:r>
      <w:r w:rsidRPr="006E00F4">
        <w:rPr>
          <w:rFonts w:hint="eastAsia"/>
          <w:lang w:eastAsia="zh-TW"/>
        </w:rPr>
        <w:t>的一部分，漢高通過終止或撤資以及收購業務，進一步優化和發展其產品組合。隨著今年早些時候北美零售品牌業務的出售，漢高完成了產品組合調整措施。這些都是</w:t>
      </w:r>
      <w:r>
        <w:rPr>
          <w:rFonts w:hint="eastAsia"/>
          <w:lang w:eastAsia="zh-TW"/>
        </w:rPr>
        <w:t>在合併</w:t>
      </w:r>
      <w:r w:rsidRPr="006E00F4">
        <w:rPr>
          <w:rFonts w:hint="eastAsia"/>
          <w:lang w:eastAsia="zh-TW"/>
        </w:rPr>
        <w:t>獨立的消費品業務</w:t>
      </w:r>
      <w:r>
        <w:rPr>
          <w:rFonts w:hint="eastAsia"/>
          <w:lang w:eastAsia="zh-TW"/>
        </w:rPr>
        <w:t>初期</w:t>
      </w:r>
      <w:r w:rsidRPr="006E00F4">
        <w:rPr>
          <w:rFonts w:hint="eastAsia"/>
          <w:lang w:eastAsia="zh-TW"/>
        </w:rPr>
        <w:t>宣佈的。零售品牌業務因其發揮協同效應的潛力</w:t>
      </w:r>
      <w:r>
        <w:rPr>
          <w:rFonts w:hint="eastAsia"/>
          <w:lang w:eastAsia="zh-TW"/>
        </w:rPr>
        <w:t>不足</w:t>
      </w:r>
      <w:r w:rsidRPr="006E00F4">
        <w:rPr>
          <w:rFonts w:hint="eastAsia"/>
          <w:lang w:eastAsia="zh-TW"/>
        </w:rPr>
        <w:t>以及未來與消費品牌綜合平臺的</w:t>
      </w:r>
      <w:r w:rsidR="00A11B44">
        <w:rPr>
          <w:rFonts w:hint="eastAsia"/>
          <w:lang w:eastAsia="zh-TW"/>
        </w:rPr>
        <w:t>策略</w:t>
      </w:r>
      <w:r w:rsidRPr="006E00F4">
        <w:rPr>
          <w:rFonts w:hint="eastAsia"/>
          <w:lang w:eastAsia="zh-TW"/>
        </w:rPr>
        <w:t>契合度有限</w:t>
      </w:r>
      <w:r>
        <w:rPr>
          <w:rFonts w:hint="eastAsia"/>
          <w:lang w:eastAsia="zh-TW"/>
        </w:rPr>
        <w:t>，</w:t>
      </w:r>
      <w:r w:rsidRPr="006E00F4">
        <w:rPr>
          <w:rFonts w:hint="eastAsia"/>
          <w:lang w:eastAsia="zh-TW"/>
        </w:rPr>
        <w:t>已被確定為消費品牌業務部內的非核心業務。包括此次交易在內，漢高自</w:t>
      </w:r>
      <w:r w:rsidRPr="006E00F4">
        <w:rPr>
          <w:lang w:eastAsia="zh-TW"/>
        </w:rPr>
        <w:t>2022</w:t>
      </w:r>
      <w:r w:rsidRPr="006E00F4">
        <w:rPr>
          <w:rFonts w:hint="eastAsia"/>
          <w:lang w:eastAsia="zh-TW"/>
        </w:rPr>
        <w:t>年初以來撤資或終止的品牌和業務的總銷售額略高於</w:t>
      </w:r>
      <w:r w:rsidRPr="006E00F4">
        <w:rPr>
          <w:lang w:eastAsia="zh-TW"/>
        </w:rPr>
        <w:t>10</w:t>
      </w:r>
      <w:r w:rsidRPr="006E00F4">
        <w:rPr>
          <w:rFonts w:hint="eastAsia"/>
          <w:lang w:eastAsia="zh-TW"/>
        </w:rPr>
        <w:t>億歐元。</w:t>
      </w:r>
    </w:p>
    <w:p w14:paraId="5B173799" w14:textId="77777777" w:rsidR="008F3112" w:rsidRPr="006E00F4" w:rsidRDefault="008F3112" w:rsidP="004B2C19">
      <w:pPr>
        <w:autoSpaceDE w:val="0"/>
        <w:autoSpaceDN w:val="0"/>
        <w:adjustRightInd w:val="0"/>
        <w:rPr>
          <w:rFonts w:cs="Segoe UI"/>
          <w:bCs/>
          <w:szCs w:val="22"/>
          <w:lang w:eastAsia="zh-TW"/>
        </w:rPr>
      </w:pPr>
    </w:p>
    <w:p w14:paraId="77E041E3" w14:textId="12EFAE20" w:rsidR="004248C3" w:rsidRPr="006E00F4" w:rsidRDefault="00861DC8" w:rsidP="004248C3">
      <w:pPr>
        <w:autoSpaceDE w:val="0"/>
        <w:autoSpaceDN w:val="0"/>
        <w:adjustRightInd w:val="0"/>
        <w:rPr>
          <w:rFonts w:cs="Segoe UI"/>
          <w:bCs/>
          <w:szCs w:val="22"/>
          <w:lang w:eastAsia="zh-TW"/>
        </w:rPr>
      </w:pPr>
      <w:r w:rsidRPr="006E00F4">
        <w:rPr>
          <w:rFonts w:hint="eastAsia"/>
          <w:lang w:eastAsia="zh-TW"/>
        </w:rPr>
        <w:t>積極的產品組合管理措施還包括通過</w:t>
      </w:r>
      <w:r w:rsidRPr="006E00F4">
        <w:rPr>
          <w:rFonts w:hint="eastAsia"/>
          <w:b/>
          <w:bCs/>
          <w:lang w:eastAsia="zh-TW"/>
        </w:rPr>
        <w:t>收購</w:t>
      </w:r>
      <w:r w:rsidRPr="006E00F4">
        <w:rPr>
          <w:rFonts w:hint="eastAsia"/>
          <w:lang w:eastAsia="zh-TW"/>
        </w:rPr>
        <w:t>加強和擴展產品組合：</w:t>
      </w:r>
      <w:r w:rsidRPr="006E00F4">
        <w:rPr>
          <w:lang w:eastAsia="zh-TW"/>
        </w:rPr>
        <w:t>2024</w:t>
      </w:r>
      <w:r w:rsidRPr="006E00F4">
        <w:rPr>
          <w:rFonts w:hint="eastAsia"/>
          <w:lang w:eastAsia="zh-TW"/>
        </w:rPr>
        <w:t>年初，漢高在中國收購了知名護髮品牌沙宣。此次收購完美地補充了消費品牌業務部在中國的本地產品組合，</w:t>
      </w:r>
      <w:r>
        <w:rPr>
          <w:rFonts w:hint="eastAsia"/>
          <w:lang w:eastAsia="zh-TW"/>
        </w:rPr>
        <w:t>覆蓋</w:t>
      </w:r>
      <w:r w:rsidRPr="006E00F4">
        <w:rPr>
          <w:rFonts w:hint="eastAsia"/>
          <w:lang w:eastAsia="zh-TW"/>
        </w:rPr>
        <w:t>了零售業務中的高端市場。沙宣品牌的產品組合主要為高端護髮市場提供洗髮水和護髮素，也包括造型和護理產品。</w:t>
      </w:r>
    </w:p>
    <w:p w14:paraId="714C9992" w14:textId="77777777" w:rsidR="004248C3" w:rsidRPr="006E00F4" w:rsidRDefault="004248C3" w:rsidP="004248C3">
      <w:pPr>
        <w:autoSpaceDE w:val="0"/>
        <w:autoSpaceDN w:val="0"/>
        <w:adjustRightInd w:val="0"/>
        <w:rPr>
          <w:rFonts w:cs="Segoe UI"/>
          <w:bCs/>
          <w:szCs w:val="22"/>
          <w:lang w:eastAsia="zh-TW"/>
        </w:rPr>
      </w:pPr>
    </w:p>
    <w:p w14:paraId="4E3DEEE4" w14:textId="30A644DE" w:rsidR="004248C3" w:rsidRPr="006E00F4" w:rsidRDefault="00861DC8" w:rsidP="004248C3">
      <w:pPr>
        <w:autoSpaceDE w:val="0"/>
        <w:autoSpaceDN w:val="0"/>
        <w:adjustRightInd w:val="0"/>
        <w:rPr>
          <w:rFonts w:cs="Segoe UI"/>
          <w:bCs/>
          <w:szCs w:val="22"/>
        </w:rPr>
      </w:pPr>
      <w:r w:rsidRPr="006E00F4">
        <w:rPr>
          <w:rFonts w:hint="eastAsia"/>
          <w:lang w:eastAsia="zh-TW"/>
        </w:rPr>
        <w:t>漢高還通過收購</w:t>
      </w:r>
      <w:r>
        <w:rPr>
          <w:rFonts w:hint="eastAsia"/>
          <w:lang w:eastAsia="zh-TW"/>
        </w:rPr>
        <w:t>總部位於</w:t>
      </w:r>
      <w:r w:rsidRPr="006E00F4">
        <w:rPr>
          <w:rFonts w:hint="eastAsia"/>
          <w:lang w:eastAsia="zh-TW"/>
        </w:rPr>
        <w:t>美國的</w:t>
      </w:r>
      <w:r w:rsidRPr="006E00F4">
        <w:rPr>
          <w:lang w:eastAsia="zh-TW"/>
        </w:rPr>
        <w:t>Seal for Life Industries</w:t>
      </w:r>
      <w:r w:rsidRPr="006E00F4">
        <w:rPr>
          <w:rFonts w:hint="eastAsia"/>
          <w:lang w:eastAsia="zh-TW"/>
        </w:rPr>
        <w:t>公司，擴大粘合劑技術業務部的產品組合。該公司為可再生能源、天然氣和供水等行業的基礎設施提供保護塗層和密封解決方案。此次收購是對</w:t>
      </w:r>
      <w:r w:rsidRPr="006E00F4">
        <w:rPr>
          <w:lang w:eastAsia="zh-TW"/>
        </w:rPr>
        <w:t>2023</w:t>
      </w:r>
      <w:r w:rsidRPr="006E00F4">
        <w:rPr>
          <w:rFonts w:hint="eastAsia"/>
          <w:lang w:eastAsia="zh-TW"/>
        </w:rPr>
        <w:t>年收購</w:t>
      </w:r>
      <w:proofErr w:type="spellStart"/>
      <w:r w:rsidRPr="006E00F4">
        <w:rPr>
          <w:lang w:eastAsia="zh-TW"/>
        </w:rPr>
        <w:t>Critica</w:t>
      </w:r>
      <w:proofErr w:type="spellEnd"/>
      <w:r w:rsidRPr="006E00F4">
        <w:rPr>
          <w:lang w:eastAsia="zh-TW"/>
        </w:rPr>
        <w:t xml:space="preserve"> Infrastructure</w:t>
      </w:r>
      <w:r w:rsidRPr="006E00F4">
        <w:rPr>
          <w:rFonts w:hint="eastAsia"/>
          <w:lang w:eastAsia="zh-TW"/>
        </w:rPr>
        <w:t>公司的補充，後者也是一家專門從事基礎設施維護和維修的公司。通過這些收購，我們擴大了在極具吸引力和前景的維護、修理和大修業務領域的現有產品組合，從而為進一步增長奠定堅實的基礎。</w:t>
      </w:r>
    </w:p>
    <w:p w14:paraId="39026FCE" w14:textId="77777777" w:rsidR="000E79CD" w:rsidRPr="006E00F4" w:rsidRDefault="000E79CD" w:rsidP="004248C3">
      <w:pPr>
        <w:autoSpaceDE w:val="0"/>
        <w:autoSpaceDN w:val="0"/>
        <w:adjustRightInd w:val="0"/>
        <w:rPr>
          <w:rFonts w:cs="Segoe UI"/>
          <w:bCs/>
          <w:szCs w:val="22"/>
        </w:rPr>
      </w:pPr>
    </w:p>
    <w:p w14:paraId="540A21FD" w14:textId="2E297CCA" w:rsidR="00C8634B" w:rsidRPr="006E00F4" w:rsidRDefault="00861DC8" w:rsidP="004248C3">
      <w:pPr>
        <w:rPr>
          <w:rFonts w:cs="Segoe UI"/>
          <w:bCs/>
          <w:szCs w:val="22"/>
          <w:lang w:eastAsia="zh-TW"/>
        </w:rPr>
      </w:pPr>
      <w:r w:rsidRPr="006E00F4">
        <w:rPr>
          <w:lang w:eastAsia="zh-TW"/>
        </w:rPr>
        <w:t>2024</w:t>
      </w:r>
      <w:r w:rsidRPr="006E00F4">
        <w:rPr>
          <w:rFonts w:hint="eastAsia"/>
          <w:lang w:eastAsia="zh-TW"/>
        </w:rPr>
        <w:t>年，漢高回應重要趨勢</w:t>
      </w:r>
      <w:r>
        <w:rPr>
          <w:rFonts w:hint="eastAsia"/>
          <w:lang w:eastAsia="zh-TW"/>
        </w:rPr>
        <w:t>，</w:t>
      </w:r>
      <w:r w:rsidRPr="006E00F4">
        <w:rPr>
          <w:rFonts w:hint="eastAsia"/>
          <w:lang w:eastAsia="zh-TW"/>
        </w:rPr>
        <w:t>向市場推出眾多</w:t>
      </w:r>
      <w:r w:rsidRPr="006E00F4">
        <w:rPr>
          <w:rFonts w:hint="eastAsia"/>
          <w:b/>
          <w:bCs/>
          <w:lang w:eastAsia="zh-TW"/>
        </w:rPr>
        <w:t>創新產品</w:t>
      </w:r>
      <w:r w:rsidRPr="006E00F4">
        <w:rPr>
          <w:rFonts w:hint="eastAsia"/>
          <w:lang w:eastAsia="zh-TW"/>
        </w:rPr>
        <w:t>，為客戶和消費者創造價值。粘合劑技術業務部</w:t>
      </w:r>
      <w:r>
        <w:rPr>
          <w:rFonts w:hint="eastAsia"/>
          <w:lang w:eastAsia="zh-TW"/>
        </w:rPr>
        <w:t>去年</w:t>
      </w:r>
      <w:r w:rsidRPr="006E00F4">
        <w:rPr>
          <w:rFonts w:hint="eastAsia"/>
          <w:lang w:eastAsia="zh-TW"/>
        </w:rPr>
        <w:t>在總部</w:t>
      </w:r>
      <w:r>
        <w:rPr>
          <w:rFonts w:hint="eastAsia"/>
          <w:lang w:eastAsia="zh-TW"/>
        </w:rPr>
        <w:t>杜塞爾多夫</w:t>
      </w:r>
      <w:r w:rsidRPr="006E00F4">
        <w:rPr>
          <w:rFonts w:hint="eastAsia"/>
          <w:lang w:eastAsia="zh-TW"/>
        </w:rPr>
        <w:t>設立了一個先進的電池測試中心，</w:t>
      </w:r>
      <w:r w:rsidRPr="00BC5BEA">
        <w:rPr>
          <w:rFonts w:hint="eastAsia"/>
          <w:lang w:eastAsia="zh-TW"/>
        </w:rPr>
        <w:t>與</w:t>
      </w:r>
      <w:r>
        <w:rPr>
          <w:rFonts w:hint="eastAsia"/>
          <w:lang w:eastAsia="zh-TW"/>
        </w:rPr>
        <w:t>該業務部</w:t>
      </w:r>
      <w:r w:rsidRPr="00BC5BEA">
        <w:rPr>
          <w:rFonts w:hint="eastAsia"/>
          <w:lang w:eastAsia="zh-TW"/>
        </w:rPr>
        <w:t>全球最大的創新中心</w:t>
      </w:r>
      <w:r>
        <w:rPr>
          <w:rFonts w:hint="eastAsia"/>
          <w:lang w:eastAsia="zh-TW"/>
        </w:rPr>
        <w:t>直接</w:t>
      </w:r>
      <w:r w:rsidRPr="00BC5BEA">
        <w:rPr>
          <w:rFonts w:hint="eastAsia"/>
          <w:lang w:eastAsia="zh-TW"/>
        </w:rPr>
        <w:t>相連</w:t>
      </w:r>
      <w:r w:rsidRPr="006E00F4">
        <w:rPr>
          <w:rFonts w:hint="eastAsia"/>
          <w:lang w:eastAsia="zh-TW"/>
        </w:rPr>
        <w:t>。</w:t>
      </w:r>
      <w:r w:rsidR="00B07F4F" w:rsidRPr="006E00F4">
        <w:rPr>
          <w:rFonts w:hint="eastAsia"/>
          <w:lang w:eastAsia="zh-TW"/>
        </w:rPr>
        <w:t xml:space="preserve"> </w:t>
      </w:r>
    </w:p>
    <w:p w14:paraId="14015B54" w14:textId="77777777" w:rsidR="008A180A" w:rsidRDefault="008A180A" w:rsidP="004248C3">
      <w:pPr>
        <w:rPr>
          <w:lang w:eastAsia="zh-TW"/>
        </w:rPr>
      </w:pPr>
    </w:p>
    <w:p w14:paraId="1C7B44CD" w14:textId="18918379" w:rsidR="00C8634B" w:rsidRPr="006E00F4" w:rsidRDefault="00861DC8" w:rsidP="004248C3">
      <w:pPr>
        <w:rPr>
          <w:rFonts w:cs="Segoe UI"/>
          <w:bCs/>
          <w:szCs w:val="22"/>
          <w:lang w:eastAsia="zh-TW"/>
        </w:rPr>
      </w:pPr>
      <w:r w:rsidRPr="006E00F4">
        <w:rPr>
          <w:rFonts w:hint="eastAsia"/>
          <w:lang w:eastAsia="zh-TW"/>
        </w:rPr>
        <w:t>憑藉這個新的測試中心，漢高極大地擴展了其在電動汽車領域的能力，並鞏固了作為汽車製造商和電池生產商領先</w:t>
      </w:r>
      <w:r>
        <w:rPr>
          <w:rFonts w:hint="eastAsia"/>
          <w:lang w:eastAsia="zh-TW"/>
        </w:rPr>
        <w:t>的</w:t>
      </w:r>
      <w:r w:rsidRPr="006E00F4">
        <w:rPr>
          <w:rFonts w:hint="eastAsia"/>
          <w:lang w:eastAsia="zh-TW"/>
        </w:rPr>
        <w:t>開發和創新夥伴的地位。</w:t>
      </w:r>
      <w:r w:rsidR="00B07F4F" w:rsidRPr="006E00F4">
        <w:rPr>
          <w:rFonts w:hint="eastAsia"/>
          <w:lang w:eastAsia="zh-TW"/>
        </w:rPr>
        <w:t xml:space="preserve"> </w:t>
      </w:r>
    </w:p>
    <w:p w14:paraId="400B33E1" w14:textId="77777777" w:rsidR="00C8634B" w:rsidRPr="006E00F4" w:rsidRDefault="00C8634B" w:rsidP="004248C3">
      <w:pPr>
        <w:rPr>
          <w:rFonts w:cs="Segoe UI"/>
          <w:bCs/>
          <w:szCs w:val="22"/>
          <w:lang w:eastAsia="zh-TW"/>
        </w:rPr>
      </w:pPr>
    </w:p>
    <w:p w14:paraId="7F9E1094" w14:textId="2882071A" w:rsidR="004248C3" w:rsidRPr="006E00F4" w:rsidRDefault="00861DC8" w:rsidP="004248C3">
      <w:pPr>
        <w:rPr>
          <w:rFonts w:cs="Segoe UI"/>
          <w:bCs/>
          <w:szCs w:val="22"/>
        </w:rPr>
      </w:pPr>
      <w:r w:rsidRPr="006E00F4">
        <w:rPr>
          <w:rFonts w:hint="eastAsia"/>
          <w:lang w:eastAsia="zh-TW"/>
        </w:rPr>
        <w:t>消費品牌業務創新的例子之一就是為</w:t>
      </w:r>
      <w:proofErr w:type="spellStart"/>
      <w:r w:rsidRPr="006E00F4">
        <w:rPr>
          <w:lang w:eastAsia="zh-TW"/>
        </w:rPr>
        <w:t>Perwoll</w:t>
      </w:r>
      <w:proofErr w:type="spellEnd"/>
      <w:r w:rsidRPr="006E00F4">
        <w:rPr>
          <w:rFonts w:hint="eastAsia"/>
          <w:lang w:eastAsia="zh-TW"/>
        </w:rPr>
        <w:t>新開發的酶技術，不僅能夠護理紡織品，還能幫助保持衣物的顏色。經過十次洗滌後，纖維的更新</w:t>
      </w:r>
      <w:r>
        <w:rPr>
          <w:rFonts w:hint="eastAsia"/>
          <w:lang w:eastAsia="zh-TW"/>
        </w:rPr>
        <w:t>作用</w:t>
      </w:r>
      <w:r w:rsidRPr="006E00F4">
        <w:rPr>
          <w:rFonts w:hint="eastAsia"/>
          <w:lang w:eastAsia="zh-TW"/>
        </w:rPr>
        <w:t>就會很明顯，從而延長紡織品的使用壽命。</w:t>
      </w:r>
    </w:p>
    <w:p w14:paraId="6DEF0948" w14:textId="77777777" w:rsidR="00C8634B" w:rsidRPr="006E00F4" w:rsidRDefault="00C8634B" w:rsidP="004248C3">
      <w:pPr>
        <w:rPr>
          <w:rFonts w:cs="Segoe UI"/>
          <w:bCs/>
          <w:szCs w:val="22"/>
        </w:rPr>
      </w:pPr>
    </w:p>
    <w:p w14:paraId="778A8228" w14:textId="7D2C86ED" w:rsidR="002376A9" w:rsidRPr="006E00F4" w:rsidRDefault="00861DC8" w:rsidP="00595E5A">
      <w:pPr>
        <w:rPr>
          <w:rFonts w:cs="Segoe UI"/>
          <w:bCs/>
          <w:szCs w:val="22"/>
          <w:lang w:eastAsia="zh-TW"/>
        </w:rPr>
      </w:pPr>
      <w:r w:rsidRPr="006E00F4">
        <w:rPr>
          <w:rFonts w:hint="eastAsia"/>
          <w:lang w:eastAsia="zh-TW"/>
        </w:rPr>
        <w:t>此外，漢高</w:t>
      </w:r>
      <w:r>
        <w:rPr>
          <w:rFonts w:hint="eastAsia"/>
          <w:lang w:eastAsia="zh-TW"/>
        </w:rPr>
        <w:t>在業務領域中</w:t>
      </w:r>
      <w:r w:rsidRPr="006E00F4">
        <w:rPr>
          <w:rFonts w:hint="eastAsia"/>
          <w:lang w:eastAsia="zh-TW"/>
        </w:rPr>
        <w:t>進一步</w:t>
      </w:r>
      <w:r>
        <w:rPr>
          <w:rFonts w:hint="eastAsia"/>
          <w:lang w:eastAsia="zh-TW"/>
        </w:rPr>
        <w:t>強調了</w:t>
      </w:r>
      <w:r w:rsidR="00A11B44">
        <w:rPr>
          <w:rFonts w:hint="eastAsia"/>
          <w:b/>
          <w:bCs/>
          <w:lang w:eastAsia="zh-TW"/>
        </w:rPr>
        <w:t>永</w:t>
      </w:r>
      <w:r w:rsidR="00A11B44" w:rsidRPr="00D1154A">
        <w:rPr>
          <w:rFonts w:hint="eastAsia"/>
          <w:b/>
          <w:bCs/>
          <w:lang w:eastAsia="zh-TW"/>
        </w:rPr>
        <w:t>續發展</w:t>
      </w:r>
      <w:r w:rsidRPr="006E00F4">
        <w:rPr>
          <w:rFonts w:hint="eastAsia"/>
          <w:lang w:eastAsia="zh-TW"/>
        </w:rPr>
        <w:t>，並加強了在這一領域的承諾。為此，漢高制定了淨零排放路線圖，其中包括在整個價值鏈減少排放的進一步目標。公司的目標是按照《巴</w:t>
      </w:r>
      <w:r w:rsidRPr="006E00F4">
        <w:rPr>
          <w:rFonts w:hint="eastAsia"/>
          <w:lang w:eastAsia="zh-TW"/>
        </w:rPr>
        <w:lastRenderedPageBreak/>
        <w:t>黎氣候協定》的約定，為將全球升溫幅度控制在</w:t>
      </w:r>
      <w:r w:rsidRPr="006E00F4">
        <w:rPr>
          <w:lang w:eastAsia="zh-TW"/>
        </w:rPr>
        <w:t>1.5</w:t>
      </w:r>
      <w:r w:rsidRPr="006E00F4">
        <w:rPr>
          <w:rFonts w:hint="eastAsia"/>
          <w:lang w:eastAsia="zh-TW"/>
        </w:rPr>
        <w:t>°</w:t>
      </w:r>
      <w:r w:rsidRPr="006E00F4">
        <w:rPr>
          <w:lang w:eastAsia="zh-TW"/>
        </w:rPr>
        <w:t>C</w:t>
      </w:r>
      <w:r w:rsidRPr="006E00F4">
        <w:rPr>
          <w:rFonts w:hint="eastAsia"/>
          <w:lang w:eastAsia="zh-TW"/>
        </w:rPr>
        <w:t>以內做出切實貢獻。漢高的路線圖已通過“科學碳目標倡議”（</w:t>
      </w:r>
      <w:r w:rsidRPr="006E00F4">
        <w:rPr>
          <w:lang w:eastAsia="zh-TW"/>
        </w:rPr>
        <w:t>Science Based Targets initiative</w:t>
      </w:r>
      <w:r w:rsidRPr="006E00F4">
        <w:rPr>
          <w:rFonts w:hint="eastAsia"/>
          <w:lang w:eastAsia="zh-TW"/>
        </w:rPr>
        <w:t>）的認證，概述了公司為在</w:t>
      </w:r>
      <w:r w:rsidRPr="006E00F4">
        <w:rPr>
          <w:lang w:eastAsia="zh-TW"/>
        </w:rPr>
        <w:t>2045</w:t>
      </w:r>
      <w:r w:rsidRPr="006E00F4">
        <w:rPr>
          <w:rFonts w:hint="eastAsia"/>
          <w:lang w:eastAsia="zh-TW"/>
        </w:rPr>
        <w:t>年前實現溫室氣體淨零排放而採取的措施。其中包括整個價值鏈上的一系列措施。此外，漢高還成為</w:t>
      </w:r>
      <w:r w:rsidRPr="006E00F4">
        <w:rPr>
          <w:lang w:eastAsia="zh-TW"/>
        </w:rPr>
        <w:t>DAX</w:t>
      </w:r>
      <w:r w:rsidRPr="006E00F4">
        <w:rPr>
          <w:rFonts w:hint="eastAsia"/>
          <w:lang w:eastAsia="zh-TW"/>
        </w:rPr>
        <w:t>指數中首家在全球範圍內推出</w:t>
      </w:r>
      <w:r>
        <w:rPr>
          <w:rFonts w:hint="eastAsia"/>
          <w:lang w:eastAsia="zh-TW"/>
        </w:rPr>
        <w:t>性別中立</w:t>
      </w:r>
      <w:r w:rsidRPr="006E00F4">
        <w:rPr>
          <w:rFonts w:hint="eastAsia"/>
          <w:lang w:eastAsia="zh-TW"/>
        </w:rPr>
        <w:t>全薪育兒假的公司。這一舉措得到了員工和公眾的高度評價。</w:t>
      </w:r>
    </w:p>
    <w:p w14:paraId="17B01FEF" w14:textId="77777777" w:rsidR="002376A9" w:rsidRPr="006E00F4" w:rsidRDefault="002376A9" w:rsidP="004B2C19">
      <w:pPr>
        <w:rPr>
          <w:rFonts w:cs="Segoe UI"/>
          <w:bCs/>
          <w:szCs w:val="22"/>
          <w:lang w:eastAsia="zh-TW"/>
        </w:rPr>
      </w:pPr>
    </w:p>
    <w:p w14:paraId="744CFAAC" w14:textId="3931D230" w:rsidR="00B166F8" w:rsidRPr="006E00F4" w:rsidRDefault="00861DC8" w:rsidP="00B166F8">
      <w:pPr>
        <w:rPr>
          <w:rFonts w:cs="Segoe UI"/>
          <w:szCs w:val="22"/>
          <w:lang w:eastAsia="zh-TW"/>
        </w:rPr>
      </w:pPr>
      <w:r w:rsidRPr="006E00F4">
        <w:rPr>
          <w:rFonts w:hint="eastAsia"/>
          <w:lang w:eastAsia="zh-TW"/>
        </w:rPr>
        <w:t>漢高在</w:t>
      </w:r>
      <w:r w:rsidRPr="006E00F4">
        <w:rPr>
          <w:rFonts w:hint="eastAsia"/>
          <w:b/>
          <w:bCs/>
          <w:lang w:eastAsia="zh-TW"/>
        </w:rPr>
        <w:t>數位化</w:t>
      </w:r>
      <w:r w:rsidRPr="006E00F4">
        <w:rPr>
          <w:rFonts w:hint="eastAsia"/>
          <w:lang w:eastAsia="zh-TW"/>
        </w:rPr>
        <w:t>領域也取得了進一步進展。</w:t>
      </w:r>
      <w:r w:rsidRPr="006E00F4">
        <w:rPr>
          <w:lang w:eastAsia="zh-TW"/>
        </w:rPr>
        <w:t>2024</w:t>
      </w:r>
      <w:r w:rsidRPr="006E00F4">
        <w:rPr>
          <w:rFonts w:hint="eastAsia"/>
          <w:lang w:eastAsia="zh-TW"/>
        </w:rPr>
        <w:t>年，人工智慧（</w:t>
      </w:r>
      <w:r w:rsidRPr="006E00F4">
        <w:rPr>
          <w:lang w:eastAsia="zh-TW"/>
        </w:rPr>
        <w:t>AI</w:t>
      </w:r>
      <w:r w:rsidRPr="006E00F4">
        <w:rPr>
          <w:rFonts w:hint="eastAsia"/>
          <w:lang w:eastAsia="zh-TW"/>
        </w:rPr>
        <w:t>）的飛速發展是一個重要話題。</w:t>
      </w:r>
      <w:r w:rsidRPr="006E00F4">
        <w:rPr>
          <w:lang w:eastAsia="zh-TW"/>
        </w:rPr>
        <w:t>AI</w:t>
      </w:r>
      <w:r w:rsidRPr="006E00F4">
        <w:rPr>
          <w:rFonts w:hint="eastAsia"/>
          <w:lang w:eastAsia="zh-TW"/>
        </w:rPr>
        <w:t>多年來一直是漢高數位</w:t>
      </w:r>
      <w:r>
        <w:rPr>
          <w:rFonts w:hint="eastAsia"/>
          <w:lang w:eastAsia="zh-TW"/>
        </w:rPr>
        <w:t>化</w:t>
      </w:r>
      <w:r w:rsidR="00A11B44">
        <w:rPr>
          <w:rFonts w:hint="eastAsia"/>
          <w:lang w:eastAsia="zh-TW"/>
        </w:rPr>
        <w:t>策略</w:t>
      </w:r>
      <w:r w:rsidRPr="006E00F4">
        <w:rPr>
          <w:rFonts w:hint="eastAsia"/>
          <w:lang w:eastAsia="zh-TW"/>
        </w:rPr>
        <w:t>不可或缺的一部分。例如，</w:t>
      </w:r>
      <w:r w:rsidRPr="006E00F4">
        <w:rPr>
          <w:lang w:eastAsia="zh-TW"/>
        </w:rPr>
        <w:t>AI</w:t>
      </w:r>
      <w:r w:rsidRPr="006E00F4">
        <w:rPr>
          <w:rFonts w:hint="eastAsia"/>
          <w:lang w:eastAsia="zh-TW"/>
        </w:rPr>
        <w:t>被應用於</w:t>
      </w:r>
      <w:r>
        <w:rPr>
          <w:rFonts w:hint="eastAsia"/>
          <w:lang w:eastAsia="zh-TW"/>
        </w:rPr>
        <w:t>流程</w:t>
      </w:r>
      <w:r w:rsidRPr="006E00F4">
        <w:rPr>
          <w:rFonts w:hint="eastAsia"/>
          <w:lang w:eastAsia="zh-TW"/>
        </w:rPr>
        <w:t>自動化、粘合劑開發實驗室、通過虛擬連接的全球生產設施、生產設施中的自主機器人以及漢高品牌網站上的聊天機器人。</w:t>
      </w:r>
      <w:r w:rsidRPr="006E00F4">
        <w:rPr>
          <w:lang w:eastAsia="zh-TW"/>
        </w:rPr>
        <w:t>2024</w:t>
      </w:r>
      <w:r w:rsidRPr="006E00F4">
        <w:rPr>
          <w:rFonts w:hint="eastAsia"/>
          <w:lang w:eastAsia="zh-TW"/>
        </w:rPr>
        <w:t>年，漢高的數字部門</w:t>
      </w:r>
      <w:r w:rsidRPr="006E00F4">
        <w:rPr>
          <w:lang w:eastAsia="zh-TW"/>
        </w:rPr>
        <w:t>dx</w:t>
      </w:r>
      <w:r w:rsidRPr="006E00F4">
        <w:rPr>
          <w:rFonts w:hint="eastAsia"/>
          <w:lang w:eastAsia="zh-TW"/>
        </w:rPr>
        <w:t>進一步優化了內部架構，加強了數位</w:t>
      </w:r>
      <w:r>
        <w:rPr>
          <w:rFonts w:hint="eastAsia"/>
          <w:lang w:eastAsia="zh-TW"/>
        </w:rPr>
        <w:t>化</w:t>
      </w:r>
      <w:r w:rsidRPr="006E00F4">
        <w:rPr>
          <w:rFonts w:hint="eastAsia"/>
          <w:lang w:eastAsia="zh-TW"/>
        </w:rPr>
        <w:t>專業知識，並培養了開放式創新文化。此外，漢高還受益於與</w:t>
      </w:r>
      <w:r w:rsidRPr="006E00F4">
        <w:rPr>
          <w:lang w:eastAsia="zh-TW"/>
        </w:rPr>
        <w:t>SAP</w:t>
      </w:r>
      <w:r w:rsidRPr="006E00F4">
        <w:rPr>
          <w:rFonts w:hint="eastAsia"/>
          <w:lang w:eastAsia="zh-TW"/>
        </w:rPr>
        <w:t>、微軟和</w:t>
      </w:r>
      <w:r w:rsidRPr="006E00F4">
        <w:rPr>
          <w:lang w:eastAsia="zh-TW"/>
        </w:rPr>
        <w:t>Adobe</w:t>
      </w:r>
      <w:r w:rsidRPr="006E00F4">
        <w:rPr>
          <w:rFonts w:hint="eastAsia"/>
          <w:lang w:eastAsia="zh-TW"/>
        </w:rPr>
        <w:t>等全球領先數位化公司的</w:t>
      </w:r>
      <w:r w:rsidR="00A11B44">
        <w:rPr>
          <w:rFonts w:hint="eastAsia"/>
          <w:lang w:eastAsia="zh-TW"/>
        </w:rPr>
        <w:t>策略</w:t>
      </w:r>
      <w:r w:rsidRPr="006E00F4">
        <w:rPr>
          <w:rFonts w:hint="eastAsia"/>
          <w:lang w:eastAsia="zh-TW"/>
        </w:rPr>
        <w:t>合作夥伴關係。這使得漢高能夠將尖端技術整合到自己的數位平臺和專案中。通過加快數位創新、完善平臺</w:t>
      </w:r>
      <w:r w:rsidR="00A11B44">
        <w:rPr>
          <w:rFonts w:hint="eastAsia"/>
          <w:lang w:eastAsia="zh-TW"/>
        </w:rPr>
        <w:t>策略</w:t>
      </w:r>
      <w:r w:rsidRPr="006E00F4">
        <w:rPr>
          <w:rFonts w:hint="eastAsia"/>
          <w:lang w:eastAsia="zh-TW"/>
        </w:rPr>
        <w:t>以及加強所有業務和職能部門的跨職能協作，漢高顯著提高了</w:t>
      </w:r>
      <w:r w:rsidRPr="006E00F4">
        <w:rPr>
          <w:lang w:eastAsia="zh-TW"/>
        </w:rPr>
        <w:t>IT</w:t>
      </w:r>
      <w:r w:rsidRPr="006E00F4">
        <w:rPr>
          <w:rFonts w:hint="eastAsia"/>
          <w:lang w:eastAsia="zh-TW"/>
        </w:rPr>
        <w:t>效率。</w:t>
      </w:r>
    </w:p>
    <w:p w14:paraId="48398428" w14:textId="77777777" w:rsidR="004B2C19" w:rsidRPr="006E00F4" w:rsidRDefault="004B2C19" w:rsidP="004B2C19">
      <w:pPr>
        <w:rPr>
          <w:rFonts w:cs="Segoe UI"/>
          <w:szCs w:val="22"/>
          <w:lang w:eastAsia="de-DE"/>
        </w:rPr>
      </w:pPr>
    </w:p>
    <w:p w14:paraId="64BCE8E3" w14:textId="459A1F76" w:rsidR="00C8634B" w:rsidRDefault="00861DC8" w:rsidP="004B2C19">
      <w:pPr>
        <w:rPr>
          <w:lang w:eastAsia="zh-TW"/>
        </w:rPr>
      </w:pPr>
      <w:r w:rsidRPr="006E00F4">
        <w:rPr>
          <w:rFonts w:hint="eastAsia"/>
          <w:lang w:eastAsia="zh-TW"/>
        </w:rPr>
        <w:t>作為長期增長</w:t>
      </w:r>
      <w:r w:rsidR="00A11B44">
        <w:rPr>
          <w:rFonts w:hint="eastAsia"/>
          <w:lang w:eastAsia="zh-TW"/>
        </w:rPr>
        <w:t>策略</w:t>
      </w:r>
      <w:r w:rsidRPr="006E00F4">
        <w:rPr>
          <w:rFonts w:hint="eastAsia"/>
          <w:lang w:eastAsia="zh-TW"/>
        </w:rPr>
        <w:t>的一部分，漢高不斷</w:t>
      </w:r>
      <w:r>
        <w:rPr>
          <w:rFonts w:hint="eastAsia"/>
          <w:lang w:eastAsia="zh-TW"/>
        </w:rPr>
        <w:t>調整業務部門以適應活躍</w:t>
      </w:r>
      <w:r w:rsidRPr="006E00F4">
        <w:rPr>
          <w:rFonts w:hint="eastAsia"/>
          <w:lang w:eastAsia="zh-TW"/>
        </w:rPr>
        <w:t>市場的要求和不斷變化的客戶期望，通過</w:t>
      </w:r>
      <w:r w:rsidRPr="006E00F4">
        <w:rPr>
          <w:rFonts w:hint="eastAsia"/>
          <w:b/>
          <w:bCs/>
          <w:lang w:eastAsia="zh-TW"/>
        </w:rPr>
        <w:t>面向未來的運營模式</w:t>
      </w:r>
      <w:r w:rsidRPr="006E00F4">
        <w:rPr>
          <w:rFonts w:hint="eastAsia"/>
          <w:lang w:eastAsia="zh-TW"/>
        </w:rPr>
        <w:t>取得長期成功。這還包括不斷改進整個公司的業務流程。</w:t>
      </w:r>
      <w:r w:rsidR="00B07F4F" w:rsidRPr="006E00F4">
        <w:rPr>
          <w:rFonts w:hint="eastAsia"/>
          <w:lang w:eastAsia="zh-TW"/>
        </w:rPr>
        <w:t xml:space="preserve"> </w:t>
      </w:r>
    </w:p>
    <w:p w14:paraId="3E3F495F" w14:textId="77777777" w:rsidR="00CC4A57" w:rsidRPr="006E00F4" w:rsidRDefault="00CC4A57" w:rsidP="004B2C19">
      <w:pPr>
        <w:rPr>
          <w:rFonts w:cs="Segoe UI"/>
          <w:szCs w:val="22"/>
          <w:lang w:eastAsia="zh-TW"/>
        </w:rPr>
      </w:pPr>
    </w:p>
    <w:p w14:paraId="079CCAF3" w14:textId="0D910DB7" w:rsidR="00D407F1" w:rsidRPr="006E00F4" w:rsidRDefault="00861DC8" w:rsidP="004B2C19">
      <w:pPr>
        <w:rPr>
          <w:rFonts w:cs="Segoe UI"/>
          <w:szCs w:val="22"/>
          <w:lang w:eastAsia="zh-TW"/>
        </w:rPr>
      </w:pPr>
      <w:r w:rsidRPr="006E00F4">
        <w:rPr>
          <w:rFonts w:hint="eastAsia"/>
          <w:lang w:eastAsia="zh-TW"/>
        </w:rPr>
        <w:t>其中例子之一就是在印度班加羅爾建立了一個全球技術中心，</w:t>
      </w:r>
      <w:r w:rsidRPr="006E00F4">
        <w:rPr>
          <w:lang w:eastAsia="zh-TW"/>
        </w:rPr>
        <w:t>500</w:t>
      </w:r>
      <w:r w:rsidRPr="006E00F4">
        <w:rPr>
          <w:rFonts w:hint="eastAsia"/>
          <w:lang w:eastAsia="zh-TW"/>
        </w:rPr>
        <w:t>多名</w:t>
      </w:r>
      <w:r w:rsidRPr="006E00F4">
        <w:rPr>
          <w:lang w:eastAsia="zh-TW"/>
        </w:rPr>
        <w:t>IT</w:t>
      </w:r>
      <w:r w:rsidRPr="006E00F4">
        <w:rPr>
          <w:rFonts w:hint="eastAsia"/>
          <w:lang w:eastAsia="zh-TW"/>
        </w:rPr>
        <w:t>專家</w:t>
      </w:r>
      <w:r>
        <w:rPr>
          <w:rFonts w:hint="eastAsia"/>
          <w:lang w:eastAsia="zh-TW"/>
        </w:rPr>
        <w:t>將在此</w:t>
      </w:r>
      <w:r w:rsidRPr="006E00F4">
        <w:rPr>
          <w:rFonts w:hint="eastAsia"/>
          <w:lang w:eastAsia="zh-TW"/>
        </w:rPr>
        <w:t>創建一個完全整合的內部數字中心。由此，漢高得以不斷提高成本效率，並強化內部專業知識。該技術中心計畫在未來幾年進行進一步擴建。漢高還實現了對風險投資活動的整合。在</w:t>
      </w:r>
      <w:r w:rsidRPr="006E00F4">
        <w:rPr>
          <w:lang w:eastAsia="zh-TW"/>
        </w:rPr>
        <w:t>2025</w:t>
      </w:r>
      <w:r w:rsidRPr="006E00F4">
        <w:rPr>
          <w:rFonts w:hint="eastAsia"/>
          <w:lang w:eastAsia="zh-TW"/>
        </w:rPr>
        <w:t>年至</w:t>
      </w:r>
      <w:r w:rsidRPr="006E00F4">
        <w:rPr>
          <w:lang w:eastAsia="zh-TW"/>
        </w:rPr>
        <w:t>2028</w:t>
      </w:r>
      <w:r w:rsidRPr="006E00F4">
        <w:rPr>
          <w:rFonts w:hint="eastAsia"/>
          <w:lang w:eastAsia="zh-TW"/>
        </w:rPr>
        <w:t>年遷移到</w:t>
      </w:r>
      <w:r w:rsidRPr="006E00F4">
        <w:rPr>
          <w:lang w:eastAsia="zh-TW"/>
        </w:rPr>
        <w:t>S/4Hana</w:t>
      </w:r>
      <w:r w:rsidRPr="006E00F4">
        <w:rPr>
          <w:rFonts w:hint="eastAsia"/>
          <w:lang w:eastAsia="zh-TW"/>
        </w:rPr>
        <w:t>之際，漢高還將評估如何使其架構和流程更加靈活。例如，漢高正在考慮為現有的兩個業務部建立獨立的法律實體，</w:t>
      </w:r>
      <w:r>
        <w:rPr>
          <w:rFonts w:hint="eastAsia"/>
          <w:lang w:eastAsia="zh-TW"/>
        </w:rPr>
        <w:t>從</w:t>
      </w:r>
      <w:r w:rsidRPr="006E00F4">
        <w:rPr>
          <w:rFonts w:hint="eastAsia"/>
          <w:lang w:eastAsia="zh-TW"/>
        </w:rPr>
        <w:t>德國</w:t>
      </w:r>
      <w:r>
        <w:rPr>
          <w:rFonts w:hint="eastAsia"/>
          <w:lang w:eastAsia="zh-TW"/>
        </w:rPr>
        <w:t>開始</w:t>
      </w:r>
      <w:r w:rsidRPr="006E00F4">
        <w:rPr>
          <w:rFonts w:hint="eastAsia"/>
          <w:lang w:eastAsia="zh-TW"/>
        </w:rPr>
        <w:t>，然後在</w:t>
      </w:r>
      <w:r>
        <w:rPr>
          <w:rFonts w:hint="eastAsia"/>
          <w:lang w:eastAsia="zh-TW"/>
        </w:rPr>
        <w:t>適用的主要國家</w:t>
      </w:r>
      <w:r w:rsidRPr="006E00F4">
        <w:rPr>
          <w:rFonts w:hint="eastAsia"/>
          <w:lang w:eastAsia="zh-TW"/>
        </w:rPr>
        <w:t>逐步</w:t>
      </w:r>
      <w:r>
        <w:rPr>
          <w:rFonts w:hint="eastAsia"/>
          <w:lang w:eastAsia="zh-TW"/>
        </w:rPr>
        <w:t>實行</w:t>
      </w:r>
      <w:r w:rsidRPr="006E00F4">
        <w:rPr>
          <w:rFonts w:hint="eastAsia"/>
          <w:lang w:eastAsia="zh-TW"/>
        </w:rPr>
        <w:t>。集團及業務部</w:t>
      </w:r>
      <w:r>
        <w:rPr>
          <w:rFonts w:hint="eastAsia"/>
          <w:lang w:eastAsia="zh-TW"/>
        </w:rPr>
        <w:t>門</w:t>
      </w:r>
      <w:r w:rsidRPr="006E00F4">
        <w:rPr>
          <w:rFonts w:hint="eastAsia"/>
          <w:lang w:eastAsia="zh-TW"/>
        </w:rPr>
        <w:t>的</w:t>
      </w:r>
      <w:r w:rsidR="00A11B44">
        <w:rPr>
          <w:rFonts w:hint="eastAsia"/>
          <w:lang w:eastAsia="zh-TW"/>
        </w:rPr>
        <w:t>策略</w:t>
      </w:r>
      <w:r w:rsidRPr="006E00F4">
        <w:rPr>
          <w:rFonts w:hint="eastAsia"/>
          <w:lang w:eastAsia="zh-TW"/>
        </w:rPr>
        <w:t>和運營管理模式將保持不變。目的是支援相關業務的未來需求和漢高的增長議程。</w:t>
      </w:r>
    </w:p>
    <w:p w14:paraId="25228A05" w14:textId="77777777" w:rsidR="00D407F1" w:rsidRPr="006E00F4" w:rsidRDefault="00D407F1" w:rsidP="004B2C19">
      <w:pPr>
        <w:rPr>
          <w:rFonts w:cs="Segoe UI"/>
          <w:szCs w:val="22"/>
          <w:lang w:eastAsia="de-DE"/>
        </w:rPr>
      </w:pPr>
    </w:p>
    <w:p w14:paraId="0FEA036F" w14:textId="5C513264" w:rsidR="003E275E" w:rsidRPr="006E00F4" w:rsidRDefault="00861DC8" w:rsidP="003E275E">
      <w:pPr>
        <w:rPr>
          <w:rFonts w:cs="Segoe UI"/>
          <w:szCs w:val="22"/>
          <w:lang w:eastAsia="zh-TW"/>
        </w:rPr>
      </w:pPr>
      <w:r w:rsidRPr="006E00F4">
        <w:rPr>
          <w:rFonts w:hint="eastAsia"/>
          <w:lang w:eastAsia="zh-TW"/>
        </w:rPr>
        <w:t>去年，漢高還進一步加強了</w:t>
      </w:r>
      <w:r>
        <w:rPr>
          <w:rFonts w:hint="eastAsia"/>
          <w:b/>
          <w:bCs/>
          <w:lang w:eastAsia="zh-TW"/>
        </w:rPr>
        <w:t>企業</w:t>
      </w:r>
      <w:r w:rsidRPr="006E00F4">
        <w:rPr>
          <w:rFonts w:hint="eastAsia"/>
          <w:b/>
          <w:bCs/>
          <w:lang w:eastAsia="zh-TW"/>
        </w:rPr>
        <w:t>文化</w:t>
      </w:r>
      <w:r w:rsidRPr="006E00F4">
        <w:rPr>
          <w:rFonts w:hint="eastAsia"/>
          <w:lang w:eastAsia="zh-TW"/>
        </w:rPr>
        <w:t>。</w:t>
      </w:r>
      <w:r w:rsidRPr="006E00F4">
        <w:rPr>
          <w:lang w:eastAsia="zh-TW"/>
        </w:rPr>
        <w:t>2023</w:t>
      </w:r>
      <w:r w:rsidRPr="006E00F4">
        <w:rPr>
          <w:rFonts w:hint="eastAsia"/>
          <w:lang w:eastAsia="zh-TW"/>
        </w:rPr>
        <w:t>年啟動的“加速文化轉型”計畫在整個全球組織中得到了成功延續。該計畫促進了團隊內部更深入的對話和更緊密的聯繫。</w:t>
      </w:r>
      <w:r>
        <w:rPr>
          <w:lang w:eastAsia="zh-TW"/>
        </w:rPr>
        <w:t>2024</w:t>
      </w:r>
      <w:r w:rsidRPr="006E00F4">
        <w:rPr>
          <w:rFonts w:hint="eastAsia"/>
          <w:lang w:eastAsia="zh-TW"/>
        </w:rPr>
        <w:t>年，</w:t>
      </w:r>
      <w:r>
        <w:rPr>
          <w:rFonts w:hint="eastAsia"/>
          <w:lang w:eastAsia="zh-TW"/>
        </w:rPr>
        <w:t>該</w:t>
      </w:r>
      <w:r w:rsidRPr="006E00F4">
        <w:rPr>
          <w:rFonts w:hint="eastAsia"/>
          <w:lang w:eastAsia="zh-TW"/>
        </w:rPr>
        <w:t>計畫的重點是公開提供和處理建設性</w:t>
      </w:r>
      <w:r>
        <w:rPr>
          <w:rFonts w:hint="eastAsia"/>
          <w:lang w:eastAsia="zh-TW"/>
        </w:rPr>
        <w:t>的</w:t>
      </w:r>
      <w:r w:rsidRPr="006E00F4">
        <w:rPr>
          <w:rFonts w:hint="eastAsia"/>
          <w:lang w:eastAsia="zh-TW"/>
        </w:rPr>
        <w:t>回饋。合作文化與促進</w:t>
      </w:r>
      <w:r>
        <w:rPr>
          <w:rFonts w:hint="eastAsia"/>
          <w:lang w:eastAsia="zh-TW"/>
        </w:rPr>
        <w:t>多元、平等與</w:t>
      </w:r>
      <w:r w:rsidRPr="006E00F4">
        <w:rPr>
          <w:rFonts w:hint="eastAsia"/>
          <w:lang w:eastAsia="zh-TW"/>
        </w:rPr>
        <w:t>包容密切相關。為進一步加強</w:t>
      </w:r>
      <w:r>
        <w:rPr>
          <w:rFonts w:hint="eastAsia"/>
          <w:lang w:eastAsia="zh-TW"/>
        </w:rPr>
        <w:t>多元化</w:t>
      </w:r>
      <w:r w:rsidRPr="006E00F4">
        <w:rPr>
          <w:rFonts w:hint="eastAsia"/>
          <w:lang w:eastAsia="zh-TW"/>
        </w:rPr>
        <w:t>，漢高遵循基於三大支柱的</w:t>
      </w:r>
      <w:r w:rsidR="00A11B44">
        <w:rPr>
          <w:rFonts w:hint="eastAsia"/>
          <w:lang w:eastAsia="zh-TW"/>
        </w:rPr>
        <w:t>策略</w:t>
      </w:r>
      <w:r w:rsidRPr="006E00F4">
        <w:rPr>
          <w:rFonts w:hint="eastAsia"/>
          <w:lang w:eastAsia="zh-TW"/>
        </w:rPr>
        <w:t>：首先，通過活動</w:t>
      </w:r>
      <w:r>
        <w:rPr>
          <w:rFonts w:hint="eastAsia"/>
          <w:lang w:eastAsia="zh-TW"/>
        </w:rPr>
        <w:t>等</w:t>
      </w:r>
      <w:r w:rsidRPr="006E00F4">
        <w:rPr>
          <w:rFonts w:hint="eastAsia"/>
          <w:lang w:eastAsia="zh-TW"/>
        </w:rPr>
        <w:t>各種形式提高意識。其次，通過針對領導者和員工的培訓</w:t>
      </w:r>
      <w:r>
        <w:rPr>
          <w:rFonts w:hint="eastAsia"/>
          <w:lang w:eastAsia="zh-TW"/>
        </w:rPr>
        <w:t>專案</w:t>
      </w:r>
      <w:r w:rsidRPr="006E00F4">
        <w:rPr>
          <w:rFonts w:hint="eastAsia"/>
          <w:lang w:eastAsia="zh-TW"/>
        </w:rPr>
        <w:t>加強包容行為。</w:t>
      </w:r>
      <w:r>
        <w:rPr>
          <w:rFonts w:hint="eastAsia"/>
          <w:lang w:eastAsia="zh-TW"/>
        </w:rPr>
        <w:t>第三</w:t>
      </w:r>
      <w:r w:rsidRPr="006E00F4">
        <w:rPr>
          <w:rFonts w:hint="eastAsia"/>
          <w:lang w:eastAsia="zh-TW"/>
        </w:rPr>
        <w:t>，不斷改善結構性條件，消除結構性障礙</w:t>
      </w:r>
      <w:r>
        <w:rPr>
          <w:rFonts w:hint="eastAsia"/>
          <w:lang w:eastAsia="zh-TW"/>
        </w:rPr>
        <w:t>，</w:t>
      </w:r>
      <w:r w:rsidRPr="006E00F4">
        <w:rPr>
          <w:rFonts w:hint="eastAsia"/>
          <w:lang w:eastAsia="zh-TW"/>
        </w:rPr>
        <w:t>如</w:t>
      </w:r>
      <w:r>
        <w:rPr>
          <w:rFonts w:hint="eastAsia"/>
          <w:lang w:eastAsia="zh-TW"/>
        </w:rPr>
        <w:t>為平衡生活與工作</w:t>
      </w:r>
      <w:r w:rsidRPr="006E00F4">
        <w:rPr>
          <w:rFonts w:hint="eastAsia"/>
          <w:lang w:eastAsia="zh-TW"/>
        </w:rPr>
        <w:t>提供支援。</w:t>
      </w:r>
    </w:p>
    <w:p w14:paraId="1F926E27" w14:textId="77777777" w:rsidR="003E275E" w:rsidRPr="006E00F4" w:rsidRDefault="003E275E" w:rsidP="003E275E">
      <w:pPr>
        <w:rPr>
          <w:rFonts w:cs="Segoe UI"/>
          <w:szCs w:val="22"/>
          <w:lang w:eastAsia="de-DE"/>
        </w:rPr>
      </w:pPr>
    </w:p>
    <w:p w14:paraId="2905C4DD" w14:textId="63FE3442" w:rsidR="003E275E" w:rsidRPr="006E00F4" w:rsidRDefault="00861DC8" w:rsidP="003E275E">
      <w:pPr>
        <w:rPr>
          <w:rFonts w:cs="Segoe UI"/>
          <w:szCs w:val="22"/>
        </w:rPr>
      </w:pPr>
      <w:r w:rsidRPr="006E00F4">
        <w:rPr>
          <w:rFonts w:hint="eastAsia"/>
          <w:lang w:eastAsia="zh-TW"/>
        </w:rPr>
        <w:t>漢高的目標之一是到</w:t>
      </w:r>
      <w:r w:rsidRPr="006E00F4">
        <w:rPr>
          <w:lang w:eastAsia="zh-TW"/>
        </w:rPr>
        <w:t>2025</w:t>
      </w:r>
      <w:r w:rsidRPr="006E00F4">
        <w:rPr>
          <w:rFonts w:hint="eastAsia"/>
          <w:lang w:eastAsia="zh-TW"/>
        </w:rPr>
        <w:t>年底在所有管理</w:t>
      </w:r>
      <w:r>
        <w:rPr>
          <w:rFonts w:hint="eastAsia"/>
          <w:lang w:eastAsia="zh-TW"/>
        </w:rPr>
        <w:t>崗位</w:t>
      </w:r>
      <w:r w:rsidRPr="006E00F4">
        <w:rPr>
          <w:rFonts w:hint="eastAsia"/>
          <w:lang w:eastAsia="zh-TW"/>
        </w:rPr>
        <w:t>實現性別均等。如今，漢高全球約</w:t>
      </w:r>
      <w:r w:rsidRPr="006E00F4">
        <w:rPr>
          <w:lang w:eastAsia="zh-TW"/>
        </w:rPr>
        <w:t>42%</w:t>
      </w:r>
      <w:r w:rsidRPr="006E00F4">
        <w:rPr>
          <w:rFonts w:hint="eastAsia"/>
          <w:lang w:eastAsia="zh-TW"/>
        </w:rPr>
        <w:t>的管理職位由女性擔任。</w:t>
      </w:r>
    </w:p>
    <w:p w14:paraId="5D5E2741" w14:textId="77777777" w:rsidR="003E275E" w:rsidRPr="006E00F4" w:rsidRDefault="003E275E" w:rsidP="00521834">
      <w:pPr>
        <w:rPr>
          <w:rFonts w:cs="Segoe UI"/>
          <w:szCs w:val="22"/>
        </w:rPr>
      </w:pPr>
    </w:p>
    <w:p w14:paraId="3757EF1B" w14:textId="167FEDA4" w:rsidR="004B2C19" w:rsidRPr="006E00F4" w:rsidRDefault="00861DC8" w:rsidP="00521834">
      <w:pPr>
        <w:rPr>
          <w:rFonts w:cs="Segoe UI"/>
          <w:szCs w:val="22"/>
          <w:lang w:eastAsia="zh-TW"/>
        </w:rPr>
      </w:pPr>
      <w:r w:rsidRPr="006E00F4">
        <w:rPr>
          <w:rFonts w:hint="eastAsia"/>
          <w:lang w:eastAsia="zh-TW"/>
        </w:rPr>
        <w:t>卡斯滕·諾貝爾總結道：“</w:t>
      </w:r>
      <w:r w:rsidRPr="006E00F4">
        <w:rPr>
          <w:lang w:eastAsia="zh-TW"/>
        </w:rPr>
        <w:t>2024</w:t>
      </w:r>
      <w:r w:rsidRPr="006E00F4">
        <w:rPr>
          <w:rFonts w:hint="eastAsia"/>
          <w:lang w:eastAsia="zh-TW"/>
        </w:rPr>
        <w:t>財年對漢高來說是非常成功和重要的一年。我們在年內兩次提高了財務目標，並最終成功實現了這些目標。我們</w:t>
      </w:r>
      <w:r>
        <w:rPr>
          <w:rFonts w:hint="eastAsia"/>
          <w:lang w:eastAsia="zh-TW"/>
        </w:rPr>
        <w:t>持續</w:t>
      </w:r>
      <w:r w:rsidRPr="006E00F4">
        <w:rPr>
          <w:rFonts w:hint="eastAsia"/>
          <w:lang w:eastAsia="zh-TW"/>
        </w:rPr>
        <w:t>地在所有</w:t>
      </w:r>
      <w:r w:rsidR="00A11B44">
        <w:rPr>
          <w:rFonts w:hint="eastAsia"/>
          <w:lang w:eastAsia="zh-TW"/>
        </w:rPr>
        <w:t>策略</w:t>
      </w:r>
      <w:r w:rsidRPr="006E00F4">
        <w:rPr>
          <w:rFonts w:hint="eastAsia"/>
          <w:lang w:eastAsia="zh-TW"/>
        </w:rPr>
        <w:t>層面</w:t>
      </w:r>
      <w:r>
        <w:rPr>
          <w:rFonts w:hint="eastAsia"/>
          <w:lang w:eastAsia="zh-TW"/>
        </w:rPr>
        <w:t>貫徹</w:t>
      </w:r>
      <w:r w:rsidRPr="006E00F4">
        <w:rPr>
          <w:rFonts w:hint="eastAsia"/>
          <w:lang w:eastAsia="zh-TW"/>
        </w:rPr>
        <w:t>目標性增長議程，</w:t>
      </w:r>
      <w:r w:rsidRPr="006E00F4">
        <w:rPr>
          <w:rFonts w:hint="eastAsia"/>
          <w:lang w:eastAsia="zh-TW"/>
        </w:rPr>
        <w:lastRenderedPageBreak/>
        <w:t>堅定不移地推進轉型，並取得了成功。我們正走在正確的道路上，公司的轉型正顯現出切實的成果。憑藉明確的</w:t>
      </w:r>
      <w:r w:rsidR="00A11B44">
        <w:rPr>
          <w:rFonts w:hint="eastAsia"/>
          <w:lang w:eastAsia="zh-TW"/>
        </w:rPr>
        <w:t>策略</w:t>
      </w:r>
      <w:r w:rsidRPr="006E00F4">
        <w:rPr>
          <w:rFonts w:hint="eastAsia"/>
          <w:lang w:eastAsia="zh-TW"/>
        </w:rPr>
        <w:t>、強大的團隊和獨特的公司文化，我們已經為未來做好了充分準備。”</w:t>
      </w:r>
    </w:p>
    <w:p w14:paraId="437CBB0C" w14:textId="77777777" w:rsidR="00A83DDB" w:rsidRDefault="00A83DDB">
      <w:pPr>
        <w:spacing w:line="240" w:lineRule="auto"/>
        <w:jc w:val="left"/>
        <w:rPr>
          <w:lang w:eastAsia="zh-TW"/>
        </w:rPr>
      </w:pPr>
    </w:p>
    <w:p w14:paraId="0B8DC8F0" w14:textId="77777777" w:rsidR="00DC3878" w:rsidRDefault="00DC3878">
      <w:pPr>
        <w:spacing w:line="240" w:lineRule="auto"/>
        <w:jc w:val="left"/>
        <w:rPr>
          <w:lang w:eastAsia="zh-TW"/>
        </w:rPr>
      </w:pPr>
    </w:p>
    <w:p w14:paraId="596248D9" w14:textId="77777777" w:rsidR="00DC3878" w:rsidRDefault="00DC3878">
      <w:pPr>
        <w:spacing w:line="240" w:lineRule="auto"/>
        <w:jc w:val="left"/>
        <w:rPr>
          <w:lang w:eastAsia="zh-TW"/>
        </w:rPr>
      </w:pPr>
    </w:p>
    <w:p w14:paraId="2A91865F" w14:textId="637F5642" w:rsidR="00DC3878" w:rsidRPr="006E00F4" w:rsidRDefault="00861DC8" w:rsidP="00DC3878">
      <w:pPr>
        <w:pStyle w:val="He04Funote"/>
        <w:rPr>
          <w:rFonts w:eastAsia="宋体"/>
          <w:sz w:val="12"/>
          <w:szCs w:val="12"/>
        </w:rPr>
      </w:pPr>
      <w:r w:rsidRPr="00861DC8">
        <w:rPr>
          <w:rFonts w:eastAsia="宋体"/>
          <w:sz w:val="12"/>
          <w:lang w:val="en-US" w:eastAsia="zh-TW"/>
        </w:rPr>
        <w:t>* Adjusted for one-time expenses and income, and for restructuring expenses.</w:t>
      </w:r>
    </w:p>
    <w:p w14:paraId="2BDCC6AD" w14:textId="22165E8A" w:rsidR="00DC3878" w:rsidRPr="00861DC8" w:rsidRDefault="00861DC8" w:rsidP="00DC3878">
      <w:pPr>
        <w:rPr>
          <w:lang w:val="de-DE"/>
        </w:rPr>
      </w:pPr>
      <w:r w:rsidRPr="00861DC8">
        <w:rPr>
          <w:sz w:val="12"/>
          <w:lang w:val="de-DE" w:eastAsia="zh-TW"/>
        </w:rPr>
        <w:t>*</w:t>
      </w:r>
      <w:r w:rsidRPr="006E00F4">
        <w:rPr>
          <w:rFonts w:hint="eastAsia"/>
          <w:sz w:val="12"/>
          <w:lang w:eastAsia="zh-TW"/>
        </w:rPr>
        <w:t>對一次性費用和收入以及重組費用進行了調整。</w:t>
      </w:r>
    </w:p>
    <w:p w14:paraId="4FBE9E5B" w14:textId="77777777" w:rsidR="00DC3878" w:rsidRPr="00861DC8" w:rsidRDefault="00DC3878">
      <w:pPr>
        <w:spacing w:line="240" w:lineRule="auto"/>
        <w:jc w:val="left"/>
        <w:rPr>
          <w:lang w:val="de-DE"/>
        </w:rPr>
      </w:pPr>
    </w:p>
    <w:p w14:paraId="5ECDFC26" w14:textId="77777777" w:rsidR="00DC3878" w:rsidRPr="00861DC8" w:rsidRDefault="00DC3878">
      <w:pPr>
        <w:spacing w:line="240" w:lineRule="auto"/>
        <w:jc w:val="left"/>
        <w:rPr>
          <w:lang w:val="de-DE"/>
        </w:rPr>
      </w:pPr>
    </w:p>
    <w:p w14:paraId="2C7DEE6D" w14:textId="77777777" w:rsidR="00B47FE8" w:rsidRPr="00861DC8" w:rsidRDefault="00B47FE8">
      <w:pPr>
        <w:spacing w:line="240" w:lineRule="auto"/>
        <w:jc w:val="left"/>
        <w:rPr>
          <w:lang w:val="de-DE"/>
        </w:rPr>
      </w:pPr>
    </w:p>
    <w:p w14:paraId="763099D2" w14:textId="53723F69" w:rsidR="00B47FE8" w:rsidRPr="00861DC8" w:rsidRDefault="00861DC8" w:rsidP="00B47FE8">
      <w:pPr>
        <w:spacing w:line="240" w:lineRule="auto"/>
        <w:jc w:val="center"/>
        <w:rPr>
          <w:lang w:val="de-DE"/>
        </w:rPr>
      </w:pPr>
      <w:r w:rsidRPr="00861DC8">
        <w:rPr>
          <w:lang w:val="de-DE" w:eastAsia="zh-TW"/>
        </w:rPr>
        <w:t>***</w:t>
      </w:r>
    </w:p>
    <w:p w14:paraId="4189FF68" w14:textId="77777777" w:rsidR="00DC3878" w:rsidRPr="00861DC8" w:rsidRDefault="00DC3878">
      <w:pPr>
        <w:spacing w:line="240" w:lineRule="auto"/>
        <w:jc w:val="left"/>
        <w:rPr>
          <w:lang w:val="de-DE"/>
        </w:rPr>
      </w:pPr>
    </w:p>
    <w:p w14:paraId="661804D5" w14:textId="77777777" w:rsidR="00DC3878" w:rsidRPr="00861DC8" w:rsidRDefault="00DC3878">
      <w:pPr>
        <w:spacing w:line="240" w:lineRule="auto"/>
        <w:jc w:val="left"/>
        <w:rPr>
          <w:lang w:val="de-DE"/>
        </w:rPr>
      </w:pPr>
    </w:p>
    <w:p w14:paraId="427E473B" w14:textId="77777777" w:rsidR="00C8634B" w:rsidRPr="00861DC8" w:rsidRDefault="00C8634B">
      <w:pPr>
        <w:spacing w:line="240" w:lineRule="auto"/>
        <w:jc w:val="left"/>
        <w:rPr>
          <w:rStyle w:val="AboutandContactHeadline"/>
          <w:szCs w:val="18"/>
          <w:lang w:val="de-DE"/>
        </w:rPr>
      </w:pPr>
    </w:p>
    <w:p w14:paraId="713EAF9C" w14:textId="77777777" w:rsidR="0058377F" w:rsidRPr="00861DC8" w:rsidRDefault="0058377F" w:rsidP="0058377F">
      <w:pPr>
        <w:pStyle w:val="He01Flietext"/>
        <w:rPr>
          <w:rStyle w:val="AboutandContactBody"/>
          <w:rFonts w:eastAsiaTheme="minorEastAsia" w:cs="Times New Roman"/>
          <w:sz w:val="14"/>
          <w:szCs w:val="14"/>
        </w:rPr>
      </w:pPr>
    </w:p>
    <w:p w14:paraId="0CE3EAEC" w14:textId="14F9BE68" w:rsidR="00DC3878" w:rsidRPr="00861DC8" w:rsidRDefault="00861DC8" w:rsidP="00DC3878">
      <w:pPr>
        <w:rPr>
          <w:rStyle w:val="AboutandContactHeadline"/>
          <w:rFonts w:asciiTheme="majorHAnsi" w:hAnsiTheme="majorHAnsi" w:cstheme="majorHAnsi"/>
          <w:sz w:val="20"/>
          <w:szCs w:val="28"/>
          <w:lang w:val="de-DE"/>
        </w:rPr>
      </w:pPr>
      <w:r w:rsidRPr="007B24F3">
        <w:rPr>
          <w:rStyle w:val="AboutandContactHeadline"/>
          <w:rFonts w:asciiTheme="majorHAnsi" w:hAnsiTheme="majorHAnsi" w:cstheme="majorHAnsi" w:hint="eastAsia"/>
          <w:sz w:val="20"/>
          <w:szCs w:val="28"/>
          <w:lang w:eastAsia="zh-TW"/>
        </w:rPr>
        <w:t>關於漢高</w:t>
      </w:r>
    </w:p>
    <w:p w14:paraId="1EB8298B" w14:textId="76BD6A3D" w:rsidR="00DC3878" w:rsidRPr="007B24F3" w:rsidRDefault="00861DC8" w:rsidP="00DC3878">
      <w:pPr>
        <w:rPr>
          <w:rStyle w:val="AboutandContactBody"/>
          <w:rFonts w:asciiTheme="majorHAnsi" w:hAnsiTheme="majorHAnsi" w:cstheme="majorHAnsi"/>
          <w:sz w:val="20"/>
          <w:szCs w:val="28"/>
        </w:rPr>
      </w:pPr>
      <w:r w:rsidRPr="007B24F3">
        <w:rPr>
          <w:rStyle w:val="AboutandContactBody"/>
          <w:rFonts w:asciiTheme="majorHAnsi" w:hAnsiTheme="majorHAnsi" w:cstheme="majorHAnsi" w:hint="eastAsia"/>
          <w:sz w:val="20"/>
          <w:szCs w:val="28"/>
          <w:lang w:eastAsia="zh-TW"/>
        </w:rPr>
        <w:t>漢高憑藉其品牌、創新和技術</w:t>
      </w:r>
      <w:r w:rsidRPr="00861DC8">
        <w:rPr>
          <w:rStyle w:val="AboutandContactBody"/>
          <w:rFonts w:asciiTheme="majorHAnsi" w:hAnsiTheme="majorHAnsi" w:cstheme="majorHAnsi" w:hint="eastAsia"/>
          <w:sz w:val="20"/>
          <w:szCs w:val="28"/>
          <w:lang w:val="de-DE" w:eastAsia="zh-TW"/>
        </w:rPr>
        <w:t>，</w:t>
      </w:r>
      <w:r w:rsidRPr="007B24F3">
        <w:rPr>
          <w:rStyle w:val="AboutandContactBody"/>
          <w:rFonts w:asciiTheme="majorHAnsi" w:hAnsiTheme="majorHAnsi" w:cstheme="majorHAnsi" w:hint="eastAsia"/>
          <w:sz w:val="20"/>
          <w:szCs w:val="28"/>
          <w:lang w:eastAsia="zh-TW"/>
        </w:rPr>
        <w:t>在全球工業和消費品領域中擁有領先的市場地位。漢高粘合劑技術業務部是全球粘合劑、密封劑和功能性塗層市場的領導者。漢高消費品牌在各國市場和品類佔據領先地位，在洗滌劑及家用護理和美髮領域尤為突出。樂泰（</w:t>
      </w:r>
      <w:r w:rsidRPr="007B24F3">
        <w:rPr>
          <w:rStyle w:val="AboutandContactBody"/>
          <w:rFonts w:asciiTheme="majorHAnsi" w:hAnsiTheme="majorHAnsi" w:cstheme="majorHAnsi"/>
          <w:sz w:val="20"/>
          <w:szCs w:val="28"/>
          <w:lang w:eastAsia="zh-TW"/>
        </w:rPr>
        <w:t>Loctite</w:t>
      </w:r>
      <w:r w:rsidRPr="007B24F3">
        <w:rPr>
          <w:rStyle w:val="AboutandContactBody"/>
          <w:rFonts w:asciiTheme="majorHAnsi" w:hAnsiTheme="majorHAnsi" w:cstheme="majorHAnsi" w:hint="eastAsia"/>
          <w:sz w:val="20"/>
          <w:szCs w:val="28"/>
          <w:lang w:eastAsia="zh-TW"/>
        </w:rPr>
        <w:t>）、寶瑩（</w:t>
      </w:r>
      <w:r w:rsidRPr="007B24F3">
        <w:rPr>
          <w:rStyle w:val="AboutandContactBody"/>
          <w:rFonts w:asciiTheme="majorHAnsi" w:hAnsiTheme="majorHAnsi" w:cstheme="majorHAnsi"/>
          <w:sz w:val="20"/>
          <w:szCs w:val="28"/>
          <w:lang w:eastAsia="zh-TW"/>
        </w:rPr>
        <w:t xml:space="preserve"> Persil</w:t>
      </w:r>
      <w:r w:rsidRPr="007B24F3">
        <w:rPr>
          <w:rStyle w:val="AboutandContactBody"/>
          <w:rFonts w:asciiTheme="majorHAnsi" w:hAnsiTheme="majorHAnsi" w:cstheme="majorHAnsi" w:hint="eastAsia"/>
          <w:sz w:val="20"/>
          <w:szCs w:val="28"/>
          <w:lang w:eastAsia="zh-TW"/>
        </w:rPr>
        <w:t>）和施華蔻（</w:t>
      </w:r>
      <w:r w:rsidRPr="007B24F3">
        <w:rPr>
          <w:rStyle w:val="AboutandContactBody"/>
          <w:rFonts w:asciiTheme="majorHAnsi" w:hAnsiTheme="majorHAnsi" w:cstheme="majorHAnsi"/>
          <w:sz w:val="20"/>
          <w:szCs w:val="28"/>
          <w:lang w:eastAsia="zh-TW"/>
        </w:rPr>
        <w:t>Schwarzkopf</w:t>
      </w:r>
      <w:r w:rsidRPr="007B24F3">
        <w:rPr>
          <w:rStyle w:val="AboutandContactBody"/>
          <w:rFonts w:asciiTheme="majorHAnsi" w:hAnsiTheme="majorHAnsi" w:cstheme="majorHAnsi" w:hint="eastAsia"/>
          <w:sz w:val="20"/>
          <w:szCs w:val="28"/>
          <w:lang w:eastAsia="zh-TW"/>
        </w:rPr>
        <w:t>）是公司的三大核心品牌。</w:t>
      </w:r>
      <w:r w:rsidRPr="007B24F3">
        <w:rPr>
          <w:rStyle w:val="AboutandContactBody"/>
          <w:rFonts w:asciiTheme="majorHAnsi" w:hAnsiTheme="majorHAnsi" w:cstheme="majorHAnsi"/>
          <w:sz w:val="20"/>
          <w:szCs w:val="28"/>
          <w:lang w:eastAsia="zh-TW"/>
        </w:rPr>
        <w:t>202</w:t>
      </w:r>
      <w:r>
        <w:rPr>
          <w:rStyle w:val="AboutandContactBody"/>
          <w:rFonts w:asciiTheme="majorHAnsi" w:hAnsiTheme="majorHAnsi" w:cstheme="majorHAnsi"/>
          <w:sz w:val="20"/>
          <w:szCs w:val="28"/>
          <w:lang w:eastAsia="zh-TW"/>
        </w:rPr>
        <w:t>4</w:t>
      </w:r>
      <w:r w:rsidRPr="007B24F3">
        <w:rPr>
          <w:rStyle w:val="AboutandContactBody"/>
          <w:rFonts w:asciiTheme="majorHAnsi" w:hAnsiTheme="majorHAnsi" w:cstheme="majorHAnsi" w:hint="eastAsia"/>
          <w:sz w:val="20"/>
          <w:szCs w:val="28"/>
          <w:lang w:eastAsia="zh-TW"/>
        </w:rPr>
        <w:t>財年，漢高實現銷售額逾</w:t>
      </w:r>
      <w:r w:rsidRPr="007B24F3">
        <w:rPr>
          <w:rStyle w:val="AboutandContactBody"/>
          <w:rFonts w:asciiTheme="majorHAnsi" w:hAnsiTheme="majorHAnsi" w:cstheme="majorHAnsi"/>
          <w:sz w:val="20"/>
          <w:szCs w:val="28"/>
          <w:lang w:eastAsia="zh-TW"/>
        </w:rPr>
        <w:t>21</w:t>
      </w:r>
      <w:r>
        <w:rPr>
          <w:rStyle w:val="AboutandContactBody"/>
          <w:rFonts w:asciiTheme="majorHAnsi" w:hAnsiTheme="majorHAnsi" w:cstheme="majorHAnsi"/>
          <w:sz w:val="20"/>
          <w:szCs w:val="28"/>
          <w:lang w:eastAsia="zh-TW"/>
        </w:rPr>
        <w:t>6</w:t>
      </w:r>
      <w:r w:rsidRPr="007B24F3">
        <w:rPr>
          <w:rStyle w:val="AboutandContactBody"/>
          <w:rFonts w:asciiTheme="majorHAnsi" w:hAnsiTheme="majorHAnsi" w:cstheme="majorHAnsi" w:hint="eastAsia"/>
          <w:sz w:val="20"/>
          <w:szCs w:val="28"/>
          <w:lang w:eastAsia="zh-TW"/>
        </w:rPr>
        <w:t>億歐元，調整後營業利潤約為</w:t>
      </w:r>
      <w:r>
        <w:rPr>
          <w:rStyle w:val="AboutandContactBody"/>
          <w:rFonts w:asciiTheme="majorHAnsi" w:hAnsiTheme="majorHAnsi" w:cstheme="majorHAnsi"/>
          <w:sz w:val="20"/>
          <w:szCs w:val="28"/>
          <w:lang w:eastAsia="zh-TW"/>
        </w:rPr>
        <w:t>31</w:t>
      </w:r>
      <w:r w:rsidRPr="007B24F3">
        <w:rPr>
          <w:rStyle w:val="AboutandContactBody"/>
          <w:rFonts w:asciiTheme="majorHAnsi" w:hAnsiTheme="majorHAnsi" w:cstheme="majorHAnsi" w:hint="eastAsia"/>
          <w:sz w:val="20"/>
          <w:szCs w:val="28"/>
          <w:lang w:eastAsia="zh-TW"/>
        </w:rPr>
        <w:t>億歐元。漢高的優先股已列入德國</w:t>
      </w:r>
      <w:r w:rsidRPr="007B24F3">
        <w:rPr>
          <w:rStyle w:val="AboutandContactBody"/>
          <w:rFonts w:asciiTheme="majorHAnsi" w:hAnsiTheme="majorHAnsi" w:cstheme="majorHAnsi"/>
          <w:sz w:val="20"/>
          <w:szCs w:val="28"/>
          <w:lang w:eastAsia="zh-TW"/>
        </w:rPr>
        <w:t>DAX</w:t>
      </w:r>
      <w:r w:rsidRPr="007B24F3">
        <w:rPr>
          <w:rStyle w:val="AboutandContactBody"/>
          <w:rFonts w:asciiTheme="majorHAnsi" w:hAnsiTheme="majorHAnsi" w:cstheme="majorHAnsi" w:hint="eastAsia"/>
          <w:sz w:val="20"/>
          <w:szCs w:val="28"/>
          <w:lang w:eastAsia="zh-TW"/>
        </w:rPr>
        <w:t>指數。</w:t>
      </w:r>
      <w:r w:rsidR="00A11B44">
        <w:rPr>
          <w:rStyle w:val="AboutandContactBody"/>
          <w:rFonts w:asciiTheme="majorHAnsi" w:hAnsiTheme="majorHAnsi" w:cstheme="majorHAnsi" w:hint="eastAsia"/>
          <w:sz w:val="20"/>
          <w:szCs w:val="28"/>
          <w:lang w:eastAsia="zh-TW"/>
        </w:rPr>
        <w:t>永續發展</w:t>
      </w:r>
      <w:r w:rsidRPr="007B24F3">
        <w:rPr>
          <w:rStyle w:val="AboutandContactBody"/>
          <w:rFonts w:asciiTheme="majorHAnsi" w:hAnsiTheme="majorHAnsi" w:cstheme="majorHAnsi" w:hint="eastAsia"/>
          <w:sz w:val="20"/>
          <w:szCs w:val="28"/>
          <w:lang w:eastAsia="zh-TW"/>
        </w:rPr>
        <w:t>在漢高有著悠久的傳統，公司確立有明晰的</w:t>
      </w:r>
      <w:r w:rsidR="00A11B44">
        <w:rPr>
          <w:rStyle w:val="AboutandContactBody"/>
          <w:rFonts w:asciiTheme="majorHAnsi" w:hAnsiTheme="majorHAnsi" w:cstheme="majorHAnsi" w:hint="eastAsia"/>
          <w:sz w:val="20"/>
          <w:szCs w:val="28"/>
          <w:lang w:eastAsia="zh-TW"/>
        </w:rPr>
        <w:t>永續發展策略</w:t>
      </w:r>
      <w:r w:rsidRPr="007B24F3">
        <w:rPr>
          <w:rStyle w:val="AboutandContactBody"/>
          <w:rFonts w:asciiTheme="majorHAnsi" w:hAnsiTheme="majorHAnsi" w:cstheme="majorHAnsi" w:hint="eastAsia"/>
          <w:sz w:val="20"/>
          <w:szCs w:val="28"/>
          <w:lang w:eastAsia="zh-TW"/>
        </w:rPr>
        <w:t>和具體目標。成立于</w:t>
      </w:r>
      <w:r w:rsidRPr="007B24F3">
        <w:rPr>
          <w:rStyle w:val="AboutandContactBody"/>
          <w:rFonts w:asciiTheme="majorHAnsi" w:hAnsiTheme="majorHAnsi" w:cstheme="majorHAnsi"/>
          <w:sz w:val="20"/>
          <w:szCs w:val="28"/>
          <w:lang w:eastAsia="zh-TW"/>
        </w:rPr>
        <w:t>1876</w:t>
      </w:r>
      <w:r w:rsidRPr="007B24F3">
        <w:rPr>
          <w:rStyle w:val="AboutandContactBody"/>
          <w:rFonts w:asciiTheme="majorHAnsi" w:hAnsiTheme="majorHAnsi" w:cstheme="majorHAnsi" w:hint="eastAsia"/>
          <w:sz w:val="20"/>
          <w:szCs w:val="28"/>
          <w:lang w:eastAsia="zh-TW"/>
        </w:rPr>
        <w:t>年，漢高如今在全球範圍內約有</w:t>
      </w:r>
      <w:r w:rsidRPr="007B24F3">
        <w:rPr>
          <w:rStyle w:val="AboutandContactBody"/>
          <w:rFonts w:asciiTheme="majorHAnsi" w:hAnsiTheme="majorHAnsi" w:cstheme="majorHAnsi"/>
          <w:sz w:val="20"/>
          <w:szCs w:val="28"/>
          <w:lang w:eastAsia="zh-TW"/>
        </w:rPr>
        <w:t>4.</w:t>
      </w:r>
      <w:r>
        <w:rPr>
          <w:rStyle w:val="AboutandContactBody"/>
          <w:rFonts w:asciiTheme="majorHAnsi" w:hAnsiTheme="majorHAnsi" w:cstheme="majorHAnsi"/>
          <w:sz w:val="20"/>
          <w:szCs w:val="28"/>
          <w:lang w:eastAsia="zh-TW"/>
        </w:rPr>
        <w:t>7</w:t>
      </w:r>
      <w:r w:rsidRPr="007B24F3">
        <w:rPr>
          <w:rStyle w:val="AboutandContactBody"/>
          <w:rFonts w:asciiTheme="majorHAnsi" w:hAnsiTheme="majorHAnsi" w:cstheme="majorHAnsi" w:hint="eastAsia"/>
          <w:sz w:val="20"/>
          <w:szCs w:val="28"/>
          <w:lang w:eastAsia="zh-TW"/>
        </w:rPr>
        <w:t>萬名員工，在強大的企業文化、共同的價值觀與企業目標</w:t>
      </w:r>
      <w:r w:rsidRPr="007B24F3">
        <w:rPr>
          <w:rStyle w:val="AboutandContactBody"/>
          <w:rFonts w:asciiTheme="majorHAnsi" w:hAnsiTheme="majorHAnsi" w:cstheme="majorHAnsi"/>
          <w:sz w:val="20"/>
          <w:szCs w:val="28"/>
          <w:lang w:eastAsia="zh-TW"/>
        </w:rPr>
        <w:t>“Pioneers at heart for the good of generations”</w:t>
      </w:r>
      <w:r w:rsidRPr="007B24F3">
        <w:rPr>
          <w:rStyle w:val="AboutandContactBody"/>
          <w:rFonts w:asciiTheme="majorHAnsi" w:hAnsiTheme="majorHAnsi" w:cstheme="majorHAnsi" w:hint="eastAsia"/>
          <w:sz w:val="20"/>
          <w:szCs w:val="28"/>
          <w:lang w:eastAsia="zh-TW"/>
        </w:rPr>
        <w:t>的引領下，融合為一支多元化的團隊。更多資訊，敬請訪問</w:t>
      </w:r>
      <w:r w:rsidRPr="007B24F3">
        <w:rPr>
          <w:rStyle w:val="AboutandContactBody"/>
          <w:rFonts w:asciiTheme="majorHAnsi" w:hAnsiTheme="majorHAnsi" w:cstheme="majorHAnsi"/>
          <w:sz w:val="20"/>
          <w:szCs w:val="28"/>
          <w:lang w:eastAsia="zh-TW"/>
        </w:rPr>
        <w:t xml:space="preserve"> </w:t>
      </w:r>
      <w:hyperlink r:id="rId14" w:history="1">
        <w:r w:rsidRPr="007B24F3">
          <w:rPr>
            <w:rStyle w:val="Hyperlink"/>
            <w:rFonts w:asciiTheme="majorHAnsi" w:hAnsiTheme="majorHAnsi" w:cstheme="majorHAnsi"/>
            <w:sz w:val="20"/>
            <w:szCs w:val="20"/>
            <w:lang w:eastAsia="zh-TW"/>
          </w:rPr>
          <w:t>www.henkel.com</w:t>
        </w:r>
      </w:hyperlink>
      <w:r w:rsidR="00B07F4F" w:rsidRPr="007B24F3">
        <w:rPr>
          <w:rStyle w:val="AboutandContactBody"/>
          <w:rFonts w:asciiTheme="majorHAnsi" w:hAnsiTheme="majorHAnsi" w:cstheme="majorHAnsi"/>
          <w:sz w:val="20"/>
          <w:szCs w:val="28"/>
        </w:rPr>
        <w:t xml:space="preserve"> </w:t>
      </w:r>
    </w:p>
    <w:p w14:paraId="1A1E69C1" w14:textId="77777777" w:rsidR="00DC3878" w:rsidRPr="00DC3878" w:rsidRDefault="00DC3878" w:rsidP="0058377F">
      <w:pPr>
        <w:pStyle w:val="He01Flietext"/>
        <w:rPr>
          <w:rStyle w:val="AboutandContactBody"/>
          <w:rFonts w:eastAsiaTheme="minorEastAsia" w:cs="Times New Roman"/>
          <w:sz w:val="14"/>
          <w:szCs w:val="14"/>
          <w:lang w:val="en-US"/>
        </w:rPr>
      </w:pPr>
    </w:p>
    <w:p w14:paraId="1BCBC3B1" w14:textId="77777777" w:rsidR="00835910" w:rsidRPr="006E00F4" w:rsidRDefault="00835910">
      <w:pPr>
        <w:spacing w:line="240" w:lineRule="auto"/>
        <w:jc w:val="left"/>
        <w:rPr>
          <w:rStyle w:val="AboutandContactBody"/>
          <w:sz w:val="14"/>
          <w:szCs w:val="14"/>
        </w:rPr>
      </w:pPr>
    </w:p>
    <w:p w14:paraId="04A1566C" w14:textId="77777777" w:rsidR="0058377F" w:rsidRPr="006E00F4" w:rsidRDefault="0058377F" w:rsidP="0058377F">
      <w:pPr>
        <w:tabs>
          <w:tab w:val="left" w:pos="1080"/>
          <w:tab w:val="left" w:pos="4500"/>
        </w:tabs>
        <w:spacing w:line="264" w:lineRule="auto"/>
        <w:rPr>
          <w:rFonts w:asciiTheme="majorHAnsi" w:eastAsia="PMingLiU" w:hAnsiTheme="majorHAnsi" w:cs="Calibri Light"/>
          <w:b/>
          <w:sz w:val="18"/>
          <w:szCs w:val="18"/>
        </w:rPr>
      </w:pPr>
    </w:p>
    <w:p w14:paraId="3C7D1FD0" w14:textId="4BC70283" w:rsidR="00DC373A" w:rsidRPr="00620AC6" w:rsidRDefault="00861DC8" w:rsidP="00DC373A">
      <w:pPr>
        <w:pStyle w:val="He01Flietext"/>
        <w:rPr>
          <w:sz w:val="14"/>
          <w:szCs w:val="14"/>
        </w:rPr>
      </w:pPr>
      <w:r w:rsidRPr="00861DC8">
        <w:rPr>
          <w:rFonts w:ascii="微软雅黑" w:eastAsia="宋体" w:hAnsi="微软雅黑" w:cs="微软雅黑" w:hint="eastAsia"/>
          <w:sz w:val="14"/>
          <w:lang w:eastAsia="zh-TW"/>
        </w:rPr>
        <w:t>本檔所含提及未來業務發展、財務業績及其他與漢高未來相關的事件或發展的聲明，由此構成前瞻性聲明。前瞻性表述的特點是使用諸如期望、打算、計畫、預測、假設、相信、預計、預期、預見和類似的表述。這些表述乃漢高股份及兩合公司管理層基於現有的預測和假設。該等表述在任何情況下都不應該被理解成保證該等預期的準確無誤。漢高股份及兩合公司及其關聯公司實際實現的未來業績和結果取決於一系列的風險和不確定性，因此可能與前瞻性表述有明顯差別。很多因素，例如未來的經濟環境和競爭者行為以及市場上其他參與者的行為，均在漢高的控制之外，無法準確預計。漢高不計畫也不承諾更新前瞻性表述。</w:t>
      </w:r>
    </w:p>
    <w:p w14:paraId="273A3958" w14:textId="170C8224" w:rsidR="00DC373A" w:rsidRPr="00620AC6" w:rsidRDefault="00861DC8" w:rsidP="00DC373A">
      <w:pPr>
        <w:pStyle w:val="He01Flietext"/>
        <w:rPr>
          <w:sz w:val="14"/>
          <w:szCs w:val="14"/>
        </w:rPr>
      </w:pPr>
      <w:r w:rsidRPr="00861DC8">
        <w:rPr>
          <w:rFonts w:ascii="微软雅黑" w:eastAsia="宋体" w:hAnsi="微软雅黑" w:cs="微软雅黑" w:hint="eastAsia"/>
          <w:sz w:val="14"/>
          <w:lang w:eastAsia="zh-TW"/>
        </w:rPr>
        <w:t>本檔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為漢高淨資產、財務狀況或運營結果的替代計量指標。其他公司對於報告或描述類似專案的替代性財務計量指標，可能使用不同的計算方法。</w:t>
      </w:r>
    </w:p>
    <w:p w14:paraId="7FB6A315" w14:textId="773B5346" w:rsidR="00DC373A" w:rsidRDefault="00861DC8" w:rsidP="00DC373A">
      <w:pPr>
        <w:spacing w:line="240" w:lineRule="auto"/>
        <w:jc w:val="left"/>
        <w:rPr>
          <w:sz w:val="14"/>
        </w:rPr>
      </w:pPr>
      <w:r w:rsidRPr="00620AC6">
        <w:rPr>
          <w:rFonts w:hint="eastAsia"/>
          <w:sz w:val="14"/>
          <w:lang w:eastAsia="zh-TW"/>
        </w:rPr>
        <w:t>本檔僅供參考，並不構成任何對證券的投資建議、出售要約或購買要約。</w:t>
      </w:r>
    </w:p>
    <w:p w14:paraId="1C9B4CB9" w14:textId="77777777" w:rsidR="00DC373A" w:rsidRDefault="00DC373A" w:rsidP="00DC373A">
      <w:pPr>
        <w:spacing w:line="240" w:lineRule="auto"/>
        <w:jc w:val="left"/>
        <w:rPr>
          <w:sz w:val="14"/>
        </w:rPr>
      </w:pPr>
    </w:p>
    <w:p w14:paraId="0CDB24DC" w14:textId="77777777" w:rsidR="00DC373A" w:rsidRDefault="00DC373A" w:rsidP="00DC373A">
      <w:pPr>
        <w:spacing w:line="240" w:lineRule="auto"/>
        <w:jc w:val="left"/>
        <w:rPr>
          <w:sz w:val="14"/>
        </w:rPr>
      </w:pPr>
    </w:p>
    <w:p w14:paraId="4E21C29E" w14:textId="46DD039A" w:rsidR="00DC373A" w:rsidRPr="00596CED" w:rsidRDefault="00861DC8" w:rsidP="00DC373A">
      <w:pPr>
        <w:tabs>
          <w:tab w:val="left" w:pos="1080"/>
          <w:tab w:val="left" w:pos="4500"/>
        </w:tabs>
        <w:spacing w:line="264" w:lineRule="auto"/>
        <w:rPr>
          <w:rStyle w:val="AboutandContactBody"/>
          <w:rFonts w:cs="Segoe UI"/>
          <w:b/>
          <w:bCs/>
          <w:szCs w:val="18"/>
        </w:rPr>
      </w:pPr>
      <w:r w:rsidRPr="00596CED">
        <w:rPr>
          <w:rStyle w:val="AboutandContactBody"/>
          <w:rFonts w:cs="Segoe UI" w:hint="eastAsia"/>
          <w:b/>
          <w:bCs/>
          <w:szCs w:val="18"/>
          <w:lang w:eastAsia="zh-TW"/>
        </w:rPr>
        <w:t>媒體連絡人</w:t>
      </w:r>
    </w:p>
    <w:p w14:paraId="0034182B" w14:textId="77777777" w:rsidR="00DC373A" w:rsidRPr="00596CED" w:rsidRDefault="00DC373A" w:rsidP="00DC373A">
      <w:pPr>
        <w:tabs>
          <w:tab w:val="left" w:pos="1080"/>
          <w:tab w:val="left" w:pos="4500"/>
        </w:tabs>
        <w:spacing w:line="264" w:lineRule="auto"/>
        <w:rPr>
          <w:rStyle w:val="AboutandContactBody"/>
          <w:rFonts w:cs="Segoe UI"/>
          <w:b/>
          <w:szCs w:val="18"/>
        </w:rPr>
      </w:pPr>
    </w:p>
    <w:p w14:paraId="698FEB42" w14:textId="33455F87" w:rsidR="00DC373A" w:rsidRPr="00596CED" w:rsidRDefault="00861DC8" w:rsidP="00DC373A">
      <w:pPr>
        <w:tabs>
          <w:tab w:val="left" w:pos="1080"/>
          <w:tab w:val="left" w:pos="4500"/>
        </w:tabs>
        <w:spacing w:line="264" w:lineRule="auto"/>
        <w:rPr>
          <w:rStyle w:val="AboutandContactBody"/>
          <w:rFonts w:cs="Segoe UI"/>
          <w:bCs/>
          <w:szCs w:val="18"/>
        </w:rPr>
      </w:pPr>
      <w:r w:rsidRPr="006A390A">
        <w:rPr>
          <w:rFonts w:cs="Arial"/>
          <w:b/>
          <w:sz w:val="20"/>
          <w:lang w:val="en-CA" w:eastAsia="zh-TW"/>
        </w:rPr>
        <w:t>Louise Cheung</w:t>
      </w:r>
      <w:r w:rsidRPr="00596CED">
        <w:rPr>
          <w:rStyle w:val="AboutandContactBody"/>
          <w:rFonts w:cs="Segoe UI"/>
          <w:szCs w:val="18"/>
          <w:lang w:eastAsia="zh-TW"/>
        </w:rPr>
        <w:tab/>
      </w:r>
    </w:p>
    <w:p w14:paraId="51412150" w14:textId="45E35EB1" w:rsidR="00DC373A" w:rsidRPr="00596CED" w:rsidRDefault="00861DC8" w:rsidP="00DC373A">
      <w:pPr>
        <w:tabs>
          <w:tab w:val="left" w:pos="709"/>
          <w:tab w:val="left" w:pos="4500"/>
          <w:tab w:val="left" w:pos="5245"/>
        </w:tabs>
        <w:spacing w:line="264" w:lineRule="auto"/>
        <w:rPr>
          <w:rStyle w:val="AboutandContactBody"/>
          <w:rFonts w:cs="Segoe UI"/>
          <w:szCs w:val="18"/>
        </w:rPr>
      </w:pPr>
      <w:r w:rsidRPr="00596CED">
        <w:rPr>
          <w:rStyle w:val="AboutandContactBody"/>
          <w:rFonts w:cs="Segoe UI" w:hint="eastAsia"/>
          <w:szCs w:val="18"/>
          <w:lang w:eastAsia="zh-TW"/>
        </w:rPr>
        <w:t>電話：</w:t>
      </w:r>
      <w:r w:rsidRPr="00596CED">
        <w:rPr>
          <w:rStyle w:val="AboutandContactBody"/>
          <w:rFonts w:cs="Segoe UI"/>
          <w:szCs w:val="18"/>
          <w:lang w:eastAsia="zh-TW"/>
        </w:rPr>
        <w:t>+86</w:t>
      </w:r>
      <w:r>
        <w:rPr>
          <w:rStyle w:val="AboutandContactBody"/>
          <w:rFonts w:cs="Segoe UI"/>
          <w:szCs w:val="18"/>
          <w:lang w:eastAsia="zh-TW"/>
        </w:rPr>
        <w:t xml:space="preserve"> </w:t>
      </w:r>
      <w:r w:rsidRPr="00596CED">
        <w:rPr>
          <w:rStyle w:val="AboutandContactBody"/>
          <w:rFonts w:cs="Segoe UI"/>
          <w:szCs w:val="18"/>
          <w:lang w:eastAsia="zh-TW"/>
        </w:rPr>
        <w:t>21</w:t>
      </w:r>
      <w:r>
        <w:rPr>
          <w:rStyle w:val="AboutandContactBody"/>
          <w:rFonts w:cs="Segoe UI"/>
          <w:szCs w:val="18"/>
          <w:lang w:eastAsia="zh-TW"/>
        </w:rPr>
        <w:t xml:space="preserve"> </w:t>
      </w:r>
      <w:r w:rsidRPr="00596CED">
        <w:rPr>
          <w:rStyle w:val="AboutandContactBody"/>
          <w:rFonts w:cs="Segoe UI"/>
          <w:szCs w:val="18"/>
          <w:lang w:eastAsia="zh-TW"/>
        </w:rPr>
        <w:t>2891</w:t>
      </w:r>
      <w:r>
        <w:rPr>
          <w:rStyle w:val="AboutandContactBody"/>
          <w:rFonts w:cs="Segoe UI"/>
          <w:szCs w:val="18"/>
          <w:lang w:eastAsia="zh-TW"/>
        </w:rPr>
        <w:t xml:space="preserve"> </w:t>
      </w:r>
      <w:r w:rsidRPr="00596CED">
        <w:rPr>
          <w:rStyle w:val="AboutandContactBody"/>
          <w:rFonts w:cs="Segoe UI"/>
          <w:szCs w:val="18"/>
          <w:lang w:eastAsia="zh-TW"/>
        </w:rPr>
        <w:t>5152</w:t>
      </w:r>
      <w:r w:rsidRPr="00596CED">
        <w:rPr>
          <w:rStyle w:val="AboutandContactBody"/>
          <w:rFonts w:cs="Segoe UI"/>
          <w:szCs w:val="18"/>
          <w:lang w:eastAsia="zh-TW"/>
        </w:rPr>
        <w:tab/>
      </w:r>
    </w:p>
    <w:p w14:paraId="4AA7D639" w14:textId="3E629920" w:rsidR="00DC373A" w:rsidRDefault="00861DC8" w:rsidP="00DC373A">
      <w:pPr>
        <w:spacing w:line="240" w:lineRule="auto"/>
        <w:jc w:val="left"/>
        <w:rPr>
          <w:rFonts w:cs="Segoe UI"/>
          <w:sz w:val="18"/>
          <w:szCs w:val="18"/>
        </w:rPr>
      </w:pPr>
      <w:r w:rsidRPr="00596CED">
        <w:rPr>
          <w:rStyle w:val="AboutandContactBody"/>
          <w:rFonts w:cs="Segoe UI" w:hint="eastAsia"/>
          <w:szCs w:val="18"/>
          <w:lang w:eastAsia="zh-TW"/>
        </w:rPr>
        <w:t>郵箱：</w:t>
      </w:r>
      <w:hyperlink r:id="rId15" w:history="1">
        <w:r w:rsidRPr="00E5636F">
          <w:rPr>
            <w:rStyle w:val="Hyperlink"/>
            <w:rFonts w:cs="Segoe UI"/>
            <w:lang w:eastAsia="zh-TW"/>
          </w:rPr>
          <w:t>louise.cheung@henkel.com</w:t>
        </w:r>
      </w:hyperlink>
    </w:p>
    <w:p w14:paraId="23D23295" w14:textId="77777777" w:rsidR="00DC373A" w:rsidRDefault="00DC373A" w:rsidP="00DC373A">
      <w:pPr>
        <w:spacing w:line="240" w:lineRule="auto"/>
        <w:jc w:val="left"/>
        <w:rPr>
          <w:rFonts w:cs="Segoe UI"/>
          <w:sz w:val="18"/>
          <w:szCs w:val="18"/>
        </w:rPr>
      </w:pPr>
    </w:p>
    <w:p w14:paraId="51EB4ADB" w14:textId="3BEE9488" w:rsidR="00DC373A" w:rsidRPr="00D014F1" w:rsidRDefault="00861DC8" w:rsidP="00DC373A">
      <w:pPr>
        <w:tabs>
          <w:tab w:val="left" w:pos="851"/>
          <w:tab w:val="left" w:pos="4536"/>
          <w:tab w:val="left" w:pos="4962"/>
          <w:tab w:val="left" w:pos="5387"/>
        </w:tabs>
        <w:spacing w:line="360" w:lineRule="auto"/>
        <w:rPr>
          <w:rFonts w:cs="Arial"/>
          <w:b/>
          <w:sz w:val="20"/>
          <w:szCs w:val="18"/>
        </w:rPr>
      </w:pPr>
      <w:r w:rsidRPr="00D014F1">
        <w:rPr>
          <w:rFonts w:cs="Arial"/>
          <w:b/>
          <w:sz w:val="20"/>
          <w:szCs w:val="18"/>
          <w:lang w:val="en-CA" w:eastAsia="zh-TW"/>
        </w:rPr>
        <w:t>Liki Qin</w:t>
      </w:r>
      <w:r w:rsidRPr="00D014F1">
        <w:rPr>
          <w:rFonts w:cs="Arial" w:hint="eastAsia"/>
          <w:b/>
          <w:sz w:val="20"/>
          <w:szCs w:val="18"/>
          <w:lang w:val="en-CA" w:eastAsia="zh-TW"/>
        </w:rPr>
        <w:t>秦莉佳</w:t>
      </w:r>
      <w:r w:rsidRPr="00D014F1">
        <w:rPr>
          <w:rFonts w:cs="Arial"/>
          <w:b/>
          <w:sz w:val="20"/>
          <w:szCs w:val="18"/>
          <w:lang w:eastAsia="zh-TW"/>
        </w:rPr>
        <w:tab/>
      </w:r>
    </w:p>
    <w:p w14:paraId="4AA38D66" w14:textId="27CF7599" w:rsidR="00DC373A" w:rsidRPr="00D014F1" w:rsidRDefault="00861DC8" w:rsidP="00DC373A">
      <w:pPr>
        <w:tabs>
          <w:tab w:val="left" w:pos="709"/>
          <w:tab w:val="left" w:pos="4500"/>
          <w:tab w:val="left" w:pos="5245"/>
        </w:tabs>
        <w:spacing w:line="264" w:lineRule="auto"/>
        <w:rPr>
          <w:rFonts w:cs="Arial"/>
          <w:color w:val="000000"/>
          <w:sz w:val="20"/>
          <w:szCs w:val="18"/>
          <w:lang w:eastAsia="de-DE"/>
        </w:rPr>
      </w:pPr>
      <w:r w:rsidRPr="006A390A">
        <w:rPr>
          <w:rStyle w:val="AboutandContactBody"/>
          <w:rFonts w:cs="Segoe UI" w:hint="eastAsia"/>
          <w:lang w:eastAsia="zh-TW"/>
        </w:rPr>
        <w:t>電話</w:t>
      </w:r>
      <w:r w:rsidRPr="006A390A">
        <w:rPr>
          <w:rStyle w:val="AboutandContactBody"/>
          <w:rFonts w:cs="Segoe UI"/>
          <w:lang w:eastAsia="zh-TW"/>
        </w:rPr>
        <w:t>: +86 21 2891 4386</w:t>
      </w:r>
      <w:r w:rsidRPr="00D014F1">
        <w:rPr>
          <w:rFonts w:cs="Arial"/>
          <w:sz w:val="20"/>
          <w:szCs w:val="18"/>
          <w:lang w:eastAsia="zh-TW"/>
        </w:rPr>
        <w:tab/>
      </w:r>
    </w:p>
    <w:p w14:paraId="7F7453B9" w14:textId="7227B732" w:rsidR="00DC373A" w:rsidRPr="00A12BF7" w:rsidRDefault="00861DC8" w:rsidP="00DC373A">
      <w:pPr>
        <w:tabs>
          <w:tab w:val="left" w:pos="1080"/>
          <w:tab w:val="left" w:pos="4500"/>
        </w:tabs>
        <w:rPr>
          <w:rFonts w:cs="Arial"/>
          <w:sz w:val="18"/>
          <w:szCs w:val="18"/>
          <w:lang w:val="en-CA"/>
        </w:rPr>
      </w:pPr>
      <w:r w:rsidRPr="00A12BF7">
        <w:rPr>
          <w:rFonts w:cs="Arial" w:hint="eastAsia"/>
          <w:sz w:val="18"/>
          <w:szCs w:val="18"/>
          <w:lang w:eastAsia="zh-TW"/>
        </w:rPr>
        <w:t>郵件</w:t>
      </w:r>
      <w:r w:rsidRPr="00A12BF7">
        <w:rPr>
          <w:rFonts w:cs="Arial"/>
          <w:sz w:val="18"/>
          <w:szCs w:val="18"/>
          <w:lang w:eastAsia="zh-TW"/>
        </w:rPr>
        <w:t xml:space="preserve">: </w:t>
      </w:r>
      <w:hyperlink r:id="rId16" w:history="1">
        <w:r w:rsidRPr="00A12BF7">
          <w:rPr>
            <w:rStyle w:val="Hyperlink"/>
            <w:rFonts w:cs="Arial"/>
            <w:lang w:val="en-CA" w:eastAsia="zh-TW"/>
          </w:rPr>
          <w:t>liki.qin@henkel.com</w:t>
        </w:r>
      </w:hyperlink>
    </w:p>
    <w:p w14:paraId="2CBCDFF6" w14:textId="77777777" w:rsidR="00A15D78" w:rsidRPr="00461D39" w:rsidRDefault="00A15D78" w:rsidP="00DC373A">
      <w:pPr>
        <w:spacing w:line="240" w:lineRule="auto"/>
        <w:jc w:val="left"/>
        <w:rPr>
          <w:rStyle w:val="Hyperlink"/>
          <w:rFonts w:eastAsia="PMingLiU"/>
          <w:vanish/>
          <w:color w:val="9A141B"/>
          <w:szCs w:val="24"/>
          <w:u w:val="none"/>
        </w:rPr>
      </w:pPr>
    </w:p>
    <w:sectPr w:rsidR="00A15D78" w:rsidRPr="00461D39" w:rsidSect="00A41DBE">
      <w:headerReference w:type="even" r:id="rId17"/>
      <w:footerReference w:type="default" r:id="rId18"/>
      <w:headerReference w:type="first" r:id="rId19"/>
      <w:footerReference w:type="first" r:id="rId20"/>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F400" w14:textId="77777777" w:rsidR="0014060D" w:rsidRDefault="0014060D">
      <w:pPr>
        <w:spacing w:line="240" w:lineRule="auto"/>
      </w:pPr>
      <w:r>
        <w:separator/>
      </w:r>
    </w:p>
  </w:endnote>
  <w:endnote w:type="continuationSeparator" w:id="0">
    <w:p w14:paraId="749C8B8C" w14:textId="77777777" w:rsidR="0014060D" w:rsidRDefault="00140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微软雅黑">
    <w:panose1 w:val="020B0503020204020204"/>
    <w:charset w:val="86"/>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1F3A6" w14:textId="77777777" w:rsidR="00CF6F33" w:rsidRPr="006E00F4" w:rsidRDefault="00B07F4F" w:rsidP="00112A28">
    <w:pPr>
      <w:pStyle w:val="Footer"/>
      <w:tabs>
        <w:tab w:val="clear" w:pos="7083"/>
        <w:tab w:val="clear" w:pos="8640"/>
        <w:tab w:val="right" w:pos="9071"/>
      </w:tabs>
      <w:jc w:val="both"/>
    </w:pPr>
    <w:r w:rsidRPr="006E00F4">
      <w:rPr>
        <w:rFonts w:hint="eastAsia"/>
      </w:rPr>
      <w:t>Henkel AG &amp; Co. KGaA</w:t>
    </w:r>
    <w:r w:rsidRPr="006E00F4">
      <w:rPr>
        <w:rFonts w:hint="eastAsia"/>
      </w:rPr>
      <w:tab/>
      <w:t xml:space="preserve">Page </w:t>
    </w:r>
    <w:r w:rsidRPr="006E00F4">
      <w:rPr>
        <w:rFonts w:hint="eastAsia"/>
      </w:rPr>
      <w:fldChar w:fldCharType="begin"/>
    </w:r>
    <w:r w:rsidRPr="006E00F4">
      <w:rPr>
        <w:rFonts w:hint="eastAsia"/>
      </w:rPr>
      <w:instrText xml:space="preserve"> PAGE  \* Arabic  \* MERGEFORMAT </w:instrText>
    </w:r>
    <w:r w:rsidRPr="006E00F4">
      <w:rPr>
        <w:rFonts w:hint="eastAsia"/>
      </w:rPr>
      <w:fldChar w:fldCharType="separate"/>
    </w:r>
    <w:r w:rsidRPr="006E00F4">
      <w:rPr>
        <w:rFonts w:hint="eastAsia"/>
      </w:rPr>
      <w:t>2</w:t>
    </w:r>
    <w:r w:rsidRPr="006E00F4">
      <w:rPr>
        <w:rFonts w:hint="eastAsia"/>
      </w:rPr>
      <w:fldChar w:fldCharType="end"/>
    </w:r>
    <w:r w:rsidRPr="006E00F4">
      <w:rPr>
        <w:rFonts w:hint="eastAsia"/>
      </w:rPr>
      <w:t>/</w:t>
    </w:r>
    <w:r w:rsidRPr="006E00F4">
      <w:rPr>
        <w:rFonts w:hint="eastAsia"/>
      </w:rPr>
      <w:fldChar w:fldCharType="begin"/>
    </w:r>
    <w:r>
      <w:instrText>NUMPAGES  \* Arabic  \* MERGEFORMAT</w:instrText>
    </w:r>
    <w:r w:rsidRPr="006E00F4">
      <w:rPr>
        <w:rFonts w:hint="eastAsia"/>
      </w:rPr>
      <w:fldChar w:fldCharType="separate"/>
    </w:r>
    <w:r w:rsidRPr="006E00F4">
      <w:rPr>
        <w:rFonts w:hint="eastAsia"/>
      </w:rPr>
      <w:t>2</w:t>
    </w:r>
    <w:r w:rsidRPr="006E00F4">
      <w:rPr>
        <w:rFonts w:hint="eastAsia"/>
      </w:rPr>
      <w:fldChar w:fldCharType="end"/>
    </w:r>
  </w:p>
  <w:p w14:paraId="435CE93E" w14:textId="77777777" w:rsidR="00461D39" w:rsidRPr="006E00F4" w:rsidRDefault="00B07F4F" w:rsidP="00112A28">
    <w:pPr>
      <w:pStyle w:val="Footer"/>
      <w:tabs>
        <w:tab w:val="clear" w:pos="7083"/>
        <w:tab w:val="clear" w:pos="8640"/>
        <w:tab w:val="right" w:pos="9071"/>
      </w:tabs>
      <w:jc w:val="both"/>
    </w:pPr>
    <w:r w:rsidRPr="006E00F4">
      <w:rPr>
        <w:rFonts w:hint="eastAsia"/>
      </w:rPr>
      <w:t>汉高股份有限及两合公司</w:t>
    </w:r>
    <w:r w:rsidRPr="006E00F4">
      <w:rPr>
        <w:rFonts w:hint="eastAsia"/>
      </w:rPr>
      <w:tab/>
    </w:r>
    <w:r w:rsidRPr="006E00F4">
      <w:fldChar w:fldCharType="begin"/>
    </w:r>
    <w:r w:rsidRPr="006E00F4">
      <w:instrText xml:space="preserve"> PAGE  \* Arabic  \* MERGEFORMAT </w:instrText>
    </w:r>
    <w:r w:rsidRPr="006E00F4">
      <w:fldChar w:fldCharType="separate"/>
    </w:r>
    <w:r w:rsidRPr="006E00F4">
      <w:rPr>
        <w:rFonts w:hint="eastAsia"/>
      </w:rPr>
      <w:t>19</w:t>
    </w:r>
    <w:r w:rsidRPr="006E00F4">
      <w:fldChar w:fldCharType="end"/>
    </w:r>
    <w:r w:rsidRPr="006E00F4">
      <w:rPr>
        <w:rFonts w:hint="eastAsia"/>
      </w:rPr>
      <w:t>/</w:t>
    </w:r>
    <w:r w:rsidRPr="006E00F4">
      <w:rPr>
        <w:rFonts w:hint="eastAsia"/>
      </w:rPr>
      <w:fldChar w:fldCharType="begin"/>
    </w:r>
    <w:r>
      <w:instrText>NUMPAGES  \* Arabic  \* MERGEFORMAT</w:instrText>
    </w:r>
    <w:r w:rsidRPr="006E00F4">
      <w:rPr>
        <w:rFonts w:hint="eastAsia"/>
      </w:rPr>
      <w:fldChar w:fldCharType="separate"/>
    </w:r>
    <w:r w:rsidRPr="006E00F4">
      <w:rPr>
        <w:rFonts w:hint="eastAsia"/>
      </w:rPr>
      <w:t>20</w:t>
    </w:r>
    <w:r w:rsidRPr="006E00F4">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BC231" w14:textId="77777777" w:rsidR="00CF6F33" w:rsidRPr="006E00F4" w:rsidRDefault="00B07F4F" w:rsidP="00992A11">
    <w:pPr>
      <w:pStyle w:val="Footer"/>
    </w:pPr>
    <w:r w:rsidRPr="006E00F4">
      <w:rPr>
        <w:rFonts w:hint="eastAsia"/>
      </w:rPr>
      <w:drawing>
        <wp:inline distT="0" distB="0" distL="0" distR="0" wp14:anchorId="3A779E79" wp14:editId="1A07568F">
          <wp:extent cx="5422789" cy="548296"/>
          <wp:effectExtent l="0" t="0" r="0" b="0"/>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183408" name="Grafik 1" descr="Ein Bild, das Text, Logo, Schrift, Symbol enthält.&#10;&#10;Automatisch generierte Beschreibung"/>
                  <pic:cNvPicPr/>
                </pic:nvPicPr>
                <pic:blipFill>
                  <a:blip r:embed="rId1"/>
                  <a:srcRect b="19511"/>
                  <a:stretch>
                    <a:fillRect/>
                  </a:stretch>
                </pic:blipFill>
                <pic:spPr bwMode="auto">
                  <a:xfrm>
                    <a:off x="0" y="0"/>
                    <a:ext cx="5422789" cy="548296"/>
                  </a:xfrm>
                  <a:prstGeom prst="rect">
                    <a:avLst/>
                  </a:prstGeom>
                  <a:ln>
                    <a:noFill/>
                  </a:ln>
                  <a:extLst>
                    <a:ext uri="{53640926-AAD7-44D8-BBD7-CCE9431645EC}">
                      <a14:shadowObscured xmlns:a14="http://schemas.microsoft.com/office/drawing/2010/main"/>
                    </a:ext>
                  </a:extLst>
                </pic:spPr>
              </pic:pic>
            </a:graphicData>
          </a:graphic>
        </wp:inline>
      </w:drawing>
    </w:r>
    <w:r w:rsidRPr="006E00F4">
      <w:rPr>
        <w:rFonts w:hint="eastAsia"/>
      </w:rPr>
      <w:t xml:space="preserve">Page </w:t>
    </w:r>
    <w:r w:rsidRPr="006E00F4">
      <w:rPr>
        <w:rFonts w:hint="eastAsia"/>
      </w:rPr>
      <w:fldChar w:fldCharType="begin"/>
    </w:r>
    <w:r w:rsidRPr="006E00F4">
      <w:rPr>
        <w:rFonts w:hint="eastAsia"/>
      </w:rPr>
      <w:instrText xml:space="preserve"> </w:instrText>
    </w:r>
    <w:r w:rsidR="00262C05" w:rsidRPr="006E00F4">
      <w:rPr>
        <w:rFonts w:hint="eastAsia"/>
      </w:rPr>
      <w:instrText>PAGE</w:instrText>
    </w:r>
    <w:r w:rsidRPr="006E00F4">
      <w:rPr>
        <w:rFonts w:hint="eastAsia"/>
      </w:rPr>
      <w:instrText xml:space="preserve">  \* Arabic  \* MERGEFORMAT </w:instrText>
    </w:r>
    <w:r w:rsidRPr="006E00F4">
      <w:rPr>
        <w:rFonts w:hint="eastAsia"/>
      </w:rPr>
      <w:fldChar w:fldCharType="separate"/>
    </w:r>
    <w:r w:rsidR="006A0A3C" w:rsidRPr="006E00F4">
      <w:rPr>
        <w:rFonts w:hint="eastAsia"/>
      </w:rPr>
      <w:t>1</w:t>
    </w:r>
    <w:r w:rsidRPr="006E00F4">
      <w:rPr>
        <w:rFonts w:hint="eastAsia"/>
      </w:rPr>
      <w:fldChar w:fldCharType="end"/>
    </w:r>
    <w:r w:rsidRPr="006E00F4">
      <w:rPr>
        <w:rFonts w:hint="eastAsia"/>
      </w:rPr>
      <w:t>/</w:t>
    </w:r>
    <w:r w:rsidRPr="006E00F4">
      <w:rPr>
        <w:rFonts w:hint="eastAsia"/>
      </w:rPr>
      <w:fldChar w:fldCharType="begin"/>
    </w:r>
    <w:r w:rsidRPr="006E00F4">
      <w:rPr>
        <w:rFonts w:hint="eastAsia"/>
      </w:rPr>
      <w:instrText xml:space="preserve"> </w:instrText>
    </w:r>
    <w:r w:rsidR="00262C05" w:rsidRPr="006E00F4">
      <w:rPr>
        <w:rFonts w:hint="eastAsia"/>
      </w:rPr>
      <w:instrText>NUMPAGES</w:instrText>
    </w:r>
    <w:r w:rsidRPr="006E00F4">
      <w:rPr>
        <w:rFonts w:hint="eastAsia"/>
      </w:rPr>
      <w:instrText xml:space="preserve">  \* Arabic  \* MERGEFORMAT </w:instrText>
    </w:r>
    <w:r w:rsidRPr="006E00F4">
      <w:rPr>
        <w:rFonts w:hint="eastAsia"/>
      </w:rPr>
      <w:fldChar w:fldCharType="separate"/>
    </w:r>
    <w:r w:rsidR="006A0A3C" w:rsidRPr="006E00F4">
      <w:rPr>
        <w:rFonts w:hint="eastAsia"/>
      </w:rPr>
      <w:t>1</w:t>
    </w:r>
    <w:r w:rsidRPr="006E00F4">
      <w:rPr>
        <w:rFonts w:hint="eastAsia"/>
      </w:rPr>
      <w:fldChar w:fldCharType="end"/>
    </w:r>
  </w:p>
  <w:p w14:paraId="7C05D11A" w14:textId="77777777" w:rsidR="00461D39" w:rsidRPr="006E00F4" w:rsidRDefault="00B07F4F" w:rsidP="00992A11">
    <w:pPr>
      <w:pStyle w:val="Footer"/>
    </w:pPr>
    <w:r w:rsidRPr="006E00F4">
      <w:fldChar w:fldCharType="begin"/>
    </w:r>
    <w:r w:rsidRPr="006E00F4">
      <w:instrText xml:space="preserve"> PAGE  \* Arabic  \* MERGEFORMAT </w:instrText>
    </w:r>
    <w:r w:rsidRPr="006E00F4">
      <w:fldChar w:fldCharType="separate"/>
    </w:r>
    <w:r w:rsidRPr="006E00F4">
      <w:t>1</w:t>
    </w:r>
    <w:r w:rsidRPr="006E00F4">
      <w:fldChar w:fldCharType="end"/>
    </w:r>
    <w:r w:rsidRPr="006E00F4">
      <w:rPr>
        <w:rFonts w:hint="eastAsia"/>
      </w:rPr>
      <w:t>/</w:t>
    </w:r>
    <w:r w:rsidR="006E00F4">
      <w:rPr>
        <w:rFonts w:hint="eastAsia"/>
      </w:rPr>
      <w:fldChar w:fldCharType="begin"/>
    </w:r>
    <w:r>
      <w:instrText xml:space="preserve"> NUMPAGES  \* Arabic  \* MERGEFORMAT </w:instrText>
    </w:r>
    <w:r w:rsidR="006E00F4">
      <w:rPr>
        <w:rFonts w:hint="eastAsia"/>
      </w:rPr>
      <w:fldChar w:fldCharType="separate"/>
    </w:r>
    <w:r w:rsidR="006E00F4">
      <w:rPr>
        <w:rFonts w:hint="eastAsia"/>
      </w:rPr>
      <w:t>19</w:t>
    </w:r>
    <w:r w:rsidR="006E00F4">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05B75" w14:textId="77777777" w:rsidR="0014060D" w:rsidRDefault="0014060D">
      <w:pPr>
        <w:spacing w:line="240" w:lineRule="auto"/>
      </w:pPr>
      <w:r>
        <w:separator/>
      </w:r>
    </w:p>
  </w:footnote>
  <w:footnote w:type="continuationSeparator" w:id="0">
    <w:p w14:paraId="40264EF5" w14:textId="77777777" w:rsidR="0014060D" w:rsidRDefault="001406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97BD8"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D0CE" w14:textId="6D25C458" w:rsidR="00CF6F33" w:rsidRPr="006E00F4" w:rsidRDefault="00B07F4F" w:rsidP="00EB46D9">
    <w:pPr>
      <w:pStyle w:val="Header"/>
    </w:pPr>
    <w:r w:rsidRPr="006E00F4">
      <w:rPr>
        <w:rFonts w:hint="eastAsia"/>
        <w:noProof/>
      </w:rPr>
      <w:drawing>
        <wp:anchor distT="0" distB="0" distL="114300" distR="114300" simplePos="0" relativeHeight="251660288" behindDoc="0" locked="1" layoutInCell="1" allowOverlap="1" wp14:anchorId="37E3A4F3" wp14:editId="333BCA2E">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185599"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6E00F4">
      <w:rPr>
        <w:rFonts w:hint="eastAsia"/>
        <w:noProof/>
      </w:rPr>
      <mc:AlternateContent>
        <mc:Choice Requires="wpg">
          <w:drawing>
            <wp:anchor distT="0" distB="0" distL="114300" distR="114300" simplePos="0" relativeHeight="251658240" behindDoc="0" locked="0" layoutInCell="1" allowOverlap="1" wp14:anchorId="17C820A1" wp14:editId="739872C3">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 xmlns:a="http://schemas.openxmlformats.org/drawingml/2006/main">
                <a:graphicData uri="http://schemas.microsoft.com/office/word/2010/wordprocessingGroup">
                  <wpg:wgp>
                    <wpg:cNvGrpSpPr/>
                    <wpg:grpSpPr>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6CF2286"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Pr="006E00F4">
      <w:rPr>
        <w:rFonts w:hint="eastAsia"/>
      </w:rPr>
      <w:t>新闻稿</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FFB0B670">
      <w:start w:val="1"/>
      <w:numFmt w:val="bullet"/>
      <w:pStyle w:val="He01FlietextAufzhlung1Ebene"/>
      <w:lvlText w:val=""/>
      <w:lvlJc w:val="left"/>
      <w:pPr>
        <w:ind w:left="360" w:hanging="360"/>
      </w:pPr>
      <w:rPr>
        <w:rFonts w:ascii="Wingdings" w:hAnsi="Wingdings" w:hint="default"/>
        <w:color w:val="E1000F"/>
      </w:rPr>
    </w:lvl>
    <w:lvl w:ilvl="1" w:tplc="56D2414E">
      <w:start w:val="1"/>
      <w:numFmt w:val="bullet"/>
      <w:lvlText w:val="o"/>
      <w:lvlJc w:val="left"/>
      <w:pPr>
        <w:ind w:left="1440" w:hanging="360"/>
      </w:pPr>
      <w:rPr>
        <w:rFonts w:ascii="Courier New" w:hAnsi="Courier New" w:cs="Courier New" w:hint="default"/>
      </w:rPr>
    </w:lvl>
    <w:lvl w:ilvl="2" w:tplc="9756502E">
      <w:start w:val="1"/>
      <w:numFmt w:val="bullet"/>
      <w:lvlText w:val=""/>
      <w:lvlJc w:val="left"/>
      <w:pPr>
        <w:ind w:left="2160" w:hanging="360"/>
      </w:pPr>
      <w:rPr>
        <w:rFonts w:ascii="Wingdings" w:hAnsi="Wingdings" w:hint="default"/>
      </w:rPr>
    </w:lvl>
    <w:lvl w:ilvl="3" w:tplc="4C5487FC">
      <w:start w:val="1"/>
      <w:numFmt w:val="bullet"/>
      <w:lvlText w:val=""/>
      <w:lvlJc w:val="left"/>
      <w:pPr>
        <w:ind w:left="2880" w:hanging="360"/>
      </w:pPr>
      <w:rPr>
        <w:rFonts w:ascii="Symbol" w:hAnsi="Symbol" w:hint="default"/>
      </w:rPr>
    </w:lvl>
    <w:lvl w:ilvl="4" w:tplc="5BE4C876">
      <w:start w:val="1"/>
      <w:numFmt w:val="bullet"/>
      <w:lvlText w:val="o"/>
      <w:lvlJc w:val="left"/>
      <w:pPr>
        <w:ind w:left="3600" w:hanging="360"/>
      </w:pPr>
      <w:rPr>
        <w:rFonts w:ascii="Courier New" w:hAnsi="Courier New" w:cs="Courier New" w:hint="default"/>
      </w:rPr>
    </w:lvl>
    <w:lvl w:ilvl="5" w:tplc="D46E0E64">
      <w:start w:val="1"/>
      <w:numFmt w:val="bullet"/>
      <w:lvlText w:val=""/>
      <w:lvlJc w:val="left"/>
      <w:pPr>
        <w:ind w:left="4320" w:hanging="360"/>
      </w:pPr>
      <w:rPr>
        <w:rFonts w:ascii="Wingdings" w:hAnsi="Wingdings" w:hint="default"/>
      </w:rPr>
    </w:lvl>
    <w:lvl w:ilvl="6" w:tplc="5784E940">
      <w:start w:val="1"/>
      <w:numFmt w:val="bullet"/>
      <w:lvlText w:val=""/>
      <w:lvlJc w:val="left"/>
      <w:pPr>
        <w:ind w:left="5040" w:hanging="360"/>
      </w:pPr>
      <w:rPr>
        <w:rFonts w:ascii="Symbol" w:hAnsi="Symbol" w:hint="default"/>
      </w:rPr>
    </w:lvl>
    <w:lvl w:ilvl="7" w:tplc="B84CD728">
      <w:start w:val="1"/>
      <w:numFmt w:val="bullet"/>
      <w:lvlText w:val="o"/>
      <w:lvlJc w:val="left"/>
      <w:pPr>
        <w:ind w:left="5760" w:hanging="360"/>
      </w:pPr>
      <w:rPr>
        <w:rFonts w:ascii="Courier New" w:hAnsi="Courier New" w:cs="Courier New" w:hint="default"/>
      </w:rPr>
    </w:lvl>
    <w:lvl w:ilvl="8" w:tplc="AF226134">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5E30DC28">
      <w:start w:val="1"/>
      <w:numFmt w:val="decimal"/>
      <w:lvlText w:val="%1."/>
      <w:lvlJc w:val="left"/>
      <w:pPr>
        <w:ind w:left="720" w:hanging="360"/>
      </w:pPr>
      <w:rPr>
        <w:rFonts w:hint="default"/>
      </w:rPr>
    </w:lvl>
    <w:lvl w:ilvl="1" w:tplc="905C820C" w:tentative="1">
      <w:start w:val="1"/>
      <w:numFmt w:val="lowerLetter"/>
      <w:lvlText w:val="%2."/>
      <w:lvlJc w:val="left"/>
      <w:pPr>
        <w:ind w:left="1440" w:hanging="360"/>
      </w:pPr>
    </w:lvl>
    <w:lvl w:ilvl="2" w:tplc="80E8CBCE" w:tentative="1">
      <w:start w:val="1"/>
      <w:numFmt w:val="lowerRoman"/>
      <w:lvlText w:val="%3."/>
      <w:lvlJc w:val="right"/>
      <w:pPr>
        <w:ind w:left="2160" w:hanging="180"/>
      </w:pPr>
    </w:lvl>
    <w:lvl w:ilvl="3" w:tplc="1DAEEF84" w:tentative="1">
      <w:start w:val="1"/>
      <w:numFmt w:val="decimal"/>
      <w:lvlText w:val="%4."/>
      <w:lvlJc w:val="left"/>
      <w:pPr>
        <w:ind w:left="2880" w:hanging="360"/>
      </w:pPr>
    </w:lvl>
    <w:lvl w:ilvl="4" w:tplc="507CFFA4" w:tentative="1">
      <w:start w:val="1"/>
      <w:numFmt w:val="lowerLetter"/>
      <w:lvlText w:val="%5."/>
      <w:lvlJc w:val="left"/>
      <w:pPr>
        <w:ind w:left="3600" w:hanging="360"/>
      </w:pPr>
    </w:lvl>
    <w:lvl w:ilvl="5" w:tplc="C94AD0F8" w:tentative="1">
      <w:start w:val="1"/>
      <w:numFmt w:val="lowerRoman"/>
      <w:lvlText w:val="%6."/>
      <w:lvlJc w:val="right"/>
      <w:pPr>
        <w:ind w:left="4320" w:hanging="180"/>
      </w:pPr>
    </w:lvl>
    <w:lvl w:ilvl="6" w:tplc="71487734" w:tentative="1">
      <w:start w:val="1"/>
      <w:numFmt w:val="decimal"/>
      <w:lvlText w:val="%7."/>
      <w:lvlJc w:val="left"/>
      <w:pPr>
        <w:ind w:left="5040" w:hanging="360"/>
      </w:pPr>
    </w:lvl>
    <w:lvl w:ilvl="7" w:tplc="9AA655F6" w:tentative="1">
      <w:start w:val="1"/>
      <w:numFmt w:val="lowerLetter"/>
      <w:lvlText w:val="%8."/>
      <w:lvlJc w:val="left"/>
      <w:pPr>
        <w:ind w:left="5760" w:hanging="360"/>
      </w:pPr>
    </w:lvl>
    <w:lvl w:ilvl="8" w:tplc="47A01138"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2A2E7748">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7EF4BFF8" w:tentative="1">
      <w:start w:val="1"/>
      <w:numFmt w:val="bullet"/>
      <w:lvlText w:val="o"/>
      <w:lvlJc w:val="left"/>
      <w:pPr>
        <w:tabs>
          <w:tab w:val="num" w:pos="1440"/>
        </w:tabs>
        <w:ind w:left="1440" w:hanging="360"/>
      </w:pPr>
      <w:rPr>
        <w:rFonts w:ascii="Courier New" w:hAnsi="Courier New" w:cs="Arial" w:hint="default"/>
      </w:rPr>
    </w:lvl>
    <w:lvl w:ilvl="2" w:tplc="3CDE6EFC" w:tentative="1">
      <w:start w:val="1"/>
      <w:numFmt w:val="bullet"/>
      <w:lvlText w:val=""/>
      <w:lvlJc w:val="left"/>
      <w:pPr>
        <w:tabs>
          <w:tab w:val="num" w:pos="2160"/>
        </w:tabs>
        <w:ind w:left="2160" w:hanging="360"/>
      </w:pPr>
      <w:rPr>
        <w:rFonts w:ascii="Wingdings" w:hAnsi="Wingdings" w:hint="default"/>
      </w:rPr>
    </w:lvl>
    <w:lvl w:ilvl="3" w:tplc="23F248D6" w:tentative="1">
      <w:start w:val="1"/>
      <w:numFmt w:val="bullet"/>
      <w:lvlText w:val=""/>
      <w:lvlJc w:val="left"/>
      <w:pPr>
        <w:tabs>
          <w:tab w:val="num" w:pos="2880"/>
        </w:tabs>
        <w:ind w:left="2880" w:hanging="360"/>
      </w:pPr>
      <w:rPr>
        <w:rFonts w:ascii="Symbol" w:hAnsi="Symbol" w:hint="default"/>
      </w:rPr>
    </w:lvl>
    <w:lvl w:ilvl="4" w:tplc="A0E2A36E" w:tentative="1">
      <w:start w:val="1"/>
      <w:numFmt w:val="bullet"/>
      <w:lvlText w:val="o"/>
      <w:lvlJc w:val="left"/>
      <w:pPr>
        <w:tabs>
          <w:tab w:val="num" w:pos="3600"/>
        </w:tabs>
        <w:ind w:left="3600" w:hanging="360"/>
      </w:pPr>
      <w:rPr>
        <w:rFonts w:ascii="Courier New" w:hAnsi="Courier New" w:cs="Arial" w:hint="default"/>
      </w:rPr>
    </w:lvl>
    <w:lvl w:ilvl="5" w:tplc="424A88FA" w:tentative="1">
      <w:start w:val="1"/>
      <w:numFmt w:val="bullet"/>
      <w:lvlText w:val=""/>
      <w:lvlJc w:val="left"/>
      <w:pPr>
        <w:tabs>
          <w:tab w:val="num" w:pos="4320"/>
        </w:tabs>
        <w:ind w:left="4320" w:hanging="360"/>
      </w:pPr>
      <w:rPr>
        <w:rFonts w:ascii="Wingdings" w:hAnsi="Wingdings" w:hint="default"/>
      </w:rPr>
    </w:lvl>
    <w:lvl w:ilvl="6" w:tplc="8126FA46" w:tentative="1">
      <w:start w:val="1"/>
      <w:numFmt w:val="bullet"/>
      <w:lvlText w:val=""/>
      <w:lvlJc w:val="left"/>
      <w:pPr>
        <w:tabs>
          <w:tab w:val="num" w:pos="5040"/>
        </w:tabs>
        <w:ind w:left="5040" w:hanging="360"/>
      </w:pPr>
      <w:rPr>
        <w:rFonts w:ascii="Symbol" w:hAnsi="Symbol" w:hint="default"/>
      </w:rPr>
    </w:lvl>
    <w:lvl w:ilvl="7" w:tplc="1178A6DE" w:tentative="1">
      <w:start w:val="1"/>
      <w:numFmt w:val="bullet"/>
      <w:lvlText w:val="o"/>
      <w:lvlJc w:val="left"/>
      <w:pPr>
        <w:tabs>
          <w:tab w:val="num" w:pos="5760"/>
        </w:tabs>
        <w:ind w:left="5760" w:hanging="360"/>
      </w:pPr>
      <w:rPr>
        <w:rFonts w:ascii="Courier New" w:hAnsi="Courier New" w:cs="Arial" w:hint="default"/>
      </w:rPr>
    </w:lvl>
    <w:lvl w:ilvl="8" w:tplc="2F4031D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4BCEB754">
      <w:start w:val="1"/>
      <w:numFmt w:val="bullet"/>
      <w:lvlText w:val=""/>
      <w:lvlJc w:val="left"/>
      <w:pPr>
        <w:ind w:left="1429" w:hanging="360"/>
      </w:pPr>
      <w:rPr>
        <w:rFonts w:ascii="Symbol" w:hAnsi="Symbol" w:hint="default"/>
      </w:rPr>
    </w:lvl>
    <w:lvl w:ilvl="1" w:tplc="942AA76E" w:tentative="1">
      <w:start w:val="1"/>
      <w:numFmt w:val="bullet"/>
      <w:lvlText w:val="o"/>
      <w:lvlJc w:val="left"/>
      <w:pPr>
        <w:ind w:left="2149" w:hanging="360"/>
      </w:pPr>
      <w:rPr>
        <w:rFonts w:ascii="Courier New" w:hAnsi="Courier New" w:cs="Courier New" w:hint="default"/>
      </w:rPr>
    </w:lvl>
    <w:lvl w:ilvl="2" w:tplc="BB623A1C" w:tentative="1">
      <w:start w:val="1"/>
      <w:numFmt w:val="bullet"/>
      <w:lvlText w:val=""/>
      <w:lvlJc w:val="left"/>
      <w:pPr>
        <w:ind w:left="2869" w:hanging="360"/>
      </w:pPr>
      <w:rPr>
        <w:rFonts w:ascii="Wingdings" w:hAnsi="Wingdings" w:hint="default"/>
      </w:rPr>
    </w:lvl>
    <w:lvl w:ilvl="3" w:tplc="8E9EB1F4" w:tentative="1">
      <w:start w:val="1"/>
      <w:numFmt w:val="bullet"/>
      <w:lvlText w:val=""/>
      <w:lvlJc w:val="left"/>
      <w:pPr>
        <w:ind w:left="3589" w:hanging="360"/>
      </w:pPr>
      <w:rPr>
        <w:rFonts w:ascii="Symbol" w:hAnsi="Symbol" w:hint="default"/>
      </w:rPr>
    </w:lvl>
    <w:lvl w:ilvl="4" w:tplc="84FADC40" w:tentative="1">
      <w:start w:val="1"/>
      <w:numFmt w:val="bullet"/>
      <w:lvlText w:val="o"/>
      <w:lvlJc w:val="left"/>
      <w:pPr>
        <w:ind w:left="4309" w:hanging="360"/>
      </w:pPr>
      <w:rPr>
        <w:rFonts w:ascii="Courier New" w:hAnsi="Courier New" w:cs="Courier New" w:hint="default"/>
      </w:rPr>
    </w:lvl>
    <w:lvl w:ilvl="5" w:tplc="0BFAFC22" w:tentative="1">
      <w:start w:val="1"/>
      <w:numFmt w:val="bullet"/>
      <w:lvlText w:val=""/>
      <w:lvlJc w:val="left"/>
      <w:pPr>
        <w:ind w:left="5029" w:hanging="360"/>
      </w:pPr>
      <w:rPr>
        <w:rFonts w:ascii="Wingdings" w:hAnsi="Wingdings" w:hint="default"/>
      </w:rPr>
    </w:lvl>
    <w:lvl w:ilvl="6" w:tplc="6512E290" w:tentative="1">
      <w:start w:val="1"/>
      <w:numFmt w:val="bullet"/>
      <w:lvlText w:val=""/>
      <w:lvlJc w:val="left"/>
      <w:pPr>
        <w:ind w:left="5749" w:hanging="360"/>
      </w:pPr>
      <w:rPr>
        <w:rFonts w:ascii="Symbol" w:hAnsi="Symbol" w:hint="default"/>
      </w:rPr>
    </w:lvl>
    <w:lvl w:ilvl="7" w:tplc="58726EA8" w:tentative="1">
      <w:start w:val="1"/>
      <w:numFmt w:val="bullet"/>
      <w:lvlText w:val="o"/>
      <w:lvlJc w:val="left"/>
      <w:pPr>
        <w:ind w:left="6469" w:hanging="360"/>
      </w:pPr>
      <w:rPr>
        <w:rFonts w:ascii="Courier New" w:hAnsi="Courier New" w:cs="Courier New" w:hint="default"/>
      </w:rPr>
    </w:lvl>
    <w:lvl w:ilvl="8" w:tplc="9558D88E"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A6048C36">
      <w:start w:val="1"/>
      <w:numFmt w:val="bullet"/>
      <w:lvlText w:val=""/>
      <w:lvlJc w:val="left"/>
      <w:pPr>
        <w:ind w:left="720" w:hanging="360"/>
      </w:pPr>
      <w:rPr>
        <w:rFonts w:ascii="Wingdings" w:hAnsi="Wingdings" w:hint="default"/>
      </w:rPr>
    </w:lvl>
    <w:lvl w:ilvl="1" w:tplc="55224D42" w:tentative="1">
      <w:start w:val="1"/>
      <w:numFmt w:val="bullet"/>
      <w:lvlText w:val="o"/>
      <w:lvlJc w:val="left"/>
      <w:pPr>
        <w:ind w:left="1440" w:hanging="360"/>
      </w:pPr>
      <w:rPr>
        <w:rFonts w:ascii="Courier New" w:hAnsi="Courier New" w:cs="Courier New" w:hint="default"/>
      </w:rPr>
    </w:lvl>
    <w:lvl w:ilvl="2" w:tplc="5CD4A314" w:tentative="1">
      <w:start w:val="1"/>
      <w:numFmt w:val="bullet"/>
      <w:lvlText w:val=""/>
      <w:lvlJc w:val="left"/>
      <w:pPr>
        <w:ind w:left="2160" w:hanging="360"/>
      </w:pPr>
      <w:rPr>
        <w:rFonts w:ascii="Wingdings" w:hAnsi="Wingdings" w:hint="default"/>
      </w:rPr>
    </w:lvl>
    <w:lvl w:ilvl="3" w:tplc="B88EACBE" w:tentative="1">
      <w:start w:val="1"/>
      <w:numFmt w:val="bullet"/>
      <w:lvlText w:val=""/>
      <w:lvlJc w:val="left"/>
      <w:pPr>
        <w:ind w:left="2880" w:hanging="360"/>
      </w:pPr>
      <w:rPr>
        <w:rFonts w:ascii="Symbol" w:hAnsi="Symbol" w:hint="default"/>
      </w:rPr>
    </w:lvl>
    <w:lvl w:ilvl="4" w:tplc="A7A4C4EA" w:tentative="1">
      <w:start w:val="1"/>
      <w:numFmt w:val="bullet"/>
      <w:lvlText w:val="o"/>
      <w:lvlJc w:val="left"/>
      <w:pPr>
        <w:ind w:left="3600" w:hanging="360"/>
      </w:pPr>
      <w:rPr>
        <w:rFonts w:ascii="Courier New" w:hAnsi="Courier New" w:cs="Courier New" w:hint="default"/>
      </w:rPr>
    </w:lvl>
    <w:lvl w:ilvl="5" w:tplc="EFAC5746" w:tentative="1">
      <w:start w:val="1"/>
      <w:numFmt w:val="bullet"/>
      <w:lvlText w:val=""/>
      <w:lvlJc w:val="left"/>
      <w:pPr>
        <w:ind w:left="4320" w:hanging="360"/>
      </w:pPr>
      <w:rPr>
        <w:rFonts w:ascii="Wingdings" w:hAnsi="Wingdings" w:hint="default"/>
      </w:rPr>
    </w:lvl>
    <w:lvl w:ilvl="6" w:tplc="A1CA50FA" w:tentative="1">
      <w:start w:val="1"/>
      <w:numFmt w:val="bullet"/>
      <w:lvlText w:val=""/>
      <w:lvlJc w:val="left"/>
      <w:pPr>
        <w:ind w:left="5040" w:hanging="360"/>
      </w:pPr>
      <w:rPr>
        <w:rFonts w:ascii="Symbol" w:hAnsi="Symbol" w:hint="default"/>
      </w:rPr>
    </w:lvl>
    <w:lvl w:ilvl="7" w:tplc="F1DAF090" w:tentative="1">
      <w:start w:val="1"/>
      <w:numFmt w:val="bullet"/>
      <w:lvlText w:val="o"/>
      <w:lvlJc w:val="left"/>
      <w:pPr>
        <w:ind w:left="5760" w:hanging="360"/>
      </w:pPr>
      <w:rPr>
        <w:rFonts w:ascii="Courier New" w:hAnsi="Courier New" w:cs="Courier New" w:hint="default"/>
      </w:rPr>
    </w:lvl>
    <w:lvl w:ilvl="8" w:tplc="8596307A"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3EA815F4">
      <w:start w:val="1"/>
      <w:numFmt w:val="bullet"/>
      <w:lvlText w:val=""/>
      <w:lvlJc w:val="left"/>
      <w:pPr>
        <w:ind w:left="720" w:hanging="360"/>
      </w:pPr>
      <w:rPr>
        <w:rFonts w:ascii="Wingdings" w:hAnsi="Wingdings" w:hint="default"/>
        <w:color w:val="E1000F"/>
      </w:rPr>
    </w:lvl>
    <w:lvl w:ilvl="1" w:tplc="75DA8970" w:tentative="1">
      <w:start w:val="1"/>
      <w:numFmt w:val="bullet"/>
      <w:lvlText w:val="o"/>
      <w:lvlJc w:val="left"/>
      <w:pPr>
        <w:ind w:left="1440" w:hanging="360"/>
      </w:pPr>
      <w:rPr>
        <w:rFonts w:ascii="Courier New" w:hAnsi="Courier New" w:cs="Courier New" w:hint="default"/>
      </w:rPr>
    </w:lvl>
    <w:lvl w:ilvl="2" w:tplc="33C6AAC8" w:tentative="1">
      <w:start w:val="1"/>
      <w:numFmt w:val="bullet"/>
      <w:lvlText w:val=""/>
      <w:lvlJc w:val="left"/>
      <w:pPr>
        <w:ind w:left="2160" w:hanging="360"/>
      </w:pPr>
      <w:rPr>
        <w:rFonts w:ascii="Wingdings" w:hAnsi="Wingdings" w:hint="default"/>
      </w:rPr>
    </w:lvl>
    <w:lvl w:ilvl="3" w:tplc="57B2CFE4" w:tentative="1">
      <w:start w:val="1"/>
      <w:numFmt w:val="bullet"/>
      <w:lvlText w:val=""/>
      <w:lvlJc w:val="left"/>
      <w:pPr>
        <w:ind w:left="2880" w:hanging="360"/>
      </w:pPr>
      <w:rPr>
        <w:rFonts w:ascii="Symbol" w:hAnsi="Symbol" w:hint="default"/>
      </w:rPr>
    </w:lvl>
    <w:lvl w:ilvl="4" w:tplc="0154757E" w:tentative="1">
      <w:start w:val="1"/>
      <w:numFmt w:val="bullet"/>
      <w:lvlText w:val="o"/>
      <w:lvlJc w:val="left"/>
      <w:pPr>
        <w:ind w:left="3600" w:hanging="360"/>
      </w:pPr>
      <w:rPr>
        <w:rFonts w:ascii="Courier New" w:hAnsi="Courier New" w:cs="Courier New" w:hint="default"/>
      </w:rPr>
    </w:lvl>
    <w:lvl w:ilvl="5" w:tplc="DF56889A" w:tentative="1">
      <w:start w:val="1"/>
      <w:numFmt w:val="bullet"/>
      <w:lvlText w:val=""/>
      <w:lvlJc w:val="left"/>
      <w:pPr>
        <w:ind w:left="4320" w:hanging="360"/>
      </w:pPr>
      <w:rPr>
        <w:rFonts w:ascii="Wingdings" w:hAnsi="Wingdings" w:hint="default"/>
      </w:rPr>
    </w:lvl>
    <w:lvl w:ilvl="6" w:tplc="1944CC42" w:tentative="1">
      <w:start w:val="1"/>
      <w:numFmt w:val="bullet"/>
      <w:lvlText w:val=""/>
      <w:lvlJc w:val="left"/>
      <w:pPr>
        <w:ind w:left="5040" w:hanging="360"/>
      </w:pPr>
      <w:rPr>
        <w:rFonts w:ascii="Symbol" w:hAnsi="Symbol" w:hint="default"/>
      </w:rPr>
    </w:lvl>
    <w:lvl w:ilvl="7" w:tplc="7F2C5456" w:tentative="1">
      <w:start w:val="1"/>
      <w:numFmt w:val="bullet"/>
      <w:lvlText w:val="o"/>
      <w:lvlJc w:val="left"/>
      <w:pPr>
        <w:ind w:left="5760" w:hanging="360"/>
      </w:pPr>
      <w:rPr>
        <w:rFonts w:ascii="Courier New" w:hAnsi="Courier New" w:cs="Courier New" w:hint="default"/>
      </w:rPr>
    </w:lvl>
    <w:lvl w:ilvl="8" w:tplc="D46A9F5E"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19402942"/>
    <w:lvl w:ilvl="0" w:tplc="889061A2">
      <w:start w:val="1"/>
      <w:numFmt w:val="bullet"/>
      <w:pStyle w:val="He01FlietextAufzhlung2Ebene"/>
      <w:lvlText w:val="–"/>
      <w:lvlJc w:val="left"/>
      <w:pPr>
        <w:ind w:left="700" w:hanging="360"/>
      </w:pPr>
      <w:rPr>
        <w:rFonts w:ascii="Segoe UI" w:hAnsi="Segoe UI" w:hint="default"/>
        <w:color w:val="E1000F"/>
      </w:rPr>
    </w:lvl>
    <w:lvl w:ilvl="1" w:tplc="DF346990" w:tentative="1">
      <w:start w:val="1"/>
      <w:numFmt w:val="bullet"/>
      <w:lvlText w:val="o"/>
      <w:lvlJc w:val="left"/>
      <w:pPr>
        <w:ind w:left="1780" w:hanging="360"/>
      </w:pPr>
      <w:rPr>
        <w:rFonts w:ascii="Courier New" w:hAnsi="Courier New" w:cs="Courier New" w:hint="default"/>
      </w:rPr>
    </w:lvl>
    <w:lvl w:ilvl="2" w:tplc="35044110" w:tentative="1">
      <w:start w:val="1"/>
      <w:numFmt w:val="bullet"/>
      <w:lvlText w:val=""/>
      <w:lvlJc w:val="left"/>
      <w:pPr>
        <w:ind w:left="2500" w:hanging="360"/>
      </w:pPr>
      <w:rPr>
        <w:rFonts w:ascii="Wingdings" w:hAnsi="Wingdings" w:hint="default"/>
      </w:rPr>
    </w:lvl>
    <w:lvl w:ilvl="3" w:tplc="56043DC0" w:tentative="1">
      <w:start w:val="1"/>
      <w:numFmt w:val="bullet"/>
      <w:lvlText w:val=""/>
      <w:lvlJc w:val="left"/>
      <w:pPr>
        <w:ind w:left="3220" w:hanging="360"/>
      </w:pPr>
      <w:rPr>
        <w:rFonts w:ascii="Symbol" w:hAnsi="Symbol" w:hint="default"/>
      </w:rPr>
    </w:lvl>
    <w:lvl w:ilvl="4" w:tplc="5A40C234" w:tentative="1">
      <w:start w:val="1"/>
      <w:numFmt w:val="bullet"/>
      <w:lvlText w:val="o"/>
      <w:lvlJc w:val="left"/>
      <w:pPr>
        <w:ind w:left="3940" w:hanging="360"/>
      </w:pPr>
      <w:rPr>
        <w:rFonts w:ascii="Courier New" w:hAnsi="Courier New" w:cs="Courier New" w:hint="default"/>
      </w:rPr>
    </w:lvl>
    <w:lvl w:ilvl="5" w:tplc="D5966696" w:tentative="1">
      <w:start w:val="1"/>
      <w:numFmt w:val="bullet"/>
      <w:lvlText w:val=""/>
      <w:lvlJc w:val="left"/>
      <w:pPr>
        <w:ind w:left="4660" w:hanging="360"/>
      </w:pPr>
      <w:rPr>
        <w:rFonts w:ascii="Wingdings" w:hAnsi="Wingdings" w:hint="default"/>
      </w:rPr>
    </w:lvl>
    <w:lvl w:ilvl="6" w:tplc="0FDA6BD6" w:tentative="1">
      <w:start w:val="1"/>
      <w:numFmt w:val="bullet"/>
      <w:lvlText w:val=""/>
      <w:lvlJc w:val="left"/>
      <w:pPr>
        <w:ind w:left="5380" w:hanging="360"/>
      </w:pPr>
      <w:rPr>
        <w:rFonts w:ascii="Symbol" w:hAnsi="Symbol" w:hint="default"/>
      </w:rPr>
    </w:lvl>
    <w:lvl w:ilvl="7" w:tplc="60D68874" w:tentative="1">
      <w:start w:val="1"/>
      <w:numFmt w:val="bullet"/>
      <w:lvlText w:val="o"/>
      <w:lvlJc w:val="left"/>
      <w:pPr>
        <w:ind w:left="6100" w:hanging="360"/>
      </w:pPr>
      <w:rPr>
        <w:rFonts w:ascii="Courier New" w:hAnsi="Courier New" w:cs="Courier New" w:hint="default"/>
      </w:rPr>
    </w:lvl>
    <w:lvl w:ilvl="8" w:tplc="4378B438"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A3268354">
      <w:start w:val="1"/>
      <w:numFmt w:val="bullet"/>
      <w:lvlText w:val=""/>
      <w:lvlJc w:val="left"/>
      <w:pPr>
        <w:ind w:left="1004" w:hanging="360"/>
      </w:pPr>
      <w:rPr>
        <w:rFonts w:ascii="Wingdings" w:hAnsi="Wingdings" w:hint="default"/>
        <w:sz w:val="24"/>
        <w:szCs w:val="24"/>
      </w:rPr>
    </w:lvl>
    <w:lvl w:ilvl="1" w:tplc="915A9A7E" w:tentative="1">
      <w:start w:val="1"/>
      <w:numFmt w:val="bullet"/>
      <w:lvlText w:val="o"/>
      <w:lvlJc w:val="left"/>
      <w:pPr>
        <w:ind w:left="1724" w:hanging="360"/>
      </w:pPr>
      <w:rPr>
        <w:rFonts w:ascii="Courier New" w:hAnsi="Courier New" w:cs="Courier New" w:hint="default"/>
      </w:rPr>
    </w:lvl>
    <w:lvl w:ilvl="2" w:tplc="81FE8D76" w:tentative="1">
      <w:start w:val="1"/>
      <w:numFmt w:val="bullet"/>
      <w:lvlText w:val=""/>
      <w:lvlJc w:val="left"/>
      <w:pPr>
        <w:ind w:left="2444" w:hanging="360"/>
      </w:pPr>
      <w:rPr>
        <w:rFonts w:ascii="Wingdings" w:hAnsi="Wingdings" w:hint="default"/>
      </w:rPr>
    </w:lvl>
    <w:lvl w:ilvl="3" w:tplc="6E647FC0" w:tentative="1">
      <w:start w:val="1"/>
      <w:numFmt w:val="bullet"/>
      <w:lvlText w:val=""/>
      <w:lvlJc w:val="left"/>
      <w:pPr>
        <w:ind w:left="3164" w:hanging="360"/>
      </w:pPr>
      <w:rPr>
        <w:rFonts w:ascii="Symbol" w:hAnsi="Symbol" w:hint="default"/>
      </w:rPr>
    </w:lvl>
    <w:lvl w:ilvl="4" w:tplc="6BC6FEFE" w:tentative="1">
      <w:start w:val="1"/>
      <w:numFmt w:val="bullet"/>
      <w:lvlText w:val="o"/>
      <w:lvlJc w:val="left"/>
      <w:pPr>
        <w:ind w:left="3884" w:hanging="360"/>
      </w:pPr>
      <w:rPr>
        <w:rFonts w:ascii="Courier New" w:hAnsi="Courier New" w:cs="Courier New" w:hint="default"/>
      </w:rPr>
    </w:lvl>
    <w:lvl w:ilvl="5" w:tplc="04C07C34" w:tentative="1">
      <w:start w:val="1"/>
      <w:numFmt w:val="bullet"/>
      <w:lvlText w:val=""/>
      <w:lvlJc w:val="left"/>
      <w:pPr>
        <w:ind w:left="4604" w:hanging="360"/>
      </w:pPr>
      <w:rPr>
        <w:rFonts w:ascii="Wingdings" w:hAnsi="Wingdings" w:hint="default"/>
      </w:rPr>
    </w:lvl>
    <w:lvl w:ilvl="6" w:tplc="7C2E785C" w:tentative="1">
      <w:start w:val="1"/>
      <w:numFmt w:val="bullet"/>
      <w:lvlText w:val=""/>
      <w:lvlJc w:val="left"/>
      <w:pPr>
        <w:ind w:left="5324" w:hanging="360"/>
      </w:pPr>
      <w:rPr>
        <w:rFonts w:ascii="Symbol" w:hAnsi="Symbol" w:hint="default"/>
      </w:rPr>
    </w:lvl>
    <w:lvl w:ilvl="7" w:tplc="DADE0F3C" w:tentative="1">
      <w:start w:val="1"/>
      <w:numFmt w:val="bullet"/>
      <w:lvlText w:val="o"/>
      <w:lvlJc w:val="left"/>
      <w:pPr>
        <w:ind w:left="6044" w:hanging="360"/>
      </w:pPr>
      <w:rPr>
        <w:rFonts w:ascii="Courier New" w:hAnsi="Courier New" w:cs="Courier New" w:hint="default"/>
      </w:rPr>
    </w:lvl>
    <w:lvl w:ilvl="8" w:tplc="D2721120"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B032E638">
      <w:start w:val="1"/>
      <w:numFmt w:val="bullet"/>
      <w:lvlText w:val=""/>
      <w:lvlJc w:val="left"/>
      <w:pPr>
        <w:ind w:left="360" w:hanging="360"/>
      </w:pPr>
      <w:rPr>
        <w:rFonts w:ascii="Wingdings" w:hAnsi="Wingdings" w:hint="default"/>
        <w:color w:val="E1000F"/>
      </w:rPr>
    </w:lvl>
    <w:lvl w:ilvl="1" w:tplc="8AE05680">
      <w:start w:val="1"/>
      <w:numFmt w:val="bullet"/>
      <w:lvlText w:val=""/>
      <w:lvlJc w:val="left"/>
      <w:pPr>
        <w:ind w:left="1440" w:hanging="360"/>
      </w:pPr>
      <w:rPr>
        <w:rFonts w:ascii="Wingdings" w:hAnsi="Wingdings" w:hint="default"/>
      </w:rPr>
    </w:lvl>
    <w:lvl w:ilvl="2" w:tplc="BD1C714E">
      <w:start w:val="1"/>
      <w:numFmt w:val="bullet"/>
      <w:lvlText w:val=""/>
      <w:lvlJc w:val="left"/>
      <w:pPr>
        <w:ind w:left="2160" w:hanging="360"/>
      </w:pPr>
      <w:rPr>
        <w:rFonts w:ascii="Wingdings" w:hAnsi="Wingdings" w:hint="default"/>
      </w:rPr>
    </w:lvl>
    <w:lvl w:ilvl="3" w:tplc="5548190E">
      <w:start w:val="1"/>
      <w:numFmt w:val="bullet"/>
      <w:lvlText w:val=""/>
      <w:lvlJc w:val="left"/>
      <w:pPr>
        <w:ind w:left="2880" w:hanging="360"/>
      </w:pPr>
      <w:rPr>
        <w:rFonts w:ascii="Symbol" w:hAnsi="Symbol" w:hint="default"/>
      </w:rPr>
    </w:lvl>
    <w:lvl w:ilvl="4" w:tplc="A6B86814">
      <w:start w:val="1"/>
      <w:numFmt w:val="bullet"/>
      <w:lvlText w:val="o"/>
      <w:lvlJc w:val="left"/>
      <w:pPr>
        <w:ind w:left="3600" w:hanging="360"/>
      </w:pPr>
      <w:rPr>
        <w:rFonts w:ascii="Courier New" w:hAnsi="Courier New" w:cs="Courier New" w:hint="default"/>
      </w:rPr>
    </w:lvl>
    <w:lvl w:ilvl="5" w:tplc="3D8C7D12">
      <w:start w:val="1"/>
      <w:numFmt w:val="bullet"/>
      <w:lvlText w:val=""/>
      <w:lvlJc w:val="left"/>
      <w:pPr>
        <w:ind w:left="4320" w:hanging="360"/>
      </w:pPr>
      <w:rPr>
        <w:rFonts w:ascii="Wingdings" w:hAnsi="Wingdings" w:hint="default"/>
      </w:rPr>
    </w:lvl>
    <w:lvl w:ilvl="6" w:tplc="A996898C">
      <w:start w:val="1"/>
      <w:numFmt w:val="bullet"/>
      <w:lvlText w:val=""/>
      <w:lvlJc w:val="left"/>
      <w:pPr>
        <w:ind w:left="5040" w:hanging="360"/>
      </w:pPr>
      <w:rPr>
        <w:rFonts w:ascii="Symbol" w:hAnsi="Symbol" w:hint="default"/>
      </w:rPr>
    </w:lvl>
    <w:lvl w:ilvl="7" w:tplc="2400787C">
      <w:start w:val="1"/>
      <w:numFmt w:val="bullet"/>
      <w:lvlText w:val="o"/>
      <w:lvlJc w:val="left"/>
      <w:pPr>
        <w:ind w:left="5760" w:hanging="360"/>
      </w:pPr>
      <w:rPr>
        <w:rFonts w:ascii="Courier New" w:hAnsi="Courier New" w:cs="Courier New" w:hint="default"/>
      </w:rPr>
    </w:lvl>
    <w:lvl w:ilvl="8" w:tplc="BBAC5602">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6EAA1214">
      <w:start w:val="1"/>
      <w:numFmt w:val="bullet"/>
      <w:lvlText w:val=""/>
      <w:lvlJc w:val="left"/>
      <w:pPr>
        <w:ind w:left="360" w:hanging="360"/>
      </w:pPr>
      <w:rPr>
        <w:rFonts w:ascii="Wingdings" w:hAnsi="Wingdings" w:hint="default"/>
        <w:color w:val="E1000F"/>
        <w:sz w:val="24"/>
        <w:szCs w:val="24"/>
      </w:rPr>
    </w:lvl>
    <w:lvl w:ilvl="1" w:tplc="C8CE1630">
      <w:numFmt w:val="bullet"/>
      <w:lvlText w:val="-"/>
      <w:lvlJc w:val="left"/>
      <w:pPr>
        <w:ind w:left="1080" w:hanging="360"/>
      </w:pPr>
      <w:rPr>
        <w:rFonts w:ascii="Arial" w:hAnsi="Arial" w:hint="default"/>
        <w:color w:val="FF0000"/>
      </w:rPr>
    </w:lvl>
    <w:lvl w:ilvl="2" w:tplc="8A30D79E" w:tentative="1">
      <w:start w:val="1"/>
      <w:numFmt w:val="bullet"/>
      <w:lvlText w:val=""/>
      <w:lvlJc w:val="left"/>
      <w:pPr>
        <w:ind w:left="1800" w:hanging="360"/>
      </w:pPr>
      <w:rPr>
        <w:rFonts w:ascii="Wingdings" w:hAnsi="Wingdings" w:cs="Wingdings" w:hint="default"/>
      </w:rPr>
    </w:lvl>
    <w:lvl w:ilvl="3" w:tplc="8B7444E0" w:tentative="1">
      <w:start w:val="1"/>
      <w:numFmt w:val="bullet"/>
      <w:lvlText w:val=""/>
      <w:lvlJc w:val="left"/>
      <w:pPr>
        <w:ind w:left="2520" w:hanging="360"/>
      </w:pPr>
      <w:rPr>
        <w:rFonts w:ascii="Symbol" w:hAnsi="Symbol" w:cs="Symbol" w:hint="default"/>
      </w:rPr>
    </w:lvl>
    <w:lvl w:ilvl="4" w:tplc="A5F433EA" w:tentative="1">
      <w:start w:val="1"/>
      <w:numFmt w:val="bullet"/>
      <w:lvlText w:val="o"/>
      <w:lvlJc w:val="left"/>
      <w:pPr>
        <w:ind w:left="3240" w:hanging="360"/>
      </w:pPr>
      <w:rPr>
        <w:rFonts w:ascii="Courier New" w:hAnsi="Courier New" w:cs="Courier New" w:hint="default"/>
      </w:rPr>
    </w:lvl>
    <w:lvl w:ilvl="5" w:tplc="046C0CDA" w:tentative="1">
      <w:start w:val="1"/>
      <w:numFmt w:val="bullet"/>
      <w:lvlText w:val=""/>
      <w:lvlJc w:val="left"/>
      <w:pPr>
        <w:ind w:left="3960" w:hanging="360"/>
      </w:pPr>
      <w:rPr>
        <w:rFonts w:ascii="Wingdings" w:hAnsi="Wingdings" w:cs="Wingdings" w:hint="default"/>
      </w:rPr>
    </w:lvl>
    <w:lvl w:ilvl="6" w:tplc="4D5E94E4" w:tentative="1">
      <w:start w:val="1"/>
      <w:numFmt w:val="bullet"/>
      <w:lvlText w:val=""/>
      <w:lvlJc w:val="left"/>
      <w:pPr>
        <w:ind w:left="4680" w:hanging="360"/>
      </w:pPr>
      <w:rPr>
        <w:rFonts w:ascii="Symbol" w:hAnsi="Symbol" w:cs="Symbol" w:hint="default"/>
      </w:rPr>
    </w:lvl>
    <w:lvl w:ilvl="7" w:tplc="7E3413FC" w:tentative="1">
      <w:start w:val="1"/>
      <w:numFmt w:val="bullet"/>
      <w:lvlText w:val="o"/>
      <w:lvlJc w:val="left"/>
      <w:pPr>
        <w:ind w:left="5400" w:hanging="360"/>
      </w:pPr>
      <w:rPr>
        <w:rFonts w:ascii="Courier New" w:hAnsi="Courier New" w:cs="Courier New" w:hint="default"/>
      </w:rPr>
    </w:lvl>
    <w:lvl w:ilvl="8" w:tplc="EEA26536"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8A266210">
      <w:start w:val="1"/>
      <w:numFmt w:val="bullet"/>
      <w:lvlText w:val=""/>
      <w:lvlJc w:val="left"/>
      <w:pPr>
        <w:ind w:left="1004" w:hanging="360"/>
      </w:pPr>
      <w:rPr>
        <w:rFonts w:ascii="Wingdings" w:hAnsi="Wingdings" w:hint="default"/>
      </w:rPr>
    </w:lvl>
    <w:lvl w:ilvl="1" w:tplc="80F809E0" w:tentative="1">
      <w:start w:val="1"/>
      <w:numFmt w:val="bullet"/>
      <w:lvlText w:val="o"/>
      <w:lvlJc w:val="left"/>
      <w:pPr>
        <w:ind w:left="1724" w:hanging="360"/>
      </w:pPr>
      <w:rPr>
        <w:rFonts w:ascii="Courier New" w:hAnsi="Courier New" w:cs="Courier New" w:hint="default"/>
      </w:rPr>
    </w:lvl>
    <w:lvl w:ilvl="2" w:tplc="2C2E2748" w:tentative="1">
      <w:start w:val="1"/>
      <w:numFmt w:val="bullet"/>
      <w:lvlText w:val=""/>
      <w:lvlJc w:val="left"/>
      <w:pPr>
        <w:ind w:left="2444" w:hanging="360"/>
      </w:pPr>
      <w:rPr>
        <w:rFonts w:ascii="Wingdings" w:hAnsi="Wingdings" w:hint="default"/>
      </w:rPr>
    </w:lvl>
    <w:lvl w:ilvl="3" w:tplc="409C224A" w:tentative="1">
      <w:start w:val="1"/>
      <w:numFmt w:val="bullet"/>
      <w:lvlText w:val=""/>
      <w:lvlJc w:val="left"/>
      <w:pPr>
        <w:ind w:left="3164" w:hanging="360"/>
      </w:pPr>
      <w:rPr>
        <w:rFonts w:ascii="Symbol" w:hAnsi="Symbol" w:hint="default"/>
      </w:rPr>
    </w:lvl>
    <w:lvl w:ilvl="4" w:tplc="D8606012" w:tentative="1">
      <w:start w:val="1"/>
      <w:numFmt w:val="bullet"/>
      <w:lvlText w:val="o"/>
      <w:lvlJc w:val="left"/>
      <w:pPr>
        <w:ind w:left="3884" w:hanging="360"/>
      </w:pPr>
      <w:rPr>
        <w:rFonts w:ascii="Courier New" w:hAnsi="Courier New" w:cs="Courier New" w:hint="default"/>
      </w:rPr>
    </w:lvl>
    <w:lvl w:ilvl="5" w:tplc="FF945F24" w:tentative="1">
      <w:start w:val="1"/>
      <w:numFmt w:val="bullet"/>
      <w:lvlText w:val=""/>
      <w:lvlJc w:val="left"/>
      <w:pPr>
        <w:ind w:left="4604" w:hanging="360"/>
      </w:pPr>
      <w:rPr>
        <w:rFonts w:ascii="Wingdings" w:hAnsi="Wingdings" w:hint="default"/>
      </w:rPr>
    </w:lvl>
    <w:lvl w:ilvl="6" w:tplc="52309504" w:tentative="1">
      <w:start w:val="1"/>
      <w:numFmt w:val="bullet"/>
      <w:lvlText w:val=""/>
      <w:lvlJc w:val="left"/>
      <w:pPr>
        <w:ind w:left="5324" w:hanging="360"/>
      </w:pPr>
      <w:rPr>
        <w:rFonts w:ascii="Symbol" w:hAnsi="Symbol" w:hint="default"/>
      </w:rPr>
    </w:lvl>
    <w:lvl w:ilvl="7" w:tplc="5DD05EF4" w:tentative="1">
      <w:start w:val="1"/>
      <w:numFmt w:val="bullet"/>
      <w:lvlText w:val="o"/>
      <w:lvlJc w:val="left"/>
      <w:pPr>
        <w:ind w:left="6044" w:hanging="360"/>
      </w:pPr>
      <w:rPr>
        <w:rFonts w:ascii="Courier New" w:hAnsi="Courier New" w:cs="Courier New" w:hint="default"/>
      </w:rPr>
    </w:lvl>
    <w:lvl w:ilvl="8" w:tplc="445AAE2A"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4712ECF0">
      <w:start w:val="1"/>
      <w:numFmt w:val="bullet"/>
      <w:lvlText w:val=""/>
      <w:lvlJc w:val="left"/>
      <w:pPr>
        <w:ind w:left="720" w:hanging="360"/>
      </w:pPr>
      <w:rPr>
        <w:rFonts w:ascii="Wingdings" w:hAnsi="Wingdings" w:hint="default"/>
        <w:color w:val="E1000F"/>
      </w:rPr>
    </w:lvl>
    <w:lvl w:ilvl="1" w:tplc="7ABAC8D4">
      <w:start w:val="1"/>
      <w:numFmt w:val="bullet"/>
      <w:lvlText w:val=""/>
      <w:lvlJc w:val="left"/>
      <w:pPr>
        <w:ind w:left="1440" w:hanging="360"/>
      </w:pPr>
      <w:rPr>
        <w:rFonts w:ascii="Wingdings" w:hAnsi="Wingdings" w:hint="default"/>
        <w:color w:val="E1000F"/>
      </w:rPr>
    </w:lvl>
    <w:lvl w:ilvl="2" w:tplc="E062CC7A" w:tentative="1">
      <w:start w:val="1"/>
      <w:numFmt w:val="bullet"/>
      <w:lvlText w:val=""/>
      <w:lvlJc w:val="left"/>
      <w:pPr>
        <w:ind w:left="2160" w:hanging="360"/>
      </w:pPr>
      <w:rPr>
        <w:rFonts w:ascii="Wingdings" w:hAnsi="Wingdings" w:hint="default"/>
      </w:rPr>
    </w:lvl>
    <w:lvl w:ilvl="3" w:tplc="E35AA2CC" w:tentative="1">
      <w:start w:val="1"/>
      <w:numFmt w:val="bullet"/>
      <w:lvlText w:val=""/>
      <w:lvlJc w:val="left"/>
      <w:pPr>
        <w:ind w:left="2880" w:hanging="360"/>
      </w:pPr>
      <w:rPr>
        <w:rFonts w:ascii="Symbol" w:hAnsi="Symbol" w:hint="default"/>
      </w:rPr>
    </w:lvl>
    <w:lvl w:ilvl="4" w:tplc="ECF89638" w:tentative="1">
      <w:start w:val="1"/>
      <w:numFmt w:val="bullet"/>
      <w:lvlText w:val="o"/>
      <w:lvlJc w:val="left"/>
      <w:pPr>
        <w:ind w:left="3600" w:hanging="360"/>
      </w:pPr>
      <w:rPr>
        <w:rFonts w:ascii="Courier New" w:hAnsi="Courier New" w:cs="Courier New" w:hint="default"/>
      </w:rPr>
    </w:lvl>
    <w:lvl w:ilvl="5" w:tplc="57408F06" w:tentative="1">
      <w:start w:val="1"/>
      <w:numFmt w:val="bullet"/>
      <w:lvlText w:val=""/>
      <w:lvlJc w:val="left"/>
      <w:pPr>
        <w:ind w:left="4320" w:hanging="360"/>
      </w:pPr>
      <w:rPr>
        <w:rFonts w:ascii="Wingdings" w:hAnsi="Wingdings" w:hint="default"/>
      </w:rPr>
    </w:lvl>
    <w:lvl w:ilvl="6" w:tplc="6C9AE300" w:tentative="1">
      <w:start w:val="1"/>
      <w:numFmt w:val="bullet"/>
      <w:lvlText w:val=""/>
      <w:lvlJc w:val="left"/>
      <w:pPr>
        <w:ind w:left="5040" w:hanging="360"/>
      </w:pPr>
      <w:rPr>
        <w:rFonts w:ascii="Symbol" w:hAnsi="Symbol" w:hint="default"/>
      </w:rPr>
    </w:lvl>
    <w:lvl w:ilvl="7" w:tplc="FA68F2C4" w:tentative="1">
      <w:start w:val="1"/>
      <w:numFmt w:val="bullet"/>
      <w:lvlText w:val="o"/>
      <w:lvlJc w:val="left"/>
      <w:pPr>
        <w:ind w:left="5760" w:hanging="360"/>
      </w:pPr>
      <w:rPr>
        <w:rFonts w:ascii="Courier New" w:hAnsi="Courier New" w:cs="Courier New" w:hint="default"/>
      </w:rPr>
    </w:lvl>
    <w:lvl w:ilvl="8" w:tplc="DDA80FFA"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DC5AF6C8">
      <w:numFmt w:val="bullet"/>
      <w:lvlText w:val="-"/>
      <w:lvlJc w:val="left"/>
      <w:pPr>
        <w:ind w:left="720" w:hanging="360"/>
      </w:pPr>
      <w:rPr>
        <w:rFonts w:ascii="Arial" w:eastAsia="Times New Roman" w:hAnsi="Arial" w:cs="Arial" w:hint="default"/>
      </w:rPr>
    </w:lvl>
    <w:lvl w:ilvl="1" w:tplc="04FA5A6A" w:tentative="1">
      <w:start w:val="1"/>
      <w:numFmt w:val="bullet"/>
      <w:lvlText w:val="o"/>
      <w:lvlJc w:val="left"/>
      <w:pPr>
        <w:ind w:left="1440" w:hanging="360"/>
      </w:pPr>
      <w:rPr>
        <w:rFonts w:ascii="Courier New" w:hAnsi="Courier New" w:cs="Courier New" w:hint="default"/>
      </w:rPr>
    </w:lvl>
    <w:lvl w:ilvl="2" w:tplc="26F62942" w:tentative="1">
      <w:start w:val="1"/>
      <w:numFmt w:val="bullet"/>
      <w:lvlText w:val=""/>
      <w:lvlJc w:val="left"/>
      <w:pPr>
        <w:ind w:left="2160" w:hanging="360"/>
      </w:pPr>
      <w:rPr>
        <w:rFonts w:ascii="Wingdings" w:hAnsi="Wingdings" w:hint="default"/>
      </w:rPr>
    </w:lvl>
    <w:lvl w:ilvl="3" w:tplc="367A4832" w:tentative="1">
      <w:start w:val="1"/>
      <w:numFmt w:val="bullet"/>
      <w:lvlText w:val=""/>
      <w:lvlJc w:val="left"/>
      <w:pPr>
        <w:ind w:left="2880" w:hanging="360"/>
      </w:pPr>
      <w:rPr>
        <w:rFonts w:ascii="Symbol" w:hAnsi="Symbol" w:hint="default"/>
      </w:rPr>
    </w:lvl>
    <w:lvl w:ilvl="4" w:tplc="304A110E" w:tentative="1">
      <w:start w:val="1"/>
      <w:numFmt w:val="bullet"/>
      <w:lvlText w:val="o"/>
      <w:lvlJc w:val="left"/>
      <w:pPr>
        <w:ind w:left="3600" w:hanging="360"/>
      </w:pPr>
      <w:rPr>
        <w:rFonts w:ascii="Courier New" w:hAnsi="Courier New" w:cs="Courier New" w:hint="default"/>
      </w:rPr>
    </w:lvl>
    <w:lvl w:ilvl="5" w:tplc="C09CCAD6" w:tentative="1">
      <w:start w:val="1"/>
      <w:numFmt w:val="bullet"/>
      <w:lvlText w:val=""/>
      <w:lvlJc w:val="left"/>
      <w:pPr>
        <w:ind w:left="4320" w:hanging="360"/>
      </w:pPr>
      <w:rPr>
        <w:rFonts w:ascii="Wingdings" w:hAnsi="Wingdings" w:hint="default"/>
      </w:rPr>
    </w:lvl>
    <w:lvl w:ilvl="6" w:tplc="2EF02510" w:tentative="1">
      <w:start w:val="1"/>
      <w:numFmt w:val="bullet"/>
      <w:lvlText w:val=""/>
      <w:lvlJc w:val="left"/>
      <w:pPr>
        <w:ind w:left="5040" w:hanging="360"/>
      </w:pPr>
      <w:rPr>
        <w:rFonts w:ascii="Symbol" w:hAnsi="Symbol" w:hint="default"/>
      </w:rPr>
    </w:lvl>
    <w:lvl w:ilvl="7" w:tplc="4C5CBAAA" w:tentative="1">
      <w:start w:val="1"/>
      <w:numFmt w:val="bullet"/>
      <w:lvlText w:val="o"/>
      <w:lvlJc w:val="left"/>
      <w:pPr>
        <w:ind w:left="5760" w:hanging="360"/>
      </w:pPr>
      <w:rPr>
        <w:rFonts w:ascii="Courier New" w:hAnsi="Courier New" w:cs="Courier New" w:hint="default"/>
      </w:rPr>
    </w:lvl>
    <w:lvl w:ilvl="8" w:tplc="BCEE84EE"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26BE9B58">
      <w:start w:val="1"/>
      <w:numFmt w:val="bullet"/>
      <w:lvlText w:val=""/>
      <w:lvlJc w:val="left"/>
      <w:pPr>
        <w:ind w:left="720" w:hanging="360"/>
      </w:pPr>
      <w:rPr>
        <w:rFonts w:ascii="Wingdings" w:hAnsi="Wingdings" w:hint="default"/>
        <w:color w:val="E1000F"/>
      </w:rPr>
    </w:lvl>
    <w:lvl w:ilvl="1" w:tplc="0DA016F0">
      <w:start w:val="1"/>
      <w:numFmt w:val="bullet"/>
      <w:lvlText w:val=""/>
      <w:lvlJc w:val="left"/>
      <w:pPr>
        <w:ind w:left="1440" w:hanging="360"/>
      </w:pPr>
      <w:rPr>
        <w:rFonts w:ascii="Wingdings" w:hAnsi="Wingdings" w:hint="default"/>
        <w:color w:val="E1000F"/>
      </w:rPr>
    </w:lvl>
    <w:lvl w:ilvl="2" w:tplc="5F465E68" w:tentative="1">
      <w:start w:val="1"/>
      <w:numFmt w:val="bullet"/>
      <w:lvlText w:val=""/>
      <w:lvlJc w:val="left"/>
      <w:pPr>
        <w:ind w:left="2160" w:hanging="360"/>
      </w:pPr>
      <w:rPr>
        <w:rFonts w:ascii="Wingdings" w:hAnsi="Wingdings" w:hint="default"/>
      </w:rPr>
    </w:lvl>
    <w:lvl w:ilvl="3" w:tplc="3A38032C" w:tentative="1">
      <w:start w:val="1"/>
      <w:numFmt w:val="bullet"/>
      <w:lvlText w:val=""/>
      <w:lvlJc w:val="left"/>
      <w:pPr>
        <w:ind w:left="2880" w:hanging="360"/>
      </w:pPr>
      <w:rPr>
        <w:rFonts w:ascii="Symbol" w:hAnsi="Symbol" w:hint="default"/>
      </w:rPr>
    </w:lvl>
    <w:lvl w:ilvl="4" w:tplc="05669BDE" w:tentative="1">
      <w:start w:val="1"/>
      <w:numFmt w:val="bullet"/>
      <w:lvlText w:val="o"/>
      <w:lvlJc w:val="left"/>
      <w:pPr>
        <w:ind w:left="3600" w:hanging="360"/>
      </w:pPr>
      <w:rPr>
        <w:rFonts w:ascii="Courier New" w:hAnsi="Courier New" w:cs="Courier New" w:hint="default"/>
      </w:rPr>
    </w:lvl>
    <w:lvl w:ilvl="5" w:tplc="FEE8D73A" w:tentative="1">
      <w:start w:val="1"/>
      <w:numFmt w:val="bullet"/>
      <w:lvlText w:val=""/>
      <w:lvlJc w:val="left"/>
      <w:pPr>
        <w:ind w:left="4320" w:hanging="360"/>
      </w:pPr>
      <w:rPr>
        <w:rFonts w:ascii="Wingdings" w:hAnsi="Wingdings" w:hint="default"/>
      </w:rPr>
    </w:lvl>
    <w:lvl w:ilvl="6" w:tplc="506E154E" w:tentative="1">
      <w:start w:val="1"/>
      <w:numFmt w:val="bullet"/>
      <w:lvlText w:val=""/>
      <w:lvlJc w:val="left"/>
      <w:pPr>
        <w:ind w:left="5040" w:hanging="360"/>
      </w:pPr>
      <w:rPr>
        <w:rFonts w:ascii="Symbol" w:hAnsi="Symbol" w:hint="default"/>
      </w:rPr>
    </w:lvl>
    <w:lvl w:ilvl="7" w:tplc="BCC8FBD8" w:tentative="1">
      <w:start w:val="1"/>
      <w:numFmt w:val="bullet"/>
      <w:lvlText w:val="o"/>
      <w:lvlJc w:val="left"/>
      <w:pPr>
        <w:ind w:left="5760" w:hanging="360"/>
      </w:pPr>
      <w:rPr>
        <w:rFonts w:ascii="Courier New" w:hAnsi="Courier New" w:cs="Courier New" w:hint="default"/>
      </w:rPr>
    </w:lvl>
    <w:lvl w:ilvl="8" w:tplc="0F5CAEEA"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0E1A4258">
      <w:start w:val="1"/>
      <w:numFmt w:val="bullet"/>
      <w:lvlText w:val=""/>
      <w:lvlJc w:val="left"/>
      <w:pPr>
        <w:ind w:left="720" w:hanging="360"/>
      </w:pPr>
      <w:rPr>
        <w:rFonts w:ascii="Wingdings" w:hAnsi="Wingdings" w:hint="default"/>
        <w:color w:val="E1000F"/>
      </w:rPr>
    </w:lvl>
    <w:lvl w:ilvl="1" w:tplc="9EC8EFD4" w:tentative="1">
      <w:start w:val="1"/>
      <w:numFmt w:val="bullet"/>
      <w:lvlText w:val="o"/>
      <w:lvlJc w:val="left"/>
      <w:pPr>
        <w:ind w:left="1440" w:hanging="360"/>
      </w:pPr>
      <w:rPr>
        <w:rFonts w:ascii="Courier New" w:hAnsi="Courier New" w:cs="Courier New" w:hint="default"/>
      </w:rPr>
    </w:lvl>
    <w:lvl w:ilvl="2" w:tplc="1AD0008E" w:tentative="1">
      <w:start w:val="1"/>
      <w:numFmt w:val="bullet"/>
      <w:lvlText w:val=""/>
      <w:lvlJc w:val="left"/>
      <w:pPr>
        <w:ind w:left="2160" w:hanging="360"/>
      </w:pPr>
      <w:rPr>
        <w:rFonts w:ascii="Wingdings" w:hAnsi="Wingdings" w:hint="default"/>
      </w:rPr>
    </w:lvl>
    <w:lvl w:ilvl="3" w:tplc="916C5386" w:tentative="1">
      <w:start w:val="1"/>
      <w:numFmt w:val="bullet"/>
      <w:lvlText w:val=""/>
      <w:lvlJc w:val="left"/>
      <w:pPr>
        <w:ind w:left="2880" w:hanging="360"/>
      </w:pPr>
      <w:rPr>
        <w:rFonts w:ascii="Symbol" w:hAnsi="Symbol" w:hint="default"/>
      </w:rPr>
    </w:lvl>
    <w:lvl w:ilvl="4" w:tplc="CA8E29E0" w:tentative="1">
      <w:start w:val="1"/>
      <w:numFmt w:val="bullet"/>
      <w:lvlText w:val="o"/>
      <w:lvlJc w:val="left"/>
      <w:pPr>
        <w:ind w:left="3600" w:hanging="360"/>
      </w:pPr>
      <w:rPr>
        <w:rFonts w:ascii="Courier New" w:hAnsi="Courier New" w:cs="Courier New" w:hint="default"/>
      </w:rPr>
    </w:lvl>
    <w:lvl w:ilvl="5" w:tplc="FFA4DB2E" w:tentative="1">
      <w:start w:val="1"/>
      <w:numFmt w:val="bullet"/>
      <w:lvlText w:val=""/>
      <w:lvlJc w:val="left"/>
      <w:pPr>
        <w:ind w:left="4320" w:hanging="360"/>
      </w:pPr>
      <w:rPr>
        <w:rFonts w:ascii="Wingdings" w:hAnsi="Wingdings" w:hint="default"/>
      </w:rPr>
    </w:lvl>
    <w:lvl w:ilvl="6" w:tplc="0C28B116" w:tentative="1">
      <w:start w:val="1"/>
      <w:numFmt w:val="bullet"/>
      <w:lvlText w:val=""/>
      <w:lvlJc w:val="left"/>
      <w:pPr>
        <w:ind w:left="5040" w:hanging="360"/>
      </w:pPr>
      <w:rPr>
        <w:rFonts w:ascii="Symbol" w:hAnsi="Symbol" w:hint="default"/>
      </w:rPr>
    </w:lvl>
    <w:lvl w:ilvl="7" w:tplc="1FF430D0" w:tentative="1">
      <w:start w:val="1"/>
      <w:numFmt w:val="bullet"/>
      <w:lvlText w:val="o"/>
      <w:lvlJc w:val="left"/>
      <w:pPr>
        <w:ind w:left="5760" w:hanging="360"/>
      </w:pPr>
      <w:rPr>
        <w:rFonts w:ascii="Courier New" w:hAnsi="Courier New" w:cs="Courier New" w:hint="default"/>
      </w:rPr>
    </w:lvl>
    <w:lvl w:ilvl="8" w:tplc="0F9AF7E0"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D3982FB0">
      <w:start w:val="1"/>
      <w:numFmt w:val="bullet"/>
      <w:lvlText w:val=""/>
      <w:lvlJc w:val="left"/>
      <w:pPr>
        <w:ind w:left="720" w:hanging="360"/>
      </w:pPr>
      <w:rPr>
        <w:rFonts w:ascii="Wingdings" w:hAnsi="Wingdings" w:hint="default"/>
        <w:color w:val="E1000F"/>
      </w:rPr>
    </w:lvl>
    <w:lvl w:ilvl="1" w:tplc="F4AAC766" w:tentative="1">
      <w:start w:val="1"/>
      <w:numFmt w:val="bullet"/>
      <w:lvlText w:val="o"/>
      <w:lvlJc w:val="left"/>
      <w:pPr>
        <w:ind w:left="1440" w:hanging="360"/>
      </w:pPr>
      <w:rPr>
        <w:rFonts w:ascii="Courier New" w:hAnsi="Courier New" w:cs="Courier New" w:hint="default"/>
      </w:rPr>
    </w:lvl>
    <w:lvl w:ilvl="2" w:tplc="20C698A0" w:tentative="1">
      <w:start w:val="1"/>
      <w:numFmt w:val="bullet"/>
      <w:lvlText w:val=""/>
      <w:lvlJc w:val="left"/>
      <w:pPr>
        <w:ind w:left="2160" w:hanging="360"/>
      </w:pPr>
      <w:rPr>
        <w:rFonts w:ascii="Wingdings" w:hAnsi="Wingdings" w:hint="default"/>
      </w:rPr>
    </w:lvl>
    <w:lvl w:ilvl="3" w:tplc="DADE25FE" w:tentative="1">
      <w:start w:val="1"/>
      <w:numFmt w:val="bullet"/>
      <w:lvlText w:val=""/>
      <w:lvlJc w:val="left"/>
      <w:pPr>
        <w:ind w:left="2880" w:hanging="360"/>
      </w:pPr>
      <w:rPr>
        <w:rFonts w:ascii="Symbol" w:hAnsi="Symbol" w:hint="default"/>
      </w:rPr>
    </w:lvl>
    <w:lvl w:ilvl="4" w:tplc="FAE492A4" w:tentative="1">
      <w:start w:val="1"/>
      <w:numFmt w:val="bullet"/>
      <w:lvlText w:val="o"/>
      <w:lvlJc w:val="left"/>
      <w:pPr>
        <w:ind w:left="3600" w:hanging="360"/>
      </w:pPr>
      <w:rPr>
        <w:rFonts w:ascii="Courier New" w:hAnsi="Courier New" w:cs="Courier New" w:hint="default"/>
      </w:rPr>
    </w:lvl>
    <w:lvl w:ilvl="5" w:tplc="3FB6903C" w:tentative="1">
      <w:start w:val="1"/>
      <w:numFmt w:val="bullet"/>
      <w:lvlText w:val=""/>
      <w:lvlJc w:val="left"/>
      <w:pPr>
        <w:ind w:left="4320" w:hanging="360"/>
      </w:pPr>
      <w:rPr>
        <w:rFonts w:ascii="Wingdings" w:hAnsi="Wingdings" w:hint="default"/>
      </w:rPr>
    </w:lvl>
    <w:lvl w:ilvl="6" w:tplc="DFB81AC8" w:tentative="1">
      <w:start w:val="1"/>
      <w:numFmt w:val="bullet"/>
      <w:lvlText w:val=""/>
      <w:lvlJc w:val="left"/>
      <w:pPr>
        <w:ind w:left="5040" w:hanging="360"/>
      </w:pPr>
      <w:rPr>
        <w:rFonts w:ascii="Symbol" w:hAnsi="Symbol" w:hint="default"/>
      </w:rPr>
    </w:lvl>
    <w:lvl w:ilvl="7" w:tplc="D7B608FA" w:tentative="1">
      <w:start w:val="1"/>
      <w:numFmt w:val="bullet"/>
      <w:lvlText w:val="o"/>
      <w:lvlJc w:val="left"/>
      <w:pPr>
        <w:ind w:left="5760" w:hanging="360"/>
      </w:pPr>
      <w:rPr>
        <w:rFonts w:ascii="Courier New" w:hAnsi="Courier New" w:cs="Courier New" w:hint="default"/>
      </w:rPr>
    </w:lvl>
    <w:lvl w:ilvl="8" w:tplc="C6FE8C1C"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E4D8C1E2">
      <w:start w:val="1"/>
      <w:numFmt w:val="bullet"/>
      <w:lvlText w:val=""/>
      <w:lvlJc w:val="left"/>
      <w:pPr>
        <w:ind w:left="786" w:hanging="360"/>
      </w:pPr>
      <w:rPr>
        <w:rFonts w:ascii="Wingdings" w:hAnsi="Wingdings" w:hint="default"/>
        <w:sz w:val="24"/>
        <w:szCs w:val="24"/>
      </w:rPr>
    </w:lvl>
    <w:lvl w:ilvl="1" w:tplc="AA341E16">
      <w:start w:val="1"/>
      <w:numFmt w:val="bullet"/>
      <w:lvlText w:val=""/>
      <w:lvlJc w:val="left"/>
      <w:pPr>
        <w:ind w:left="1440" w:hanging="360"/>
      </w:pPr>
      <w:rPr>
        <w:rFonts w:ascii="Wingdings" w:hAnsi="Wingdings" w:hint="default"/>
      </w:rPr>
    </w:lvl>
    <w:lvl w:ilvl="2" w:tplc="82CE77B6" w:tentative="1">
      <w:start w:val="1"/>
      <w:numFmt w:val="bullet"/>
      <w:lvlText w:val=""/>
      <w:lvlJc w:val="left"/>
      <w:pPr>
        <w:ind w:left="2160" w:hanging="360"/>
      </w:pPr>
      <w:rPr>
        <w:rFonts w:ascii="Wingdings" w:hAnsi="Wingdings" w:hint="default"/>
      </w:rPr>
    </w:lvl>
    <w:lvl w:ilvl="3" w:tplc="1876DCB2" w:tentative="1">
      <w:start w:val="1"/>
      <w:numFmt w:val="bullet"/>
      <w:lvlText w:val=""/>
      <w:lvlJc w:val="left"/>
      <w:pPr>
        <w:ind w:left="2880" w:hanging="360"/>
      </w:pPr>
      <w:rPr>
        <w:rFonts w:ascii="Symbol" w:hAnsi="Symbol" w:hint="default"/>
      </w:rPr>
    </w:lvl>
    <w:lvl w:ilvl="4" w:tplc="2C0400FA" w:tentative="1">
      <w:start w:val="1"/>
      <w:numFmt w:val="bullet"/>
      <w:lvlText w:val="o"/>
      <w:lvlJc w:val="left"/>
      <w:pPr>
        <w:ind w:left="3600" w:hanging="360"/>
      </w:pPr>
      <w:rPr>
        <w:rFonts w:ascii="Courier New" w:hAnsi="Courier New" w:cs="Courier New" w:hint="default"/>
      </w:rPr>
    </w:lvl>
    <w:lvl w:ilvl="5" w:tplc="BAD2C25A" w:tentative="1">
      <w:start w:val="1"/>
      <w:numFmt w:val="bullet"/>
      <w:lvlText w:val=""/>
      <w:lvlJc w:val="left"/>
      <w:pPr>
        <w:ind w:left="4320" w:hanging="360"/>
      </w:pPr>
      <w:rPr>
        <w:rFonts w:ascii="Wingdings" w:hAnsi="Wingdings" w:hint="default"/>
      </w:rPr>
    </w:lvl>
    <w:lvl w:ilvl="6" w:tplc="A14A451C" w:tentative="1">
      <w:start w:val="1"/>
      <w:numFmt w:val="bullet"/>
      <w:lvlText w:val=""/>
      <w:lvlJc w:val="left"/>
      <w:pPr>
        <w:ind w:left="5040" w:hanging="360"/>
      </w:pPr>
      <w:rPr>
        <w:rFonts w:ascii="Symbol" w:hAnsi="Symbol" w:hint="default"/>
      </w:rPr>
    </w:lvl>
    <w:lvl w:ilvl="7" w:tplc="A1B2910A" w:tentative="1">
      <w:start w:val="1"/>
      <w:numFmt w:val="bullet"/>
      <w:lvlText w:val="o"/>
      <w:lvlJc w:val="left"/>
      <w:pPr>
        <w:ind w:left="5760" w:hanging="360"/>
      </w:pPr>
      <w:rPr>
        <w:rFonts w:ascii="Courier New" w:hAnsi="Courier New" w:cs="Courier New" w:hint="default"/>
      </w:rPr>
    </w:lvl>
    <w:lvl w:ilvl="8" w:tplc="ABF6A4A0"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69D8EC16">
      <w:start w:val="1"/>
      <w:numFmt w:val="bullet"/>
      <w:lvlText w:val=""/>
      <w:lvlJc w:val="left"/>
      <w:pPr>
        <w:ind w:left="720" w:hanging="360"/>
      </w:pPr>
      <w:rPr>
        <w:rFonts w:ascii="Wingdings" w:hAnsi="Wingdings" w:hint="default"/>
        <w:color w:val="E1000F"/>
      </w:rPr>
    </w:lvl>
    <w:lvl w:ilvl="1" w:tplc="BB1A453C">
      <w:start w:val="1"/>
      <w:numFmt w:val="bullet"/>
      <w:lvlText w:val="o"/>
      <w:lvlJc w:val="left"/>
      <w:pPr>
        <w:ind w:left="1440" w:hanging="360"/>
      </w:pPr>
      <w:rPr>
        <w:rFonts w:ascii="Courier New" w:hAnsi="Courier New" w:cs="Courier New" w:hint="default"/>
      </w:rPr>
    </w:lvl>
    <w:lvl w:ilvl="2" w:tplc="6C86D6EA" w:tentative="1">
      <w:start w:val="1"/>
      <w:numFmt w:val="bullet"/>
      <w:lvlText w:val=""/>
      <w:lvlJc w:val="left"/>
      <w:pPr>
        <w:ind w:left="2160" w:hanging="360"/>
      </w:pPr>
      <w:rPr>
        <w:rFonts w:ascii="Wingdings" w:hAnsi="Wingdings" w:hint="default"/>
      </w:rPr>
    </w:lvl>
    <w:lvl w:ilvl="3" w:tplc="602A9D3C" w:tentative="1">
      <w:start w:val="1"/>
      <w:numFmt w:val="bullet"/>
      <w:lvlText w:val=""/>
      <w:lvlJc w:val="left"/>
      <w:pPr>
        <w:ind w:left="2880" w:hanging="360"/>
      </w:pPr>
      <w:rPr>
        <w:rFonts w:ascii="Symbol" w:hAnsi="Symbol" w:hint="default"/>
      </w:rPr>
    </w:lvl>
    <w:lvl w:ilvl="4" w:tplc="964EB6C8" w:tentative="1">
      <w:start w:val="1"/>
      <w:numFmt w:val="bullet"/>
      <w:lvlText w:val="o"/>
      <w:lvlJc w:val="left"/>
      <w:pPr>
        <w:ind w:left="3600" w:hanging="360"/>
      </w:pPr>
      <w:rPr>
        <w:rFonts w:ascii="Courier New" w:hAnsi="Courier New" w:cs="Courier New" w:hint="default"/>
      </w:rPr>
    </w:lvl>
    <w:lvl w:ilvl="5" w:tplc="C71E55E4" w:tentative="1">
      <w:start w:val="1"/>
      <w:numFmt w:val="bullet"/>
      <w:lvlText w:val=""/>
      <w:lvlJc w:val="left"/>
      <w:pPr>
        <w:ind w:left="4320" w:hanging="360"/>
      </w:pPr>
      <w:rPr>
        <w:rFonts w:ascii="Wingdings" w:hAnsi="Wingdings" w:hint="default"/>
      </w:rPr>
    </w:lvl>
    <w:lvl w:ilvl="6" w:tplc="8FF2CE14" w:tentative="1">
      <w:start w:val="1"/>
      <w:numFmt w:val="bullet"/>
      <w:lvlText w:val=""/>
      <w:lvlJc w:val="left"/>
      <w:pPr>
        <w:ind w:left="5040" w:hanging="360"/>
      </w:pPr>
      <w:rPr>
        <w:rFonts w:ascii="Symbol" w:hAnsi="Symbol" w:hint="default"/>
      </w:rPr>
    </w:lvl>
    <w:lvl w:ilvl="7" w:tplc="6C6AC112" w:tentative="1">
      <w:start w:val="1"/>
      <w:numFmt w:val="bullet"/>
      <w:lvlText w:val="o"/>
      <w:lvlJc w:val="left"/>
      <w:pPr>
        <w:ind w:left="5760" w:hanging="360"/>
      </w:pPr>
      <w:rPr>
        <w:rFonts w:ascii="Courier New" w:hAnsi="Courier New" w:cs="Courier New" w:hint="default"/>
      </w:rPr>
    </w:lvl>
    <w:lvl w:ilvl="8" w:tplc="6450D31E" w:tentative="1">
      <w:start w:val="1"/>
      <w:numFmt w:val="bullet"/>
      <w:lvlText w:val=""/>
      <w:lvlJc w:val="left"/>
      <w:pPr>
        <w:ind w:left="6480" w:hanging="360"/>
      </w:pPr>
      <w:rPr>
        <w:rFonts w:ascii="Wingdings" w:hAnsi="Wingdings" w:hint="default"/>
      </w:rPr>
    </w:lvl>
  </w:abstractNum>
  <w:abstractNum w:abstractNumId="18" w15:restartNumberingAfterBreak="0">
    <w:nsid w:val="7AB00033"/>
    <w:multiLevelType w:val="hybridMultilevel"/>
    <w:tmpl w:val="44CCA5EE"/>
    <w:lvl w:ilvl="0" w:tplc="EB4EC21A">
      <w:start w:val="1"/>
      <w:numFmt w:val="bullet"/>
      <w:lvlText w:val=""/>
      <w:lvlJc w:val="left"/>
      <w:pPr>
        <w:ind w:left="360" w:hanging="360"/>
      </w:pPr>
      <w:rPr>
        <w:rFonts w:ascii="Wingdings" w:hAnsi="Wingdings" w:hint="default"/>
        <w:color w:val="E1000F"/>
      </w:rPr>
    </w:lvl>
    <w:lvl w:ilvl="1" w:tplc="13BA2832">
      <w:start w:val="1"/>
      <w:numFmt w:val="bullet"/>
      <w:lvlText w:val="o"/>
      <w:lvlJc w:val="left"/>
      <w:pPr>
        <w:ind w:left="1440" w:hanging="360"/>
      </w:pPr>
      <w:rPr>
        <w:rFonts w:ascii="Courier New" w:hAnsi="Courier New" w:cs="Courier New" w:hint="default"/>
      </w:rPr>
    </w:lvl>
    <w:lvl w:ilvl="2" w:tplc="8F60CD0C">
      <w:start w:val="1"/>
      <w:numFmt w:val="bullet"/>
      <w:lvlText w:val=""/>
      <w:lvlJc w:val="left"/>
      <w:pPr>
        <w:ind w:left="2160" w:hanging="360"/>
      </w:pPr>
      <w:rPr>
        <w:rFonts w:ascii="Wingdings" w:hAnsi="Wingdings" w:hint="default"/>
      </w:rPr>
    </w:lvl>
    <w:lvl w:ilvl="3" w:tplc="028CF53C">
      <w:start w:val="1"/>
      <w:numFmt w:val="bullet"/>
      <w:lvlText w:val=""/>
      <w:lvlJc w:val="left"/>
      <w:pPr>
        <w:ind w:left="2880" w:hanging="360"/>
      </w:pPr>
      <w:rPr>
        <w:rFonts w:ascii="Symbol" w:hAnsi="Symbol" w:hint="default"/>
      </w:rPr>
    </w:lvl>
    <w:lvl w:ilvl="4" w:tplc="B70E2092">
      <w:start w:val="1"/>
      <w:numFmt w:val="bullet"/>
      <w:lvlText w:val="o"/>
      <w:lvlJc w:val="left"/>
      <w:pPr>
        <w:ind w:left="3600" w:hanging="360"/>
      </w:pPr>
      <w:rPr>
        <w:rFonts w:ascii="Courier New" w:hAnsi="Courier New" w:cs="Courier New" w:hint="default"/>
      </w:rPr>
    </w:lvl>
    <w:lvl w:ilvl="5" w:tplc="FAD440F4">
      <w:start w:val="1"/>
      <w:numFmt w:val="bullet"/>
      <w:lvlText w:val=""/>
      <w:lvlJc w:val="left"/>
      <w:pPr>
        <w:ind w:left="4320" w:hanging="360"/>
      </w:pPr>
      <w:rPr>
        <w:rFonts w:ascii="Wingdings" w:hAnsi="Wingdings" w:hint="default"/>
      </w:rPr>
    </w:lvl>
    <w:lvl w:ilvl="6" w:tplc="22428078">
      <w:start w:val="1"/>
      <w:numFmt w:val="bullet"/>
      <w:lvlText w:val=""/>
      <w:lvlJc w:val="left"/>
      <w:pPr>
        <w:ind w:left="5040" w:hanging="360"/>
      </w:pPr>
      <w:rPr>
        <w:rFonts w:ascii="Symbol" w:hAnsi="Symbol" w:hint="default"/>
      </w:rPr>
    </w:lvl>
    <w:lvl w:ilvl="7" w:tplc="1B74883E">
      <w:start w:val="1"/>
      <w:numFmt w:val="bullet"/>
      <w:lvlText w:val="o"/>
      <w:lvlJc w:val="left"/>
      <w:pPr>
        <w:ind w:left="5760" w:hanging="360"/>
      </w:pPr>
      <w:rPr>
        <w:rFonts w:ascii="Courier New" w:hAnsi="Courier New" w:cs="Courier New" w:hint="default"/>
      </w:rPr>
    </w:lvl>
    <w:lvl w:ilvl="8" w:tplc="27AC71A4">
      <w:start w:val="1"/>
      <w:numFmt w:val="bullet"/>
      <w:lvlText w:val=""/>
      <w:lvlJc w:val="left"/>
      <w:pPr>
        <w:ind w:left="6480" w:hanging="360"/>
      </w:pPr>
      <w:rPr>
        <w:rFonts w:ascii="Wingdings" w:hAnsi="Wingdings" w:hint="default"/>
      </w:rPr>
    </w:lvl>
  </w:abstractNum>
  <w:num w:numId="1" w16cid:durableId="1400439927">
    <w:abstractNumId w:val="2"/>
  </w:num>
  <w:num w:numId="2" w16cid:durableId="680618969">
    <w:abstractNumId w:val="1"/>
  </w:num>
  <w:num w:numId="3" w16cid:durableId="388461275">
    <w:abstractNumId w:val="16"/>
  </w:num>
  <w:num w:numId="4" w16cid:durableId="26222527">
    <w:abstractNumId w:val="10"/>
  </w:num>
  <w:num w:numId="5" w16cid:durableId="874805619">
    <w:abstractNumId w:val="7"/>
  </w:num>
  <w:num w:numId="6" w16cid:durableId="195705859">
    <w:abstractNumId w:val="12"/>
  </w:num>
  <w:num w:numId="7" w16cid:durableId="1167669614">
    <w:abstractNumId w:val="9"/>
  </w:num>
  <w:num w:numId="8" w16cid:durableId="443771199">
    <w:abstractNumId w:val="15"/>
  </w:num>
  <w:num w:numId="9" w16cid:durableId="1880320093">
    <w:abstractNumId w:val="0"/>
  </w:num>
  <w:num w:numId="10" w16cid:durableId="1282032167">
    <w:abstractNumId w:val="18"/>
  </w:num>
  <w:num w:numId="11" w16cid:durableId="326053631">
    <w:abstractNumId w:val="8"/>
  </w:num>
  <w:num w:numId="12" w16cid:durableId="2078235194">
    <w:abstractNumId w:val="0"/>
  </w:num>
  <w:num w:numId="13" w16cid:durableId="101844883">
    <w:abstractNumId w:val="3"/>
  </w:num>
  <w:num w:numId="14" w16cid:durableId="925845240">
    <w:abstractNumId w:val="4"/>
  </w:num>
  <w:num w:numId="15" w16cid:durableId="426468588">
    <w:abstractNumId w:val="17"/>
  </w:num>
  <w:num w:numId="16" w16cid:durableId="2010672934">
    <w:abstractNumId w:val="13"/>
  </w:num>
  <w:num w:numId="17" w16cid:durableId="481193770">
    <w:abstractNumId w:val="11"/>
  </w:num>
  <w:num w:numId="18" w16cid:durableId="1798451957">
    <w:abstractNumId w:val="5"/>
  </w:num>
  <w:num w:numId="19" w16cid:durableId="2052145709">
    <w:abstractNumId w:val="14"/>
  </w:num>
  <w:num w:numId="20" w16cid:durableId="5677687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52B"/>
    <w:rsid w:val="00003675"/>
    <w:rsid w:val="00003D6C"/>
    <w:rsid w:val="00004F3C"/>
    <w:rsid w:val="000050F2"/>
    <w:rsid w:val="00005267"/>
    <w:rsid w:val="000056B9"/>
    <w:rsid w:val="00006346"/>
    <w:rsid w:val="000069EB"/>
    <w:rsid w:val="00006A45"/>
    <w:rsid w:val="000070A8"/>
    <w:rsid w:val="0000752F"/>
    <w:rsid w:val="00012E70"/>
    <w:rsid w:val="000136FE"/>
    <w:rsid w:val="00014FC1"/>
    <w:rsid w:val="000157C5"/>
    <w:rsid w:val="00016137"/>
    <w:rsid w:val="00017575"/>
    <w:rsid w:val="000201CB"/>
    <w:rsid w:val="00020DC3"/>
    <w:rsid w:val="00021C67"/>
    <w:rsid w:val="00024147"/>
    <w:rsid w:val="00024284"/>
    <w:rsid w:val="00024483"/>
    <w:rsid w:val="000256A9"/>
    <w:rsid w:val="00026EEE"/>
    <w:rsid w:val="000301F0"/>
    <w:rsid w:val="00030557"/>
    <w:rsid w:val="00030701"/>
    <w:rsid w:val="00030F51"/>
    <w:rsid w:val="00031E51"/>
    <w:rsid w:val="00033476"/>
    <w:rsid w:val="000343EB"/>
    <w:rsid w:val="00034E59"/>
    <w:rsid w:val="00035A84"/>
    <w:rsid w:val="00035CFA"/>
    <w:rsid w:val="00037933"/>
    <w:rsid w:val="00040390"/>
    <w:rsid w:val="00040816"/>
    <w:rsid w:val="00040CC9"/>
    <w:rsid w:val="00041F81"/>
    <w:rsid w:val="000425ED"/>
    <w:rsid w:val="00045CCB"/>
    <w:rsid w:val="000510FC"/>
    <w:rsid w:val="00051555"/>
    <w:rsid w:val="00051E86"/>
    <w:rsid w:val="000527F1"/>
    <w:rsid w:val="00053487"/>
    <w:rsid w:val="00053C6A"/>
    <w:rsid w:val="00054AFE"/>
    <w:rsid w:val="0005544E"/>
    <w:rsid w:val="000570AE"/>
    <w:rsid w:val="000575F9"/>
    <w:rsid w:val="0006148D"/>
    <w:rsid w:val="000618FC"/>
    <w:rsid w:val="00063A02"/>
    <w:rsid w:val="00063BE9"/>
    <w:rsid w:val="00065466"/>
    <w:rsid w:val="000665F3"/>
    <w:rsid w:val="00066C4A"/>
    <w:rsid w:val="00067071"/>
    <w:rsid w:val="00067F67"/>
    <w:rsid w:val="00070652"/>
    <w:rsid w:val="00070757"/>
    <w:rsid w:val="00071284"/>
    <w:rsid w:val="00072F48"/>
    <w:rsid w:val="00073AED"/>
    <w:rsid w:val="00074942"/>
    <w:rsid w:val="000751A7"/>
    <w:rsid w:val="0007558F"/>
    <w:rsid w:val="000773D2"/>
    <w:rsid w:val="0007746E"/>
    <w:rsid w:val="00077AF9"/>
    <w:rsid w:val="0008051A"/>
    <w:rsid w:val="00080D10"/>
    <w:rsid w:val="00081107"/>
    <w:rsid w:val="00081241"/>
    <w:rsid w:val="00081692"/>
    <w:rsid w:val="00081EF8"/>
    <w:rsid w:val="00082417"/>
    <w:rsid w:val="0008357F"/>
    <w:rsid w:val="00083A35"/>
    <w:rsid w:val="00083A61"/>
    <w:rsid w:val="00083DAB"/>
    <w:rsid w:val="00083F9D"/>
    <w:rsid w:val="0008406B"/>
    <w:rsid w:val="00084918"/>
    <w:rsid w:val="0008581D"/>
    <w:rsid w:val="00085A1B"/>
    <w:rsid w:val="000903DB"/>
    <w:rsid w:val="00090DB6"/>
    <w:rsid w:val="00090E73"/>
    <w:rsid w:val="00091F11"/>
    <w:rsid w:val="00094235"/>
    <w:rsid w:val="00095ED7"/>
    <w:rsid w:val="00096AD4"/>
    <w:rsid w:val="00097DB9"/>
    <w:rsid w:val="000A05E0"/>
    <w:rsid w:val="000A06FB"/>
    <w:rsid w:val="000A0E27"/>
    <w:rsid w:val="000A31D3"/>
    <w:rsid w:val="000A4B52"/>
    <w:rsid w:val="000A50CF"/>
    <w:rsid w:val="000A511E"/>
    <w:rsid w:val="000A55F7"/>
    <w:rsid w:val="000A61DF"/>
    <w:rsid w:val="000A64B3"/>
    <w:rsid w:val="000A6C25"/>
    <w:rsid w:val="000A7533"/>
    <w:rsid w:val="000B005C"/>
    <w:rsid w:val="000B037D"/>
    <w:rsid w:val="000B10DE"/>
    <w:rsid w:val="000B2684"/>
    <w:rsid w:val="000B2E86"/>
    <w:rsid w:val="000B31E4"/>
    <w:rsid w:val="000B4E85"/>
    <w:rsid w:val="000B5D2F"/>
    <w:rsid w:val="000B5E32"/>
    <w:rsid w:val="000B6244"/>
    <w:rsid w:val="000B695A"/>
    <w:rsid w:val="000B72A8"/>
    <w:rsid w:val="000C00E0"/>
    <w:rsid w:val="000C210A"/>
    <w:rsid w:val="000C27E5"/>
    <w:rsid w:val="000C30D6"/>
    <w:rsid w:val="000C47D1"/>
    <w:rsid w:val="000C50A1"/>
    <w:rsid w:val="000C56DD"/>
    <w:rsid w:val="000C5AF7"/>
    <w:rsid w:val="000C5CFD"/>
    <w:rsid w:val="000C63F4"/>
    <w:rsid w:val="000C65FB"/>
    <w:rsid w:val="000C6600"/>
    <w:rsid w:val="000D09AF"/>
    <w:rsid w:val="000D11CB"/>
    <w:rsid w:val="000D14C4"/>
    <w:rsid w:val="000D1672"/>
    <w:rsid w:val="000D178A"/>
    <w:rsid w:val="000D18CE"/>
    <w:rsid w:val="000D203B"/>
    <w:rsid w:val="000D3C98"/>
    <w:rsid w:val="000D40C6"/>
    <w:rsid w:val="000D52F6"/>
    <w:rsid w:val="000D5A52"/>
    <w:rsid w:val="000D6C67"/>
    <w:rsid w:val="000D738C"/>
    <w:rsid w:val="000D7548"/>
    <w:rsid w:val="000E0CAB"/>
    <w:rsid w:val="000E1028"/>
    <w:rsid w:val="000E11D9"/>
    <w:rsid w:val="000E1B84"/>
    <w:rsid w:val="000E26BB"/>
    <w:rsid w:val="000E2F62"/>
    <w:rsid w:val="000E33CD"/>
    <w:rsid w:val="000E38ED"/>
    <w:rsid w:val="000E45C7"/>
    <w:rsid w:val="000E714B"/>
    <w:rsid w:val="000E745A"/>
    <w:rsid w:val="000E79CD"/>
    <w:rsid w:val="000E7F24"/>
    <w:rsid w:val="000F03BE"/>
    <w:rsid w:val="000F1757"/>
    <w:rsid w:val="000F225B"/>
    <w:rsid w:val="000F333E"/>
    <w:rsid w:val="000F41BC"/>
    <w:rsid w:val="000F48E9"/>
    <w:rsid w:val="000F4DAE"/>
    <w:rsid w:val="000F5F6D"/>
    <w:rsid w:val="000F7ADB"/>
    <w:rsid w:val="000F7FAF"/>
    <w:rsid w:val="0010048F"/>
    <w:rsid w:val="00100D8B"/>
    <w:rsid w:val="00100FC9"/>
    <w:rsid w:val="00102045"/>
    <w:rsid w:val="00102264"/>
    <w:rsid w:val="00103537"/>
    <w:rsid w:val="00103B01"/>
    <w:rsid w:val="0010421C"/>
    <w:rsid w:val="0010465B"/>
    <w:rsid w:val="00104F62"/>
    <w:rsid w:val="0010570F"/>
    <w:rsid w:val="00105975"/>
    <w:rsid w:val="00110090"/>
    <w:rsid w:val="00110D28"/>
    <w:rsid w:val="0011116D"/>
    <w:rsid w:val="00111386"/>
    <w:rsid w:val="001117E8"/>
    <w:rsid w:val="001118DF"/>
    <w:rsid w:val="00111F4D"/>
    <w:rsid w:val="00112A28"/>
    <w:rsid w:val="00113571"/>
    <w:rsid w:val="001135E4"/>
    <w:rsid w:val="0011370F"/>
    <w:rsid w:val="00114227"/>
    <w:rsid w:val="00114B27"/>
    <w:rsid w:val="00114DDF"/>
    <w:rsid w:val="00115230"/>
    <w:rsid w:val="00115B5F"/>
    <w:rsid w:val="001162B4"/>
    <w:rsid w:val="00116DF3"/>
    <w:rsid w:val="00117B1C"/>
    <w:rsid w:val="00122B90"/>
    <w:rsid w:val="00122CBC"/>
    <w:rsid w:val="0012414B"/>
    <w:rsid w:val="00124FA3"/>
    <w:rsid w:val="00126769"/>
    <w:rsid w:val="00126C65"/>
    <w:rsid w:val="00126D4A"/>
    <w:rsid w:val="00131762"/>
    <w:rsid w:val="001318EB"/>
    <w:rsid w:val="00132DA9"/>
    <w:rsid w:val="0013305B"/>
    <w:rsid w:val="00133B99"/>
    <w:rsid w:val="00135146"/>
    <w:rsid w:val="0013569C"/>
    <w:rsid w:val="00135939"/>
    <w:rsid w:val="001363CC"/>
    <w:rsid w:val="001369E3"/>
    <w:rsid w:val="001375DD"/>
    <w:rsid w:val="0014060D"/>
    <w:rsid w:val="00140EE5"/>
    <w:rsid w:val="00141568"/>
    <w:rsid w:val="00142EFB"/>
    <w:rsid w:val="001438BF"/>
    <w:rsid w:val="001443BD"/>
    <w:rsid w:val="001443DA"/>
    <w:rsid w:val="00144A87"/>
    <w:rsid w:val="00144DD5"/>
    <w:rsid w:val="0014545C"/>
    <w:rsid w:val="00145B62"/>
    <w:rsid w:val="00146193"/>
    <w:rsid w:val="00146E78"/>
    <w:rsid w:val="00151C9F"/>
    <w:rsid w:val="00152022"/>
    <w:rsid w:val="00152026"/>
    <w:rsid w:val="00152A41"/>
    <w:rsid w:val="00153032"/>
    <w:rsid w:val="00155E7D"/>
    <w:rsid w:val="001577E9"/>
    <w:rsid w:val="00157A59"/>
    <w:rsid w:val="00157F37"/>
    <w:rsid w:val="00160045"/>
    <w:rsid w:val="001600D9"/>
    <w:rsid w:val="00160B8F"/>
    <w:rsid w:val="0016138C"/>
    <w:rsid w:val="00162D60"/>
    <w:rsid w:val="001640D5"/>
    <w:rsid w:val="0016441D"/>
    <w:rsid w:val="00164BE6"/>
    <w:rsid w:val="001653D7"/>
    <w:rsid w:val="001659FB"/>
    <w:rsid w:val="00166055"/>
    <w:rsid w:val="00166F97"/>
    <w:rsid w:val="001675E7"/>
    <w:rsid w:val="00171D3F"/>
    <w:rsid w:val="00171F59"/>
    <w:rsid w:val="00172C99"/>
    <w:rsid w:val="001731CE"/>
    <w:rsid w:val="00174C15"/>
    <w:rsid w:val="00175C72"/>
    <w:rsid w:val="00176E2A"/>
    <w:rsid w:val="00177B37"/>
    <w:rsid w:val="00180F93"/>
    <w:rsid w:val="001813A8"/>
    <w:rsid w:val="001814D5"/>
    <w:rsid w:val="00181B06"/>
    <w:rsid w:val="00185C3B"/>
    <w:rsid w:val="0018672E"/>
    <w:rsid w:val="00187A15"/>
    <w:rsid w:val="00191458"/>
    <w:rsid w:val="00191DD2"/>
    <w:rsid w:val="001928FC"/>
    <w:rsid w:val="00192DA5"/>
    <w:rsid w:val="00195A33"/>
    <w:rsid w:val="00196828"/>
    <w:rsid w:val="00196A14"/>
    <w:rsid w:val="00197E9B"/>
    <w:rsid w:val="001A1185"/>
    <w:rsid w:val="001A1FEB"/>
    <w:rsid w:val="001A3D77"/>
    <w:rsid w:val="001A4C03"/>
    <w:rsid w:val="001A52BB"/>
    <w:rsid w:val="001A74D9"/>
    <w:rsid w:val="001B0BBF"/>
    <w:rsid w:val="001B18FB"/>
    <w:rsid w:val="001B3094"/>
    <w:rsid w:val="001B30F7"/>
    <w:rsid w:val="001B31F0"/>
    <w:rsid w:val="001B4862"/>
    <w:rsid w:val="001B5147"/>
    <w:rsid w:val="001B65FF"/>
    <w:rsid w:val="001B710A"/>
    <w:rsid w:val="001B771D"/>
    <w:rsid w:val="001B7C20"/>
    <w:rsid w:val="001B7ED7"/>
    <w:rsid w:val="001C0B32"/>
    <w:rsid w:val="001C21A3"/>
    <w:rsid w:val="001C2D66"/>
    <w:rsid w:val="001C2D7B"/>
    <w:rsid w:val="001C36F7"/>
    <w:rsid w:val="001C4BE1"/>
    <w:rsid w:val="001C5338"/>
    <w:rsid w:val="001C5794"/>
    <w:rsid w:val="001C7F21"/>
    <w:rsid w:val="001D012C"/>
    <w:rsid w:val="001D1497"/>
    <w:rsid w:val="001D4F9E"/>
    <w:rsid w:val="001D5534"/>
    <w:rsid w:val="001D63D9"/>
    <w:rsid w:val="001D7294"/>
    <w:rsid w:val="001D7ADF"/>
    <w:rsid w:val="001E0F71"/>
    <w:rsid w:val="001E17FB"/>
    <w:rsid w:val="001E255E"/>
    <w:rsid w:val="001E2B9B"/>
    <w:rsid w:val="001E2C06"/>
    <w:rsid w:val="001E35BA"/>
    <w:rsid w:val="001E49D3"/>
    <w:rsid w:val="001E4CCB"/>
    <w:rsid w:val="001E51A6"/>
    <w:rsid w:val="001E52CB"/>
    <w:rsid w:val="001E632C"/>
    <w:rsid w:val="001E6D05"/>
    <w:rsid w:val="001E73E8"/>
    <w:rsid w:val="001E7C28"/>
    <w:rsid w:val="001F0494"/>
    <w:rsid w:val="001F11A1"/>
    <w:rsid w:val="001F19A0"/>
    <w:rsid w:val="001F1AB5"/>
    <w:rsid w:val="001F1BDF"/>
    <w:rsid w:val="001F1D6D"/>
    <w:rsid w:val="001F2366"/>
    <w:rsid w:val="001F30F0"/>
    <w:rsid w:val="001F35F8"/>
    <w:rsid w:val="001F39FC"/>
    <w:rsid w:val="001F4AC3"/>
    <w:rsid w:val="001F4CAC"/>
    <w:rsid w:val="001F52E0"/>
    <w:rsid w:val="001F590C"/>
    <w:rsid w:val="001F7110"/>
    <w:rsid w:val="001F75DB"/>
    <w:rsid w:val="001F773D"/>
    <w:rsid w:val="001F7E96"/>
    <w:rsid w:val="002005F5"/>
    <w:rsid w:val="00202284"/>
    <w:rsid w:val="00202C65"/>
    <w:rsid w:val="0020528D"/>
    <w:rsid w:val="0020543B"/>
    <w:rsid w:val="00205A66"/>
    <w:rsid w:val="002063CF"/>
    <w:rsid w:val="00206613"/>
    <w:rsid w:val="00206C14"/>
    <w:rsid w:val="0020756B"/>
    <w:rsid w:val="00207E75"/>
    <w:rsid w:val="00210D86"/>
    <w:rsid w:val="002113EC"/>
    <w:rsid w:val="0021158F"/>
    <w:rsid w:val="00211ECC"/>
    <w:rsid w:val="002122EF"/>
    <w:rsid w:val="00212488"/>
    <w:rsid w:val="002129A6"/>
    <w:rsid w:val="002151DB"/>
    <w:rsid w:val="0021591A"/>
    <w:rsid w:val="00220628"/>
    <w:rsid w:val="00220B19"/>
    <w:rsid w:val="00221A45"/>
    <w:rsid w:val="00221BA0"/>
    <w:rsid w:val="00222DEE"/>
    <w:rsid w:val="00223B20"/>
    <w:rsid w:val="002260C7"/>
    <w:rsid w:val="00226986"/>
    <w:rsid w:val="002304D2"/>
    <w:rsid w:val="002314B0"/>
    <w:rsid w:val="00231D4E"/>
    <w:rsid w:val="002338C1"/>
    <w:rsid w:val="002338D3"/>
    <w:rsid w:val="00233D04"/>
    <w:rsid w:val="00234ABD"/>
    <w:rsid w:val="00235B97"/>
    <w:rsid w:val="00236491"/>
    <w:rsid w:val="00236C3B"/>
    <w:rsid w:val="00236E2A"/>
    <w:rsid w:val="002372B3"/>
    <w:rsid w:val="002376A9"/>
    <w:rsid w:val="00237F62"/>
    <w:rsid w:val="00240E4F"/>
    <w:rsid w:val="00241E10"/>
    <w:rsid w:val="00242A6B"/>
    <w:rsid w:val="00243505"/>
    <w:rsid w:val="0024458B"/>
    <w:rsid w:val="00245657"/>
    <w:rsid w:val="0024586A"/>
    <w:rsid w:val="0024601F"/>
    <w:rsid w:val="002468CE"/>
    <w:rsid w:val="002502E1"/>
    <w:rsid w:val="00250F80"/>
    <w:rsid w:val="0025124F"/>
    <w:rsid w:val="00251330"/>
    <w:rsid w:val="002518A2"/>
    <w:rsid w:val="002528B3"/>
    <w:rsid w:val="00252C95"/>
    <w:rsid w:val="00253C96"/>
    <w:rsid w:val="0025551F"/>
    <w:rsid w:val="00255F8C"/>
    <w:rsid w:val="00256174"/>
    <w:rsid w:val="002564EC"/>
    <w:rsid w:val="00256F0C"/>
    <w:rsid w:val="00257231"/>
    <w:rsid w:val="00260318"/>
    <w:rsid w:val="00261B24"/>
    <w:rsid w:val="00261C23"/>
    <w:rsid w:val="00262C05"/>
    <w:rsid w:val="0026342A"/>
    <w:rsid w:val="00263868"/>
    <w:rsid w:val="002640CF"/>
    <w:rsid w:val="00266359"/>
    <w:rsid w:val="002700A2"/>
    <w:rsid w:val="002715AF"/>
    <w:rsid w:val="002717F0"/>
    <w:rsid w:val="00272B9F"/>
    <w:rsid w:val="0027301C"/>
    <w:rsid w:val="00273099"/>
    <w:rsid w:val="00281B9B"/>
    <w:rsid w:val="00281BCB"/>
    <w:rsid w:val="00281D14"/>
    <w:rsid w:val="00281F6E"/>
    <w:rsid w:val="00282953"/>
    <w:rsid w:val="00282C13"/>
    <w:rsid w:val="002833D8"/>
    <w:rsid w:val="00285669"/>
    <w:rsid w:val="00286BF6"/>
    <w:rsid w:val="00287337"/>
    <w:rsid w:val="00287DEE"/>
    <w:rsid w:val="002903B7"/>
    <w:rsid w:val="00291992"/>
    <w:rsid w:val="002923A5"/>
    <w:rsid w:val="00294EB3"/>
    <w:rsid w:val="0029598A"/>
    <w:rsid w:val="00295E54"/>
    <w:rsid w:val="002962D7"/>
    <w:rsid w:val="00296C33"/>
    <w:rsid w:val="002971BC"/>
    <w:rsid w:val="002A0462"/>
    <w:rsid w:val="002A0D7B"/>
    <w:rsid w:val="002A0DF7"/>
    <w:rsid w:val="002A1B79"/>
    <w:rsid w:val="002A268C"/>
    <w:rsid w:val="002A2975"/>
    <w:rsid w:val="002A2E94"/>
    <w:rsid w:val="002A460D"/>
    <w:rsid w:val="002A4CEA"/>
    <w:rsid w:val="002A505B"/>
    <w:rsid w:val="002A573D"/>
    <w:rsid w:val="002A5EE9"/>
    <w:rsid w:val="002A60E0"/>
    <w:rsid w:val="002A6B23"/>
    <w:rsid w:val="002B03A5"/>
    <w:rsid w:val="002B1AA8"/>
    <w:rsid w:val="002B1E51"/>
    <w:rsid w:val="002B1E87"/>
    <w:rsid w:val="002B2252"/>
    <w:rsid w:val="002B28CF"/>
    <w:rsid w:val="002B35E0"/>
    <w:rsid w:val="002B3BC2"/>
    <w:rsid w:val="002B4447"/>
    <w:rsid w:val="002B5F9F"/>
    <w:rsid w:val="002B687A"/>
    <w:rsid w:val="002C1344"/>
    <w:rsid w:val="002C252E"/>
    <w:rsid w:val="002C3A2A"/>
    <w:rsid w:val="002C458A"/>
    <w:rsid w:val="002C5C44"/>
    <w:rsid w:val="002C6552"/>
    <w:rsid w:val="002C6773"/>
    <w:rsid w:val="002C6F51"/>
    <w:rsid w:val="002C73EC"/>
    <w:rsid w:val="002D0FE0"/>
    <w:rsid w:val="002D269A"/>
    <w:rsid w:val="002D2A3D"/>
    <w:rsid w:val="002D2EB6"/>
    <w:rsid w:val="002D391F"/>
    <w:rsid w:val="002D3E72"/>
    <w:rsid w:val="002D3EAC"/>
    <w:rsid w:val="002D46A9"/>
    <w:rsid w:val="002D4EBA"/>
    <w:rsid w:val="002D5D1D"/>
    <w:rsid w:val="002D60C8"/>
    <w:rsid w:val="002D6773"/>
    <w:rsid w:val="002D6EFD"/>
    <w:rsid w:val="002D74CF"/>
    <w:rsid w:val="002E0A45"/>
    <w:rsid w:val="002E0B17"/>
    <w:rsid w:val="002E0EBE"/>
    <w:rsid w:val="002E26B4"/>
    <w:rsid w:val="002E4FFB"/>
    <w:rsid w:val="002E6110"/>
    <w:rsid w:val="002E62F7"/>
    <w:rsid w:val="002E63A7"/>
    <w:rsid w:val="002E650E"/>
    <w:rsid w:val="002E6E2F"/>
    <w:rsid w:val="002E7DED"/>
    <w:rsid w:val="002F0334"/>
    <w:rsid w:val="002F1DCB"/>
    <w:rsid w:val="002F2A7B"/>
    <w:rsid w:val="002F3BAD"/>
    <w:rsid w:val="002F4AB2"/>
    <w:rsid w:val="002F5944"/>
    <w:rsid w:val="002F5B88"/>
    <w:rsid w:val="002F7BC2"/>
    <w:rsid w:val="002F7E11"/>
    <w:rsid w:val="0030037C"/>
    <w:rsid w:val="00301C72"/>
    <w:rsid w:val="00304087"/>
    <w:rsid w:val="003053DC"/>
    <w:rsid w:val="003054B0"/>
    <w:rsid w:val="003057B1"/>
    <w:rsid w:val="003062AD"/>
    <w:rsid w:val="00306D32"/>
    <w:rsid w:val="00310ACD"/>
    <w:rsid w:val="003129C1"/>
    <w:rsid w:val="00312C23"/>
    <w:rsid w:val="0031379F"/>
    <w:rsid w:val="00313A9C"/>
    <w:rsid w:val="00314A97"/>
    <w:rsid w:val="00315442"/>
    <w:rsid w:val="0031621E"/>
    <w:rsid w:val="00316A16"/>
    <w:rsid w:val="00320228"/>
    <w:rsid w:val="00320A26"/>
    <w:rsid w:val="003212F3"/>
    <w:rsid w:val="00321344"/>
    <w:rsid w:val="00321788"/>
    <w:rsid w:val="00325064"/>
    <w:rsid w:val="00325630"/>
    <w:rsid w:val="00325EC9"/>
    <w:rsid w:val="003264EE"/>
    <w:rsid w:val="00326D29"/>
    <w:rsid w:val="003279C6"/>
    <w:rsid w:val="00327FC3"/>
    <w:rsid w:val="0032B295"/>
    <w:rsid w:val="003303B3"/>
    <w:rsid w:val="00331A3E"/>
    <w:rsid w:val="0033451C"/>
    <w:rsid w:val="00334532"/>
    <w:rsid w:val="00334D82"/>
    <w:rsid w:val="00335660"/>
    <w:rsid w:val="00335FBD"/>
    <w:rsid w:val="00336854"/>
    <w:rsid w:val="0033769B"/>
    <w:rsid w:val="0034015C"/>
    <w:rsid w:val="0034139E"/>
    <w:rsid w:val="00341409"/>
    <w:rsid w:val="00341CAE"/>
    <w:rsid w:val="003428E6"/>
    <w:rsid w:val="00343BA2"/>
    <w:rsid w:val="003442F4"/>
    <w:rsid w:val="00344546"/>
    <w:rsid w:val="00344C02"/>
    <w:rsid w:val="003455CF"/>
    <w:rsid w:val="00345FA1"/>
    <w:rsid w:val="0034716E"/>
    <w:rsid w:val="003472B8"/>
    <w:rsid w:val="00350CB4"/>
    <w:rsid w:val="00351976"/>
    <w:rsid w:val="00353705"/>
    <w:rsid w:val="00354B07"/>
    <w:rsid w:val="00354C69"/>
    <w:rsid w:val="00355536"/>
    <w:rsid w:val="003562E8"/>
    <w:rsid w:val="00356589"/>
    <w:rsid w:val="003569B5"/>
    <w:rsid w:val="00357F94"/>
    <w:rsid w:val="003614D7"/>
    <w:rsid w:val="00361E9F"/>
    <w:rsid w:val="00361FB0"/>
    <w:rsid w:val="003632DC"/>
    <w:rsid w:val="0036357D"/>
    <w:rsid w:val="00363B78"/>
    <w:rsid w:val="003649BC"/>
    <w:rsid w:val="00364F24"/>
    <w:rsid w:val="00364F7E"/>
    <w:rsid w:val="00365E44"/>
    <w:rsid w:val="003662B1"/>
    <w:rsid w:val="003667AD"/>
    <w:rsid w:val="00367AA1"/>
    <w:rsid w:val="00370A5B"/>
    <w:rsid w:val="00372497"/>
    <w:rsid w:val="00372619"/>
    <w:rsid w:val="00372E36"/>
    <w:rsid w:val="00373D53"/>
    <w:rsid w:val="00374851"/>
    <w:rsid w:val="0037555D"/>
    <w:rsid w:val="00375653"/>
    <w:rsid w:val="00375DFA"/>
    <w:rsid w:val="00375F7D"/>
    <w:rsid w:val="003767D3"/>
    <w:rsid w:val="00376EE9"/>
    <w:rsid w:val="00376FFC"/>
    <w:rsid w:val="00377CBB"/>
    <w:rsid w:val="0038079F"/>
    <w:rsid w:val="00381953"/>
    <w:rsid w:val="00381CF2"/>
    <w:rsid w:val="00382DA3"/>
    <w:rsid w:val="00382DF7"/>
    <w:rsid w:val="00384F62"/>
    <w:rsid w:val="00385438"/>
    <w:rsid w:val="00385816"/>
    <w:rsid w:val="003858E5"/>
    <w:rsid w:val="0038686B"/>
    <w:rsid w:val="003877B6"/>
    <w:rsid w:val="00391024"/>
    <w:rsid w:val="00391539"/>
    <w:rsid w:val="003915B0"/>
    <w:rsid w:val="003921B7"/>
    <w:rsid w:val="00393887"/>
    <w:rsid w:val="00393F1B"/>
    <w:rsid w:val="00394C6B"/>
    <w:rsid w:val="003958C2"/>
    <w:rsid w:val="0039610B"/>
    <w:rsid w:val="00397C2B"/>
    <w:rsid w:val="00397C90"/>
    <w:rsid w:val="003A0961"/>
    <w:rsid w:val="003A290F"/>
    <w:rsid w:val="003A4AAA"/>
    <w:rsid w:val="003A4B10"/>
    <w:rsid w:val="003A4E2E"/>
    <w:rsid w:val="003A4E62"/>
    <w:rsid w:val="003A56EB"/>
    <w:rsid w:val="003A5A6A"/>
    <w:rsid w:val="003A63F6"/>
    <w:rsid w:val="003A6CB9"/>
    <w:rsid w:val="003A775E"/>
    <w:rsid w:val="003B02F2"/>
    <w:rsid w:val="003B0BD0"/>
    <w:rsid w:val="003B0CDD"/>
    <w:rsid w:val="003B1069"/>
    <w:rsid w:val="003B12EA"/>
    <w:rsid w:val="003B2BB0"/>
    <w:rsid w:val="003B2CC9"/>
    <w:rsid w:val="003B2EAB"/>
    <w:rsid w:val="003B38CC"/>
    <w:rsid w:val="003B390A"/>
    <w:rsid w:val="003B3D53"/>
    <w:rsid w:val="003B4477"/>
    <w:rsid w:val="003B4E3A"/>
    <w:rsid w:val="003B6373"/>
    <w:rsid w:val="003B79E1"/>
    <w:rsid w:val="003C0E8C"/>
    <w:rsid w:val="003C15DE"/>
    <w:rsid w:val="003C2096"/>
    <w:rsid w:val="003C2889"/>
    <w:rsid w:val="003C2C33"/>
    <w:rsid w:val="003C34C9"/>
    <w:rsid w:val="003C35B1"/>
    <w:rsid w:val="003C4EB2"/>
    <w:rsid w:val="003C5E05"/>
    <w:rsid w:val="003C63D0"/>
    <w:rsid w:val="003C7959"/>
    <w:rsid w:val="003D0FD1"/>
    <w:rsid w:val="003D38D5"/>
    <w:rsid w:val="003D3968"/>
    <w:rsid w:val="003D42AF"/>
    <w:rsid w:val="003D4AD2"/>
    <w:rsid w:val="003D4BFC"/>
    <w:rsid w:val="003D4CC0"/>
    <w:rsid w:val="003D4D58"/>
    <w:rsid w:val="003D5E11"/>
    <w:rsid w:val="003D5F1E"/>
    <w:rsid w:val="003D73C0"/>
    <w:rsid w:val="003E031D"/>
    <w:rsid w:val="003E1343"/>
    <w:rsid w:val="003E275E"/>
    <w:rsid w:val="003E4BF6"/>
    <w:rsid w:val="003E6849"/>
    <w:rsid w:val="003E7305"/>
    <w:rsid w:val="003F0C1C"/>
    <w:rsid w:val="003F11AB"/>
    <w:rsid w:val="003F1AF3"/>
    <w:rsid w:val="003F25E4"/>
    <w:rsid w:val="003F4743"/>
    <w:rsid w:val="003F4804"/>
    <w:rsid w:val="003F4AAA"/>
    <w:rsid w:val="003F4D8D"/>
    <w:rsid w:val="003F66A4"/>
    <w:rsid w:val="00401508"/>
    <w:rsid w:val="00401688"/>
    <w:rsid w:val="00401E6F"/>
    <w:rsid w:val="004024D9"/>
    <w:rsid w:val="0040257E"/>
    <w:rsid w:val="00402AAD"/>
    <w:rsid w:val="0040379A"/>
    <w:rsid w:val="0040386D"/>
    <w:rsid w:val="00404188"/>
    <w:rsid w:val="0040638A"/>
    <w:rsid w:val="00406435"/>
    <w:rsid w:val="004066F9"/>
    <w:rsid w:val="00406CBE"/>
    <w:rsid w:val="004073DC"/>
    <w:rsid w:val="00407F4A"/>
    <w:rsid w:val="004128C1"/>
    <w:rsid w:val="004137C0"/>
    <w:rsid w:val="004138F3"/>
    <w:rsid w:val="00413BD1"/>
    <w:rsid w:val="004147EA"/>
    <w:rsid w:val="00415902"/>
    <w:rsid w:val="00415A33"/>
    <w:rsid w:val="00416A80"/>
    <w:rsid w:val="00417640"/>
    <w:rsid w:val="00421F20"/>
    <w:rsid w:val="0042364A"/>
    <w:rsid w:val="00423B63"/>
    <w:rsid w:val="004248C3"/>
    <w:rsid w:val="0042630F"/>
    <w:rsid w:val="00427BEA"/>
    <w:rsid w:val="00427EDC"/>
    <w:rsid w:val="00427EF2"/>
    <w:rsid w:val="00430120"/>
    <w:rsid w:val="004313E7"/>
    <w:rsid w:val="00432542"/>
    <w:rsid w:val="004339B2"/>
    <w:rsid w:val="004366E6"/>
    <w:rsid w:val="00436CCB"/>
    <w:rsid w:val="00440223"/>
    <w:rsid w:val="004415B9"/>
    <w:rsid w:val="00444A70"/>
    <w:rsid w:val="00444D85"/>
    <w:rsid w:val="00446DE2"/>
    <w:rsid w:val="0044763B"/>
    <w:rsid w:val="00447E45"/>
    <w:rsid w:val="00452696"/>
    <w:rsid w:val="00453F32"/>
    <w:rsid w:val="00454665"/>
    <w:rsid w:val="00455119"/>
    <w:rsid w:val="00456A53"/>
    <w:rsid w:val="00457083"/>
    <w:rsid w:val="00461D39"/>
    <w:rsid w:val="0046213C"/>
    <w:rsid w:val="00462518"/>
    <w:rsid w:val="0046266D"/>
    <w:rsid w:val="004629B3"/>
    <w:rsid w:val="00463022"/>
    <w:rsid w:val="0046376E"/>
    <w:rsid w:val="00463B50"/>
    <w:rsid w:val="00463C17"/>
    <w:rsid w:val="004647C5"/>
    <w:rsid w:val="0046587C"/>
    <w:rsid w:val="0046690F"/>
    <w:rsid w:val="0046792B"/>
    <w:rsid w:val="00471116"/>
    <w:rsid w:val="00472FEC"/>
    <w:rsid w:val="00473A2A"/>
    <w:rsid w:val="00474165"/>
    <w:rsid w:val="0047442A"/>
    <w:rsid w:val="0047503A"/>
    <w:rsid w:val="0047600D"/>
    <w:rsid w:val="00476830"/>
    <w:rsid w:val="0047696E"/>
    <w:rsid w:val="004770F6"/>
    <w:rsid w:val="00480128"/>
    <w:rsid w:val="004812D2"/>
    <w:rsid w:val="004822BA"/>
    <w:rsid w:val="00482D4B"/>
    <w:rsid w:val="00483617"/>
    <w:rsid w:val="00483B28"/>
    <w:rsid w:val="004858E1"/>
    <w:rsid w:val="00485EF2"/>
    <w:rsid w:val="004864A1"/>
    <w:rsid w:val="0048662B"/>
    <w:rsid w:val="00486CB5"/>
    <w:rsid w:val="0048769E"/>
    <w:rsid w:val="004900ED"/>
    <w:rsid w:val="00490A03"/>
    <w:rsid w:val="00490B0D"/>
    <w:rsid w:val="00490E5D"/>
    <w:rsid w:val="00492782"/>
    <w:rsid w:val="00492908"/>
    <w:rsid w:val="00492B0A"/>
    <w:rsid w:val="00492D88"/>
    <w:rsid w:val="00493327"/>
    <w:rsid w:val="0049382E"/>
    <w:rsid w:val="00493B38"/>
    <w:rsid w:val="00494DBE"/>
    <w:rsid w:val="00495CE6"/>
    <w:rsid w:val="00497524"/>
    <w:rsid w:val="00497D5E"/>
    <w:rsid w:val="004A1001"/>
    <w:rsid w:val="004A144D"/>
    <w:rsid w:val="004A1D27"/>
    <w:rsid w:val="004A323C"/>
    <w:rsid w:val="004A5AB1"/>
    <w:rsid w:val="004A66C7"/>
    <w:rsid w:val="004B0801"/>
    <w:rsid w:val="004B1117"/>
    <w:rsid w:val="004B1A6B"/>
    <w:rsid w:val="004B1FC8"/>
    <w:rsid w:val="004B2C19"/>
    <w:rsid w:val="004B339A"/>
    <w:rsid w:val="004B51AC"/>
    <w:rsid w:val="004B54E8"/>
    <w:rsid w:val="004B66C2"/>
    <w:rsid w:val="004B6B26"/>
    <w:rsid w:val="004B773C"/>
    <w:rsid w:val="004C0138"/>
    <w:rsid w:val="004C02B7"/>
    <w:rsid w:val="004C0686"/>
    <w:rsid w:val="004C0F3B"/>
    <w:rsid w:val="004C12E8"/>
    <w:rsid w:val="004C130C"/>
    <w:rsid w:val="004C1578"/>
    <w:rsid w:val="004C174B"/>
    <w:rsid w:val="004C286B"/>
    <w:rsid w:val="004C33BA"/>
    <w:rsid w:val="004C47EA"/>
    <w:rsid w:val="004C4FEB"/>
    <w:rsid w:val="004C6570"/>
    <w:rsid w:val="004C678C"/>
    <w:rsid w:val="004C6B79"/>
    <w:rsid w:val="004C7345"/>
    <w:rsid w:val="004D059B"/>
    <w:rsid w:val="004D09E8"/>
    <w:rsid w:val="004D09F9"/>
    <w:rsid w:val="004D0E64"/>
    <w:rsid w:val="004D304E"/>
    <w:rsid w:val="004D4543"/>
    <w:rsid w:val="004D48A8"/>
    <w:rsid w:val="004D4CB6"/>
    <w:rsid w:val="004D4DCB"/>
    <w:rsid w:val="004E0907"/>
    <w:rsid w:val="004E20CF"/>
    <w:rsid w:val="004E2324"/>
    <w:rsid w:val="004E28C9"/>
    <w:rsid w:val="004E31E2"/>
    <w:rsid w:val="004E3341"/>
    <w:rsid w:val="004E5124"/>
    <w:rsid w:val="004E5765"/>
    <w:rsid w:val="004E5FA8"/>
    <w:rsid w:val="004E5FD0"/>
    <w:rsid w:val="004E693B"/>
    <w:rsid w:val="004E7BE2"/>
    <w:rsid w:val="004E7E3A"/>
    <w:rsid w:val="004F0118"/>
    <w:rsid w:val="004F0AD4"/>
    <w:rsid w:val="004F0D08"/>
    <w:rsid w:val="004F10C1"/>
    <w:rsid w:val="004F1A25"/>
    <w:rsid w:val="004F1C5E"/>
    <w:rsid w:val="004F398A"/>
    <w:rsid w:val="004F3E47"/>
    <w:rsid w:val="004F47DC"/>
    <w:rsid w:val="004F4CC8"/>
    <w:rsid w:val="004F4F5A"/>
    <w:rsid w:val="004F51FF"/>
    <w:rsid w:val="004F56E7"/>
    <w:rsid w:val="004F5AD9"/>
    <w:rsid w:val="004F699F"/>
    <w:rsid w:val="004F7C06"/>
    <w:rsid w:val="00500061"/>
    <w:rsid w:val="00500955"/>
    <w:rsid w:val="0050159C"/>
    <w:rsid w:val="005018C2"/>
    <w:rsid w:val="00501A7D"/>
    <w:rsid w:val="00501C9E"/>
    <w:rsid w:val="005022B7"/>
    <w:rsid w:val="00502E62"/>
    <w:rsid w:val="00504845"/>
    <w:rsid w:val="00506B8A"/>
    <w:rsid w:val="005070F4"/>
    <w:rsid w:val="005110D3"/>
    <w:rsid w:val="00512642"/>
    <w:rsid w:val="005135FF"/>
    <w:rsid w:val="00515D8D"/>
    <w:rsid w:val="005168ED"/>
    <w:rsid w:val="00516EBC"/>
    <w:rsid w:val="00520A65"/>
    <w:rsid w:val="00521834"/>
    <w:rsid w:val="00521891"/>
    <w:rsid w:val="005218B8"/>
    <w:rsid w:val="0052212B"/>
    <w:rsid w:val="005221A8"/>
    <w:rsid w:val="005225D6"/>
    <w:rsid w:val="005230C7"/>
    <w:rsid w:val="0052329A"/>
    <w:rsid w:val="0052625A"/>
    <w:rsid w:val="005266EA"/>
    <w:rsid w:val="00527072"/>
    <w:rsid w:val="00527C1A"/>
    <w:rsid w:val="0053001D"/>
    <w:rsid w:val="00533DCC"/>
    <w:rsid w:val="00534B46"/>
    <w:rsid w:val="00534CE8"/>
    <w:rsid w:val="00535018"/>
    <w:rsid w:val="00535180"/>
    <w:rsid w:val="005355DB"/>
    <w:rsid w:val="00535866"/>
    <w:rsid w:val="0053628B"/>
    <w:rsid w:val="00540358"/>
    <w:rsid w:val="00540A05"/>
    <w:rsid w:val="00540D47"/>
    <w:rsid w:val="005428D7"/>
    <w:rsid w:val="00542D43"/>
    <w:rsid w:val="0054427E"/>
    <w:rsid w:val="00544504"/>
    <w:rsid w:val="005463C3"/>
    <w:rsid w:val="005465A3"/>
    <w:rsid w:val="00547C7C"/>
    <w:rsid w:val="005506D5"/>
    <w:rsid w:val="00550864"/>
    <w:rsid w:val="00550B92"/>
    <w:rsid w:val="00551D6C"/>
    <w:rsid w:val="00553580"/>
    <w:rsid w:val="005550A8"/>
    <w:rsid w:val="0055571E"/>
    <w:rsid w:val="00556F67"/>
    <w:rsid w:val="00556FE5"/>
    <w:rsid w:val="00557849"/>
    <w:rsid w:val="00563009"/>
    <w:rsid w:val="005635B7"/>
    <w:rsid w:val="00563BC6"/>
    <w:rsid w:val="00564534"/>
    <w:rsid w:val="005652E8"/>
    <w:rsid w:val="0056772E"/>
    <w:rsid w:val="00567A17"/>
    <w:rsid w:val="0057667C"/>
    <w:rsid w:val="00576BDA"/>
    <w:rsid w:val="00577DB4"/>
    <w:rsid w:val="00581B1C"/>
    <w:rsid w:val="005826DA"/>
    <w:rsid w:val="00582943"/>
    <w:rsid w:val="00582B83"/>
    <w:rsid w:val="00582D0E"/>
    <w:rsid w:val="00582E09"/>
    <w:rsid w:val="005833F0"/>
    <w:rsid w:val="0058377F"/>
    <w:rsid w:val="00583872"/>
    <w:rsid w:val="00586280"/>
    <w:rsid w:val="005865FC"/>
    <w:rsid w:val="005869CE"/>
    <w:rsid w:val="00586CAF"/>
    <w:rsid w:val="005873E9"/>
    <w:rsid w:val="00587A90"/>
    <w:rsid w:val="00590740"/>
    <w:rsid w:val="00590A34"/>
    <w:rsid w:val="00591180"/>
    <w:rsid w:val="00592E9F"/>
    <w:rsid w:val="00595286"/>
    <w:rsid w:val="00595E5A"/>
    <w:rsid w:val="00596CED"/>
    <w:rsid w:val="0059722C"/>
    <w:rsid w:val="005977A6"/>
    <w:rsid w:val="00597A4C"/>
    <w:rsid w:val="00597D07"/>
    <w:rsid w:val="00597DD6"/>
    <w:rsid w:val="005A16E6"/>
    <w:rsid w:val="005A30D7"/>
    <w:rsid w:val="005A3846"/>
    <w:rsid w:val="005A3EB5"/>
    <w:rsid w:val="005A5E6B"/>
    <w:rsid w:val="005A678F"/>
    <w:rsid w:val="005A7514"/>
    <w:rsid w:val="005A7DE8"/>
    <w:rsid w:val="005A7E1D"/>
    <w:rsid w:val="005A7E97"/>
    <w:rsid w:val="005B0B0D"/>
    <w:rsid w:val="005B0DFE"/>
    <w:rsid w:val="005B25C1"/>
    <w:rsid w:val="005B2B19"/>
    <w:rsid w:val="005B2CD2"/>
    <w:rsid w:val="005B33E0"/>
    <w:rsid w:val="005B632A"/>
    <w:rsid w:val="005B6A58"/>
    <w:rsid w:val="005C0195"/>
    <w:rsid w:val="005C082A"/>
    <w:rsid w:val="005C2D0E"/>
    <w:rsid w:val="005C5A83"/>
    <w:rsid w:val="005C7112"/>
    <w:rsid w:val="005C74AF"/>
    <w:rsid w:val="005D0561"/>
    <w:rsid w:val="005D0AD9"/>
    <w:rsid w:val="005D0CB8"/>
    <w:rsid w:val="005D1A67"/>
    <w:rsid w:val="005D1C91"/>
    <w:rsid w:val="005D22F6"/>
    <w:rsid w:val="005D6774"/>
    <w:rsid w:val="005D68AA"/>
    <w:rsid w:val="005D6BD1"/>
    <w:rsid w:val="005E060E"/>
    <w:rsid w:val="005E0C30"/>
    <w:rsid w:val="005E1DCB"/>
    <w:rsid w:val="005E2377"/>
    <w:rsid w:val="005E2754"/>
    <w:rsid w:val="005E2EE4"/>
    <w:rsid w:val="005E33E0"/>
    <w:rsid w:val="005E3FBB"/>
    <w:rsid w:val="005E4ADC"/>
    <w:rsid w:val="005E66B4"/>
    <w:rsid w:val="005E69D9"/>
    <w:rsid w:val="005E6CB1"/>
    <w:rsid w:val="005E7116"/>
    <w:rsid w:val="005E7971"/>
    <w:rsid w:val="005F00E8"/>
    <w:rsid w:val="005F17D1"/>
    <w:rsid w:val="005F27F4"/>
    <w:rsid w:val="005F3239"/>
    <w:rsid w:val="005F39BF"/>
    <w:rsid w:val="005F4DB8"/>
    <w:rsid w:val="005F566C"/>
    <w:rsid w:val="005F58DA"/>
    <w:rsid w:val="005F6567"/>
    <w:rsid w:val="005F676D"/>
    <w:rsid w:val="005F7A8A"/>
    <w:rsid w:val="00600230"/>
    <w:rsid w:val="0060049E"/>
    <w:rsid w:val="006007CE"/>
    <w:rsid w:val="00600998"/>
    <w:rsid w:val="00600ACF"/>
    <w:rsid w:val="006019EB"/>
    <w:rsid w:val="006027CA"/>
    <w:rsid w:val="00603902"/>
    <w:rsid w:val="00605DFE"/>
    <w:rsid w:val="00606349"/>
    <w:rsid w:val="00606D56"/>
    <w:rsid w:val="00607094"/>
    <w:rsid w:val="00607256"/>
    <w:rsid w:val="0060790C"/>
    <w:rsid w:val="0060791E"/>
    <w:rsid w:val="00611B4C"/>
    <w:rsid w:val="00611F08"/>
    <w:rsid w:val="00613BF1"/>
    <w:rsid w:val="006144B1"/>
    <w:rsid w:val="00614A1C"/>
    <w:rsid w:val="006159CF"/>
    <w:rsid w:val="00615A5C"/>
    <w:rsid w:val="006177FF"/>
    <w:rsid w:val="0062077F"/>
    <w:rsid w:val="00620AC6"/>
    <w:rsid w:val="00621BC7"/>
    <w:rsid w:val="00622033"/>
    <w:rsid w:val="0062232C"/>
    <w:rsid w:val="00623A46"/>
    <w:rsid w:val="00630644"/>
    <w:rsid w:val="006335F1"/>
    <w:rsid w:val="006336FD"/>
    <w:rsid w:val="00633B49"/>
    <w:rsid w:val="006345B6"/>
    <w:rsid w:val="006349FD"/>
    <w:rsid w:val="00635177"/>
    <w:rsid w:val="00635616"/>
    <w:rsid w:val="00635712"/>
    <w:rsid w:val="00635984"/>
    <w:rsid w:val="00635F41"/>
    <w:rsid w:val="006367C6"/>
    <w:rsid w:val="006368FF"/>
    <w:rsid w:val="006377D4"/>
    <w:rsid w:val="00640135"/>
    <w:rsid w:val="006402FF"/>
    <w:rsid w:val="0064107F"/>
    <w:rsid w:val="00641108"/>
    <w:rsid w:val="00643D8A"/>
    <w:rsid w:val="00645A5C"/>
    <w:rsid w:val="00646797"/>
    <w:rsid w:val="00647AB9"/>
    <w:rsid w:val="00650894"/>
    <w:rsid w:val="0065112B"/>
    <w:rsid w:val="00652091"/>
    <w:rsid w:val="00652229"/>
    <w:rsid w:val="00652793"/>
    <w:rsid w:val="006528DE"/>
    <w:rsid w:val="00653020"/>
    <w:rsid w:val="00654901"/>
    <w:rsid w:val="00655CA6"/>
    <w:rsid w:val="00657789"/>
    <w:rsid w:val="00660196"/>
    <w:rsid w:val="00660320"/>
    <w:rsid w:val="0066187E"/>
    <w:rsid w:val="00661F33"/>
    <w:rsid w:val="00662375"/>
    <w:rsid w:val="006626CA"/>
    <w:rsid w:val="00662E48"/>
    <w:rsid w:val="00663487"/>
    <w:rsid w:val="0066592C"/>
    <w:rsid w:val="006662DE"/>
    <w:rsid w:val="00670B70"/>
    <w:rsid w:val="006711A6"/>
    <w:rsid w:val="00671571"/>
    <w:rsid w:val="00671649"/>
    <w:rsid w:val="00672382"/>
    <w:rsid w:val="006733BB"/>
    <w:rsid w:val="00676E80"/>
    <w:rsid w:val="006802BC"/>
    <w:rsid w:val="00681257"/>
    <w:rsid w:val="00681BD4"/>
    <w:rsid w:val="00681C3E"/>
    <w:rsid w:val="006822E9"/>
    <w:rsid w:val="006823EE"/>
    <w:rsid w:val="00682643"/>
    <w:rsid w:val="00682EB9"/>
    <w:rsid w:val="00682F1E"/>
    <w:rsid w:val="0068378C"/>
    <w:rsid w:val="006839D3"/>
    <w:rsid w:val="0068441A"/>
    <w:rsid w:val="00684CF3"/>
    <w:rsid w:val="00684DB2"/>
    <w:rsid w:val="006866D7"/>
    <w:rsid w:val="0068699A"/>
    <w:rsid w:val="00687DEC"/>
    <w:rsid w:val="00690842"/>
    <w:rsid w:val="00690B19"/>
    <w:rsid w:val="00691A93"/>
    <w:rsid w:val="00692327"/>
    <w:rsid w:val="00695C48"/>
    <w:rsid w:val="0069650C"/>
    <w:rsid w:val="006A0A3C"/>
    <w:rsid w:val="006A1709"/>
    <w:rsid w:val="006A1ED8"/>
    <w:rsid w:val="006A1FFC"/>
    <w:rsid w:val="006A2EF9"/>
    <w:rsid w:val="006A390A"/>
    <w:rsid w:val="006A59E9"/>
    <w:rsid w:val="006A5AB1"/>
    <w:rsid w:val="006A60BF"/>
    <w:rsid w:val="006A75B8"/>
    <w:rsid w:val="006A79F0"/>
    <w:rsid w:val="006B048F"/>
    <w:rsid w:val="006B0D77"/>
    <w:rsid w:val="006B359D"/>
    <w:rsid w:val="006B47EE"/>
    <w:rsid w:val="006B499F"/>
    <w:rsid w:val="006B4B96"/>
    <w:rsid w:val="006B54C6"/>
    <w:rsid w:val="006B58C1"/>
    <w:rsid w:val="006B617F"/>
    <w:rsid w:val="006B681D"/>
    <w:rsid w:val="006C020A"/>
    <w:rsid w:val="006C0E65"/>
    <w:rsid w:val="006C1FB8"/>
    <w:rsid w:val="006C2BB0"/>
    <w:rsid w:val="006C33BE"/>
    <w:rsid w:val="006C3C77"/>
    <w:rsid w:val="006C4B3D"/>
    <w:rsid w:val="006C5B53"/>
    <w:rsid w:val="006C757C"/>
    <w:rsid w:val="006C7E78"/>
    <w:rsid w:val="006D064D"/>
    <w:rsid w:val="006D098F"/>
    <w:rsid w:val="006D1091"/>
    <w:rsid w:val="006D20E3"/>
    <w:rsid w:val="006D2218"/>
    <w:rsid w:val="006D2C34"/>
    <w:rsid w:val="006D33E1"/>
    <w:rsid w:val="006D42FE"/>
    <w:rsid w:val="006D4996"/>
    <w:rsid w:val="006D535B"/>
    <w:rsid w:val="006D54AB"/>
    <w:rsid w:val="006D58E5"/>
    <w:rsid w:val="006D6CC0"/>
    <w:rsid w:val="006E00F4"/>
    <w:rsid w:val="006E0DDE"/>
    <w:rsid w:val="006E0F11"/>
    <w:rsid w:val="006E1084"/>
    <w:rsid w:val="006E10B2"/>
    <w:rsid w:val="006E173B"/>
    <w:rsid w:val="006E1FA9"/>
    <w:rsid w:val="006E25F2"/>
    <w:rsid w:val="006E26DE"/>
    <w:rsid w:val="006E2D24"/>
    <w:rsid w:val="006E3006"/>
    <w:rsid w:val="006E4F02"/>
    <w:rsid w:val="006E5032"/>
    <w:rsid w:val="006E5BDA"/>
    <w:rsid w:val="006E7523"/>
    <w:rsid w:val="006E7AC9"/>
    <w:rsid w:val="006F0AF0"/>
    <w:rsid w:val="006F0FC7"/>
    <w:rsid w:val="006F2241"/>
    <w:rsid w:val="006F39A9"/>
    <w:rsid w:val="006F3D9D"/>
    <w:rsid w:val="006F524E"/>
    <w:rsid w:val="006F56A8"/>
    <w:rsid w:val="006F5C9C"/>
    <w:rsid w:val="006F5D57"/>
    <w:rsid w:val="006F643F"/>
    <w:rsid w:val="006F66E1"/>
    <w:rsid w:val="006F670F"/>
    <w:rsid w:val="006F74EC"/>
    <w:rsid w:val="006F77F3"/>
    <w:rsid w:val="007003E9"/>
    <w:rsid w:val="0070063C"/>
    <w:rsid w:val="00700939"/>
    <w:rsid w:val="007009EF"/>
    <w:rsid w:val="00700D24"/>
    <w:rsid w:val="00700D69"/>
    <w:rsid w:val="00702921"/>
    <w:rsid w:val="00703272"/>
    <w:rsid w:val="0070362C"/>
    <w:rsid w:val="0070471B"/>
    <w:rsid w:val="00705BBE"/>
    <w:rsid w:val="00706EA5"/>
    <w:rsid w:val="0070733C"/>
    <w:rsid w:val="00707436"/>
    <w:rsid w:val="007102D5"/>
    <w:rsid w:val="00710C5D"/>
    <w:rsid w:val="0071348C"/>
    <w:rsid w:val="0071413A"/>
    <w:rsid w:val="00717273"/>
    <w:rsid w:val="00720D9C"/>
    <w:rsid w:val="00720FD4"/>
    <w:rsid w:val="00721072"/>
    <w:rsid w:val="00722F57"/>
    <w:rsid w:val="0072314B"/>
    <w:rsid w:val="00723C6D"/>
    <w:rsid w:val="00724550"/>
    <w:rsid w:val="007246A0"/>
    <w:rsid w:val="00724737"/>
    <w:rsid w:val="00724AF2"/>
    <w:rsid w:val="00730624"/>
    <w:rsid w:val="0073096C"/>
    <w:rsid w:val="0073100D"/>
    <w:rsid w:val="0073133B"/>
    <w:rsid w:val="00731368"/>
    <w:rsid w:val="00731C55"/>
    <w:rsid w:val="007329B4"/>
    <w:rsid w:val="00733429"/>
    <w:rsid w:val="00733A46"/>
    <w:rsid w:val="00735E2D"/>
    <w:rsid w:val="00736831"/>
    <w:rsid w:val="00736DDC"/>
    <w:rsid w:val="00736F2C"/>
    <w:rsid w:val="0073708F"/>
    <w:rsid w:val="00737335"/>
    <w:rsid w:val="00741110"/>
    <w:rsid w:val="007419C8"/>
    <w:rsid w:val="00741D9F"/>
    <w:rsid w:val="00742398"/>
    <w:rsid w:val="00742708"/>
    <w:rsid w:val="007432A9"/>
    <w:rsid w:val="00743548"/>
    <w:rsid w:val="00745C0B"/>
    <w:rsid w:val="00746050"/>
    <w:rsid w:val="00746118"/>
    <w:rsid w:val="00746C7F"/>
    <w:rsid w:val="00747068"/>
    <w:rsid w:val="007507B5"/>
    <w:rsid w:val="0075091D"/>
    <w:rsid w:val="00750EC4"/>
    <w:rsid w:val="00751831"/>
    <w:rsid w:val="0075201B"/>
    <w:rsid w:val="007523F8"/>
    <w:rsid w:val="007537C9"/>
    <w:rsid w:val="00753A24"/>
    <w:rsid w:val="0075430D"/>
    <w:rsid w:val="007543C1"/>
    <w:rsid w:val="007558B1"/>
    <w:rsid w:val="00756614"/>
    <w:rsid w:val="007568F2"/>
    <w:rsid w:val="0075702F"/>
    <w:rsid w:val="0075779F"/>
    <w:rsid w:val="0076354B"/>
    <w:rsid w:val="007640FC"/>
    <w:rsid w:val="0076414E"/>
    <w:rsid w:val="007658F3"/>
    <w:rsid w:val="007661FA"/>
    <w:rsid w:val="00766EA2"/>
    <w:rsid w:val="00767034"/>
    <w:rsid w:val="007712DB"/>
    <w:rsid w:val="00771445"/>
    <w:rsid w:val="00771460"/>
    <w:rsid w:val="00772188"/>
    <w:rsid w:val="0077222A"/>
    <w:rsid w:val="00773909"/>
    <w:rsid w:val="0077411B"/>
    <w:rsid w:val="0077433B"/>
    <w:rsid w:val="00774AC1"/>
    <w:rsid w:val="00774E1E"/>
    <w:rsid w:val="0077796E"/>
    <w:rsid w:val="00777D6A"/>
    <w:rsid w:val="00780EEF"/>
    <w:rsid w:val="0078118A"/>
    <w:rsid w:val="007813D0"/>
    <w:rsid w:val="00783746"/>
    <w:rsid w:val="007845AC"/>
    <w:rsid w:val="007845F0"/>
    <w:rsid w:val="00785993"/>
    <w:rsid w:val="00785A0D"/>
    <w:rsid w:val="00785FC4"/>
    <w:rsid w:val="007863BF"/>
    <w:rsid w:val="0078663D"/>
    <w:rsid w:val="007866E2"/>
    <w:rsid w:val="00786BA3"/>
    <w:rsid w:val="00790993"/>
    <w:rsid w:val="0079202F"/>
    <w:rsid w:val="0079203E"/>
    <w:rsid w:val="007934C3"/>
    <w:rsid w:val="00794903"/>
    <w:rsid w:val="00795486"/>
    <w:rsid w:val="00795AF2"/>
    <w:rsid w:val="00795E4F"/>
    <w:rsid w:val="007A0287"/>
    <w:rsid w:val="007A09FC"/>
    <w:rsid w:val="007A2AAD"/>
    <w:rsid w:val="007A39EA"/>
    <w:rsid w:val="007A4432"/>
    <w:rsid w:val="007A5326"/>
    <w:rsid w:val="007A59E9"/>
    <w:rsid w:val="007A784E"/>
    <w:rsid w:val="007A7E31"/>
    <w:rsid w:val="007B02A0"/>
    <w:rsid w:val="007B24F3"/>
    <w:rsid w:val="007B278C"/>
    <w:rsid w:val="007B2927"/>
    <w:rsid w:val="007B2DAD"/>
    <w:rsid w:val="007B3774"/>
    <w:rsid w:val="007B459E"/>
    <w:rsid w:val="007B4939"/>
    <w:rsid w:val="007B499C"/>
    <w:rsid w:val="007B4D4B"/>
    <w:rsid w:val="007B4E6D"/>
    <w:rsid w:val="007B58C6"/>
    <w:rsid w:val="007B5EE2"/>
    <w:rsid w:val="007B6227"/>
    <w:rsid w:val="007B6F6F"/>
    <w:rsid w:val="007B76D8"/>
    <w:rsid w:val="007B7708"/>
    <w:rsid w:val="007C0646"/>
    <w:rsid w:val="007C1E5E"/>
    <w:rsid w:val="007C1E9D"/>
    <w:rsid w:val="007C3AE3"/>
    <w:rsid w:val="007C459E"/>
    <w:rsid w:val="007C4C10"/>
    <w:rsid w:val="007C6C51"/>
    <w:rsid w:val="007C6EC7"/>
    <w:rsid w:val="007D0000"/>
    <w:rsid w:val="007D03E7"/>
    <w:rsid w:val="007D2A02"/>
    <w:rsid w:val="007D33B6"/>
    <w:rsid w:val="007D455E"/>
    <w:rsid w:val="007D5EA2"/>
    <w:rsid w:val="007D6144"/>
    <w:rsid w:val="007D62A4"/>
    <w:rsid w:val="007D6333"/>
    <w:rsid w:val="007D6CE5"/>
    <w:rsid w:val="007D77BC"/>
    <w:rsid w:val="007E0917"/>
    <w:rsid w:val="007E1736"/>
    <w:rsid w:val="007E25DD"/>
    <w:rsid w:val="007E2887"/>
    <w:rsid w:val="007E3135"/>
    <w:rsid w:val="007E3318"/>
    <w:rsid w:val="007E4FB6"/>
    <w:rsid w:val="007E51B4"/>
    <w:rsid w:val="007E66F3"/>
    <w:rsid w:val="007E6EA1"/>
    <w:rsid w:val="007E6F60"/>
    <w:rsid w:val="007E7AD5"/>
    <w:rsid w:val="007F0F63"/>
    <w:rsid w:val="007F223A"/>
    <w:rsid w:val="007F2532"/>
    <w:rsid w:val="007F2B1E"/>
    <w:rsid w:val="007F3BC1"/>
    <w:rsid w:val="007F420A"/>
    <w:rsid w:val="007F4590"/>
    <w:rsid w:val="007F5772"/>
    <w:rsid w:val="007F5BC9"/>
    <w:rsid w:val="007F62B4"/>
    <w:rsid w:val="007F7DF9"/>
    <w:rsid w:val="00800FD6"/>
    <w:rsid w:val="00801517"/>
    <w:rsid w:val="00801558"/>
    <w:rsid w:val="00804053"/>
    <w:rsid w:val="00804966"/>
    <w:rsid w:val="0080510A"/>
    <w:rsid w:val="0080596A"/>
    <w:rsid w:val="00805CBF"/>
    <w:rsid w:val="00806524"/>
    <w:rsid w:val="008079E2"/>
    <w:rsid w:val="00810AC4"/>
    <w:rsid w:val="0081218E"/>
    <w:rsid w:val="0081228B"/>
    <w:rsid w:val="00813492"/>
    <w:rsid w:val="00813643"/>
    <w:rsid w:val="00813A7E"/>
    <w:rsid w:val="00814DE2"/>
    <w:rsid w:val="008163F5"/>
    <w:rsid w:val="00816F49"/>
    <w:rsid w:val="008177EE"/>
    <w:rsid w:val="00817895"/>
    <w:rsid w:val="00817AE8"/>
    <w:rsid w:val="00817DE8"/>
    <w:rsid w:val="008229F5"/>
    <w:rsid w:val="008247B7"/>
    <w:rsid w:val="008259DE"/>
    <w:rsid w:val="0082699A"/>
    <w:rsid w:val="00827418"/>
    <w:rsid w:val="00827872"/>
    <w:rsid w:val="00827D15"/>
    <w:rsid w:val="00827F2A"/>
    <w:rsid w:val="00832633"/>
    <w:rsid w:val="00832958"/>
    <w:rsid w:val="0083342C"/>
    <w:rsid w:val="00833869"/>
    <w:rsid w:val="00833AB9"/>
    <w:rsid w:val="00833CEB"/>
    <w:rsid w:val="00835910"/>
    <w:rsid w:val="0083662B"/>
    <w:rsid w:val="008372D2"/>
    <w:rsid w:val="008377BC"/>
    <w:rsid w:val="00844C17"/>
    <w:rsid w:val="00846017"/>
    <w:rsid w:val="008470BF"/>
    <w:rsid w:val="00847726"/>
    <w:rsid w:val="00850D88"/>
    <w:rsid w:val="00851033"/>
    <w:rsid w:val="00851A55"/>
    <w:rsid w:val="00851CB1"/>
    <w:rsid w:val="00852511"/>
    <w:rsid w:val="0085252F"/>
    <w:rsid w:val="008542A3"/>
    <w:rsid w:val="008558D0"/>
    <w:rsid w:val="00855FD0"/>
    <w:rsid w:val="0085679E"/>
    <w:rsid w:val="008570A5"/>
    <w:rsid w:val="008573B5"/>
    <w:rsid w:val="00857408"/>
    <w:rsid w:val="008578A9"/>
    <w:rsid w:val="0086072A"/>
    <w:rsid w:val="0086088F"/>
    <w:rsid w:val="00860C8A"/>
    <w:rsid w:val="008614F1"/>
    <w:rsid w:val="00861DC8"/>
    <w:rsid w:val="00862B6C"/>
    <w:rsid w:val="00862FD6"/>
    <w:rsid w:val="008639B3"/>
    <w:rsid w:val="00863C1A"/>
    <w:rsid w:val="00863DA3"/>
    <w:rsid w:val="0086470F"/>
    <w:rsid w:val="00865882"/>
    <w:rsid w:val="00866CDD"/>
    <w:rsid w:val="00867A66"/>
    <w:rsid w:val="008712FE"/>
    <w:rsid w:val="0087142D"/>
    <w:rsid w:val="00871A66"/>
    <w:rsid w:val="00871FF6"/>
    <w:rsid w:val="00872928"/>
    <w:rsid w:val="00872DA6"/>
    <w:rsid w:val="00873416"/>
    <w:rsid w:val="00873956"/>
    <w:rsid w:val="00874B0C"/>
    <w:rsid w:val="00875377"/>
    <w:rsid w:val="0087538C"/>
    <w:rsid w:val="00875CB0"/>
    <w:rsid w:val="00876825"/>
    <w:rsid w:val="008770CC"/>
    <w:rsid w:val="00877800"/>
    <w:rsid w:val="00877C32"/>
    <w:rsid w:val="0088094B"/>
    <w:rsid w:val="00880E08"/>
    <w:rsid w:val="00880E72"/>
    <w:rsid w:val="008814A1"/>
    <w:rsid w:val="0088176E"/>
    <w:rsid w:val="0088181E"/>
    <w:rsid w:val="008825EE"/>
    <w:rsid w:val="00882DE4"/>
    <w:rsid w:val="0088313E"/>
    <w:rsid w:val="008847A5"/>
    <w:rsid w:val="0088502C"/>
    <w:rsid w:val="0088596E"/>
    <w:rsid w:val="00885D26"/>
    <w:rsid w:val="00886C54"/>
    <w:rsid w:val="00886F34"/>
    <w:rsid w:val="008870ED"/>
    <w:rsid w:val="008877FC"/>
    <w:rsid w:val="00887E5A"/>
    <w:rsid w:val="00890CD9"/>
    <w:rsid w:val="00891A88"/>
    <w:rsid w:val="00891D8A"/>
    <w:rsid w:val="0089256B"/>
    <w:rsid w:val="0089542A"/>
    <w:rsid w:val="00895949"/>
    <w:rsid w:val="00897697"/>
    <w:rsid w:val="0089796A"/>
    <w:rsid w:val="0089799B"/>
    <w:rsid w:val="00897D9B"/>
    <w:rsid w:val="008A09DE"/>
    <w:rsid w:val="008A180A"/>
    <w:rsid w:val="008A2375"/>
    <w:rsid w:val="008A3AC0"/>
    <w:rsid w:val="008A54B6"/>
    <w:rsid w:val="008A56FE"/>
    <w:rsid w:val="008A6622"/>
    <w:rsid w:val="008A7DEB"/>
    <w:rsid w:val="008B07C2"/>
    <w:rsid w:val="008B0C47"/>
    <w:rsid w:val="008B1B65"/>
    <w:rsid w:val="008B3557"/>
    <w:rsid w:val="008B39E0"/>
    <w:rsid w:val="008B4302"/>
    <w:rsid w:val="008B605A"/>
    <w:rsid w:val="008B6150"/>
    <w:rsid w:val="008C093B"/>
    <w:rsid w:val="008C0E76"/>
    <w:rsid w:val="008C2246"/>
    <w:rsid w:val="008C2665"/>
    <w:rsid w:val="008C2822"/>
    <w:rsid w:val="008C2B01"/>
    <w:rsid w:val="008C308E"/>
    <w:rsid w:val="008C363B"/>
    <w:rsid w:val="008C54D2"/>
    <w:rsid w:val="008C5CD8"/>
    <w:rsid w:val="008C6041"/>
    <w:rsid w:val="008C68D0"/>
    <w:rsid w:val="008C74E3"/>
    <w:rsid w:val="008D0936"/>
    <w:rsid w:val="008D403B"/>
    <w:rsid w:val="008D455D"/>
    <w:rsid w:val="008D4707"/>
    <w:rsid w:val="008D76C5"/>
    <w:rsid w:val="008E077C"/>
    <w:rsid w:val="008E0A04"/>
    <w:rsid w:val="008E0AA0"/>
    <w:rsid w:val="008E0AFA"/>
    <w:rsid w:val="008E131A"/>
    <w:rsid w:val="008E26B4"/>
    <w:rsid w:val="008E2799"/>
    <w:rsid w:val="008E411B"/>
    <w:rsid w:val="008E4804"/>
    <w:rsid w:val="008E4D82"/>
    <w:rsid w:val="008E4F56"/>
    <w:rsid w:val="008E63CA"/>
    <w:rsid w:val="008E71E8"/>
    <w:rsid w:val="008E75D3"/>
    <w:rsid w:val="008E7E48"/>
    <w:rsid w:val="008F02E9"/>
    <w:rsid w:val="008F0CE4"/>
    <w:rsid w:val="008F125E"/>
    <w:rsid w:val="008F1354"/>
    <w:rsid w:val="008F1CC5"/>
    <w:rsid w:val="008F2B54"/>
    <w:rsid w:val="008F2CC5"/>
    <w:rsid w:val="008F2F3B"/>
    <w:rsid w:val="008F3112"/>
    <w:rsid w:val="008F4522"/>
    <w:rsid w:val="008F4C1E"/>
    <w:rsid w:val="008F4D2F"/>
    <w:rsid w:val="008F510A"/>
    <w:rsid w:val="008F55A2"/>
    <w:rsid w:val="00900235"/>
    <w:rsid w:val="0090055B"/>
    <w:rsid w:val="00900760"/>
    <w:rsid w:val="00900D3C"/>
    <w:rsid w:val="00906292"/>
    <w:rsid w:val="00906FA4"/>
    <w:rsid w:val="0090713D"/>
    <w:rsid w:val="00910C40"/>
    <w:rsid w:val="009117FF"/>
    <w:rsid w:val="00911AA1"/>
    <w:rsid w:val="00914B5B"/>
    <w:rsid w:val="00915918"/>
    <w:rsid w:val="00916C87"/>
    <w:rsid w:val="00916EAB"/>
    <w:rsid w:val="00917162"/>
    <w:rsid w:val="009172B9"/>
    <w:rsid w:val="009178AA"/>
    <w:rsid w:val="00921CAD"/>
    <w:rsid w:val="00922BCB"/>
    <w:rsid w:val="00922C88"/>
    <w:rsid w:val="00923001"/>
    <w:rsid w:val="0092358D"/>
    <w:rsid w:val="009238BF"/>
    <w:rsid w:val="009246C9"/>
    <w:rsid w:val="009251CC"/>
    <w:rsid w:val="0092714E"/>
    <w:rsid w:val="009274C3"/>
    <w:rsid w:val="00927661"/>
    <w:rsid w:val="00931E24"/>
    <w:rsid w:val="009324F0"/>
    <w:rsid w:val="00932AF8"/>
    <w:rsid w:val="00933056"/>
    <w:rsid w:val="0093478F"/>
    <w:rsid w:val="0093643F"/>
    <w:rsid w:val="00936457"/>
    <w:rsid w:val="00936826"/>
    <w:rsid w:val="0094031A"/>
    <w:rsid w:val="00940B3D"/>
    <w:rsid w:val="00940CA8"/>
    <w:rsid w:val="00942002"/>
    <w:rsid w:val="00942359"/>
    <w:rsid w:val="009446D6"/>
    <w:rsid w:val="009457DC"/>
    <w:rsid w:val="0094623A"/>
    <w:rsid w:val="00946FC5"/>
    <w:rsid w:val="00947885"/>
    <w:rsid w:val="009479C1"/>
    <w:rsid w:val="00950028"/>
    <w:rsid w:val="0095026E"/>
    <w:rsid w:val="009504AB"/>
    <w:rsid w:val="00951212"/>
    <w:rsid w:val="00951818"/>
    <w:rsid w:val="00952168"/>
    <w:rsid w:val="009527FE"/>
    <w:rsid w:val="009529B2"/>
    <w:rsid w:val="00952F6B"/>
    <w:rsid w:val="009535A6"/>
    <w:rsid w:val="009538D0"/>
    <w:rsid w:val="0095421F"/>
    <w:rsid w:val="0095498F"/>
    <w:rsid w:val="009555CA"/>
    <w:rsid w:val="00955A9C"/>
    <w:rsid w:val="00955D69"/>
    <w:rsid w:val="00955EC7"/>
    <w:rsid w:val="00955FC1"/>
    <w:rsid w:val="009577B8"/>
    <w:rsid w:val="00957EFA"/>
    <w:rsid w:val="00960539"/>
    <w:rsid w:val="009605B1"/>
    <w:rsid w:val="00960CBC"/>
    <w:rsid w:val="00961EDD"/>
    <w:rsid w:val="009621EE"/>
    <w:rsid w:val="00963A06"/>
    <w:rsid w:val="00964B2B"/>
    <w:rsid w:val="00964DF4"/>
    <w:rsid w:val="00965192"/>
    <w:rsid w:val="0096580C"/>
    <w:rsid w:val="00965A44"/>
    <w:rsid w:val="00965AF0"/>
    <w:rsid w:val="009670A5"/>
    <w:rsid w:val="0096715A"/>
    <w:rsid w:val="00967DD4"/>
    <w:rsid w:val="009700B1"/>
    <w:rsid w:val="00970ECF"/>
    <w:rsid w:val="00971261"/>
    <w:rsid w:val="00971FD4"/>
    <w:rsid w:val="009722CB"/>
    <w:rsid w:val="009739A0"/>
    <w:rsid w:val="0097461C"/>
    <w:rsid w:val="00974EE4"/>
    <w:rsid w:val="00974F84"/>
    <w:rsid w:val="00975D5B"/>
    <w:rsid w:val="00976216"/>
    <w:rsid w:val="009767C7"/>
    <w:rsid w:val="00976A98"/>
    <w:rsid w:val="00977D30"/>
    <w:rsid w:val="009809DA"/>
    <w:rsid w:val="00980E69"/>
    <w:rsid w:val="0098334C"/>
    <w:rsid w:val="00983843"/>
    <w:rsid w:val="009839AE"/>
    <w:rsid w:val="00984175"/>
    <w:rsid w:val="0098439D"/>
    <w:rsid w:val="00984643"/>
    <w:rsid w:val="0098576C"/>
    <w:rsid w:val="0098579A"/>
    <w:rsid w:val="00986397"/>
    <w:rsid w:val="00991475"/>
    <w:rsid w:val="009918DD"/>
    <w:rsid w:val="0099195A"/>
    <w:rsid w:val="00991BD2"/>
    <w:rsid w:val="00992407"/>
    <w:rsid w:val="00992820"/>
    <w:rsid w:val="00992A11"/>
    <w:rsid w:val="009935F8"/>
    <w:rsid w:val="009936A0"/>
    <w:rsid w:val="00994681"/>
    <w:rsid w:val="0099486A"/>
    <w:rsid w:val="009968D8"/>
    <w:rsid w:val="009975A3"/>
    <w:rsid w:val="009A0B33"/>
    <w:rsid w:val="009A0E26"/>
    <w:rsid w:val="009A16EC"/>
    <w:rsid w:val="009A1975"/>
    <w:rsid w:val="009A22C2"/>
    <w:rsid w:val="009A233A"/>
    <w:rsid w:val="009A3A07"/>
    <w:rsid w:val="009A490F"/>
    <w:rsid w:val="009A547B"/>
    <w:rsid w:val="009A743E"/>
    <w:rsid w:val="009A7CF6"/>
    <w:rsid w:val="009A7F86"/>
    <w:rsid w:val="009B1B55"/>
    <w:rsid w:val="009B29B7"/>
    <w:rsid w:val="009B3199"/>
    <w:rsid w:val="009B32AC"/>
    <w:rsid w:val="009B3520"/>
    <w:rsid w:val="009B3B37"/>
    <w:rsid w:val="009B63F4"/>
    <w:rsid w:val="009B6C6F"/>
    <w:rsid w:val="009B7216"/>
    <w:rsid w:val="009B7D1F"/>
    <w:rsid w:val="009C088E"/>
    <w:rsid w:val="009C17DC"/>
    <w:rsid w:val="009C2852"/>
    <w:rsid w:val="009C37AB"/>
    <w:rsid w:val="009C41BB"/>
    <w:rsid w:val="009C4C7A"/>
    <w:rsid w:val="009C4D35"/>
    <w:rsid w:val="009C5E51"/>
    <w:rsid w:val="009C738F"/>
    <w:rsid w:val="009C79DB"/>
    <w:rsid w:val="009C7B68"/>
    <w:rsid w:val="009D0603"/>
    <w:rsid w:val="009D0BB1"/>
    <w:rsid w:val="009D1522"/>
    <w:rsid w:val="009D2268"/>
    <w:rsid w:val="009D3919"/>
    <w:rsid w:val="009D3E2E"/>
    <w:rsid w:val="009D51F0"/>
    <w:rsid w:val="009D51F7"/>
    <w:rsid w:val="009D7252"/>
    <w:rsid w:val="009D7585"/>
    <w:rsid w:val="009E1FF6"/>
    <w:rsid w:val="009E20E2"/>
    <w:rsid w:val="009E3CAF"/>
    <w:rsid w:val="009E3F48"/>
    <w:rsid w:val="009E53A5"/>
    <w:rsid w:val="009E5B95"/>
    <w:rsid w:val="009E5CCE"/>
    <w:rsid w:val="009E5EB4"/>
    <w:rsid w:val="009E6215"/>
    <w:rsid w:val="009F08CB"/>
    <w:rsid w:val="009F3768"/>
    <w:rsid w:val="009F456E"/>
    <w:rsid w:val="009F563C"/>
    <w:rsid w:val="009F610E"/>
    <w:rsid w:val="009F6D34"/>
    <w:rsid w:val="009F6E9B"/>
    <w:rsid w:val="00A00DA9"/>
    <w:rsid w:val="00A00E4B"/>
    <w:rsid w:val="00A00F7E"/>
    <w:rsid w:val="00A044D6"/>
    <w:rsid w:val="00A04949"/>
    <w:rsid w:val="00A04A7C"/>
    <w:rsid w:val="00A04ADB"/>
    <w:rsid w:val="00A04F89"/>
    <w:rsid w:val="00A05F11"/>
    <w:rsid w:val="00A07252"/>
    <w:rsid w:val="00A07DA4"/>
    <w:rsid w:val="00A115A6"/>
    <w:rsid w:val="00A1184D"/>
    <w:rsid w:val="00A11B44"/>
    <w:rsid w:val="00A11E0F"/>
    <w:rsid w:val="00A12378"/>
    <w:rsid w:val="00A12BF7"/>
    <w:rsid w:val="00A13401"/>
    <w:rsid w:val="00A141E9"/>
    <w:rsid w:val="00A15D78"/>
    <w:rsid w:val="00A15EBE"/>
    <w:rsid w:val="00A16618"/>
    <w:rsid w:val="00A17F5B"/>
    <w:rsid w:val="00A20196"/>
    <w:rsid w:val="00A216E5"/>
    <w:rsid w:val="00A2250A"/>
    <w:rsid w:val="00A24046"/>
    <w:rsid w:val="00A24752"/>
    <w:rsid w:val="00A24BA7"/>
    <w:rsid w:val="00A24BA8"/>
    <w:rsid w:val="00A26744"/>
    <w:rsid w:val="00A26CB6"/>
    <w:rsid w:val="00A30A00"/>
    <w:rsid w:val="00A3251C"/>
    <w:rsid w:val="00A32F82"/>
    <w:rsid w:val="00A32F8B"/>
    <w:rsid w:val="00A3431E"/>
    <w:rsid w:val="00A34F9F"/>
    <w:rsid w:val="00A35AA1"/>
    <w:rsid w:val="00A35F2E"/>
    <w:rsid w:val="00A36481"/>
    <w:rsid w:val="00A36675"/>
    <w:rsid w:val="00A3756F"/>
    <w:rsid w:val="00A4014B"/>
    <w:rsid w:val="00A41CC3"/>
    <w:rsid w:val="00A41DBE"/>
    <w:rsid w:val="00A42D6F"/>
    <w:rsid w:val="00A43578"/>
    <w:rsid w:val="00A43870"/>
    <w:rsid w:val="00A44642"/>
    <w:rsid w:val="00A44721"/>
    <w:rsid w:val="00A4474B"/>
    <w:rsid w:val="00A45717"/>
    <w:rsid w:val="00A45A62"/>
    <w:rsid w:val="00A462DC"/>
    <w:rsid w:val="00A4657C"/>
    <w:rsid w:val="00A46C7E"/>
    <w:rsid w:val="00A50BC1"/>
    <w:rsid w:val="00A51CE8"/>
    <w:rsid w:val="00A51DB8"/>
    <w:rsid w:val="00A52E0B"/>
    <w:rsid w:val="00A52FA1"/>
    <w:rsid w:val="00A54AC5"/>
    <w:rsid w:val="00A54C2A"/>
    <w:rsid w:val="00A55154"/>
    <w:rsid w:val="00A55DC3"/>
    <w:rsid w:val="00A56D41"/>
    <w:rsid w:val="00A56DEC"/>
    <w:rsid w:val="00A60529"/>
    <w:rsid w:val="00A60899"/>
    <w:rsid w:val="00A608D3"/>
    <w:rsid w:val="00A60F91"/>
    <w:rsid w:val="00A61353"/>
    <w:rsid w:val="00A61481"/>
    <w:rsid w:val="00A616F1"/>
    <w:rsid w:val="00A61A48"/>
    <w:rsid w:val="00A62312"/>
    <w:rsid w:val="00A629D6"/>
    <w:rsid w:val="00A6364F"/>
    <w:rsid w:val="00A637C9"/>
    <w:rsid w:val="00A651CF"/>
    <w:rsid w:val="00A65278"/>
    <w:rsid w:val="00A66849"/>
    <w:rsid w:val="00A66DB1"/>
    <w:rsid w:val="00A67A92"/>
    <w:rsid w:val="00A70DC6"/>
    <w:rsid w:val="00A71F56"/>
    <w:rsid w:val="00A74FDC"/>
    <w:rsid w:val="00A75658"/>
    <w:rsid w:val="00A77192"/>
    <w:rsid w:val="00A8089F"/>
    <w:rsid w:val="00A80D11"/>
    <w:rsid w:val="00A81DCA"/>
    <w:rsid w:val="00A8307C"/>
    <w:rsid w:val="00A83DDB"/>
    <w:rsid w:val="00A842D5"/>
    <w:rsid w:val="00A84D1B"/>
    <w:rsid w:val="00A85DD9"/>
    <w:rsid w:val="00A87870"/>
    <w:rsid w:val="00A87F87"/>
    <w:rsid w:val="00A903F3"/>
    <w:rsid w:val="00A90F18"/>
    <w:rsid w:val="00A90FFB"/>
    <w:rsid w:val="00A9149D"/>
    <w:rsid w:val="00A91A70"/>
    <w:rsid w:val="00A92659"/>
    <w:rsid w:val="00A9302F"/>
    <w:rsid w:val="00A940AF"/>
    <w:rsid w:val="00A956DA"/>
    <w:rsid w:val="00A957F6"/>
    <w:rsid w:val="00A95915"/>
    <w:rsid w:val="00A959CF"/>
    <w:rsid w:val="00A972A9"/>
    <w:rsid w:val="00A97316"/>
    <w:rsid w:val="00A974AA"/>
    <w:rsid w:val="00A977E4"/>
    <w:rsid w:val="00AA010B"/>
    <w:rsid w:val="00AA0D54"/>
    <w:rsid w:val="00AA1B85"/>
    <w:rsid w:val="00AA1EF3"/>
    <w:rsid w:val="00AA24E8"/>
    <w:rsid w:val="00AA321F"/>
    <w:rsid w:val="00AA3290"/>
    <w:rsid w:val="00AA46F0"/>
    <w:rsid w:val="00AA4B5F"/>
    <w:rsid w:val="00AA4CA2"/>
    <w:rsid w:val="00AA6481"/>
    <w:rsid w:val="00AA7270"/>
    <w:rsid w:val="00AA78C2"/>
    <w:rsid w:val="00AA7E42"/>
    <w:rsid w:val="00AB0C08"/>
    <w:rsid w:val="00AB12AC"/>
    <w:rsid w:val="00AB1CB6"/>
    <w:rsid w:val="00AB1D9A"/>
    <w:rsid w:val="00AB214C"/>
    <w:rsid w:val="00AB2C47"/>
    <w:rsid w:val="00AB4A1F"/>
    <w:rsid w:val="00AB5C61"/>
    <w:rsid w:val="00AB6D87"/>
    <w:rsid w:val="00AC04AA"/>
    <w:rsid w:val="00AC2CCC"/>
    <w:rsid w:val="00AC3540"/>
    <w:rsid w:val="00AC3D15"/>
    <w:rsid w:val="00AC5055"/>
    <w:rsid w:val="00AD0C22"/>
    <w:rsid w:val="00AD0D7E"/>
    <w:rsid w:val="00AD1AD7"/>
    <w:rsid w:val="00AD1AE2"/>
    <w:rsid w:val="00AD2180"/>
    <w:rsid w:val="00AD3290"/>
    <w:rsid w:val="00AD442C"/>
    <w:rsid w:val="00AD44FE"/>
    <w:rsid w:val="00AD5A37"/>
    <w:rsid w:val="00AD67D2"/>
    <w:rsid w:val="00AD73BF"/>
    <w:rsid w:val="00AE05A4"/>
    <w:rsid w:val="00AE177E"/>
    <w:rsid w:val="00AE244E"/>
    <w:rsid w:val="00AE25FC"/>
    <w:rsid w:val="00AE400C"/>
    <w:rsid w:val="00AE4291"/>
    <w:rsid w:val="00AE4461"/>
    <w:rsid w:val="00AE49F1"/>
    <w:rsid w:val="00AE4A1C"/>
    <w:rsid w:val="00AE4B7A"/>
    <w:rsid w:val="00AE5366"/>
    <w:rsid w:val="00AE5399"/>
    <w:rsid w:val="00AE5532"/>
    <w:rsid w:val="00AE7351"/>
    <w:rsid w:val="00AE74D8"/>
    <w:rsid w:val="00AF0B6F"/>
    <w:rsid w:val="00AF1B37"/>
    <w:rsid w:val="00AF1D69"/>
    <w:rsid w:val="00AF1DE9"/>
    <w:rsid w:val="00AF30D0"/>
    <w:rsid w:val="00AF3FEC"/>
    <w:rsid w:val="00AF41FA"/>
    <w:rsid w:val="00AF551F"/>
    <w:rsid w:val="00AF581E"/>
    <w:rsid w:val="00AF71EB"/>
    <w:rsid w:val="00B00988"/>
    <w:rsid w:val="00B01405"/>
    <w:rsid w:val="00B03778"/>
    <w:rsid w:val="00B04955"/>
    <w:rsid w:val="00B04F7A"/>
    <w:rsid w:val="00B052E8"/>
    <w:rsid w:val="00B05CCA"/>
    <w:rsid w:val="00B0701C"/>
    <w:rsid w:val="00B07F4F"/>
    <w:rsid w:val="00B100C9"/>
    <w:rsid w:val="00B10E8A"/>
    <w:rsid w:val="00B11099"/>
    <w:rsid w:val="00B1118A"/>
    <w:rsid w:val="00B13624"/>
    <w:rsid w:val="00B14271"/>
    <w:rsid w:val="00B14B4F"/>
    <w:rsid w:val="00B1566D"/>
    <w:rsid w:val="00B16270"/>
    <w:rsid w:val="00B166F8"/>
    <w:rsid w:val="00B17C8C"/>
    <w:rsid w:val="00B22578"/>
    <w:rsid w:val="00B22925"/>
    <w:rsid w:val="00B23C16"/>
    <w:rsid w:val="00B23C52"/>
    <w:rsid w:val="00B241F2"/>
    <w:rsid w:val="00B247C7"/>
    <w:rsid w:val="00B24A42"/>
    <w:rsid w:val="00B259E1"/>
    <w:rsid w:val="00B2685D"/>
    <w:rsid w:val="00B26CB1"/>
    <w:rsid w:val="00B26D1E"/>
    <w:rsid w:val="00B30351"/>
    <w:rsid w:val="00B32601"/>
    <w:rsid w:val="00B3270B"/>
    <w:rsid w:val="00B327B0"/>
    <w:rsid w:val="00B33837"/>
    <w:rsid w:val="00B33C2A"/>
    <w:rsid w:val="00B33C35"/>
    <w:rsid w:val="00B34A14"/>
    <w:rsid w:val="00B35967"/>
    <w:rsid w:val="00B363D9"/>
    <w:rsid w:val="00B36725"/>
    <w:rsid w:val="00B40EAF"/>
    <w:rsid w:val="00B422EC"/>
    <w:rsid w:val="00B44335"/>
    <w:rsid w:val="00B44875"/>
    <w:rsid w:val="00B44C07"/>
    <w:rsid w:val="00B46320"/>
    <w:rsid w:val="00B46574"/>
    <w:rsid w:val="00B4657A"/>
    <w:rsid w:val="00B471F4"/>
    <w:rsid w:val="00B47F0A"/>
    <w:rsid w:val="00B47FE8"/>
    <w:rsid w:val="00B50B6B"/>
    <w:rsid w:val="00B5158B"/>
    <w:rsid w:val="00B529CA"/>
    <w:rsid w:val="00B53E3E"/>
    <w:rsid w:val="00B54329"/>
    <w:rsid w:val="00B54885"/>
    <w:rsid w:val="00B548CE"/>
    <w:rsid w:val="00B54BFF"/>
    <w:rsid w:val="00B554C9"/>
    <w:rsid w:val="00B5592E"/>
    <w:rsid w:val="00B56AD9"/>
    <w:rsid w:val="00B56EE3"/>
    <w:rsid w:val="00B57158"/>
    <w:rsid w:val="00B5778D"/>
    <w:rsid w:val="00B60EF2"/>
    <w:rsid w:val="00B614C0"/>
    <w:rsid w:val="00B62B2A"/>
    <w:rsid w:val="00B634AB"/>
    <w:rsid w:val="00B63533"/>
    <w:rsid w:val="00B63624"/>
    <w:rsid w:val="00B6678B"/>
    <w:rsid w:val="00B671F2"/>
    <w:rsid w:val="00B7037B"/>
    <w:rsid w:val="00B71798"/>
    <w:rsid w:val="00B719F6"/>
    <w:rsid w:val="00B726D4"/>
    <w:rsid w:val="00B72969"/>
    <w:rsid w:val="00B72FA4"/>
    <w:rsid w:val="00B758FD"/>
    <w:rsid w:val="00B76807"/>
    <w:rsid w:val="00B77346"/>
    <w:rsid w:val="00B77D24"/>
    <w:rsid w:val="00B80A8C"/>
    <w:rsid w:val="00B81A6C"/>
    <w:rsid w:val="00B8214F"/>
    <w:rsid w:val="00B82B43"/>
    <w:rsid w:val="00B82B48"/>
    <w:rsid w:val="00B85133"/>
    <w:rsid w:val="00B8643A"/>
    <w:rsid w:val="00B86636"/>
    <w:rsid w:val="00B86A4F"/>
    <w:rsid w:val="00B91225"/>
    <w:rsid w:val="00B91F86"/>
    <w:rsid w:val="00B92F21"/>
    <w:rsid w:val="00B93035"/>
    <w:rsid w:val="00B93988"/>
    <w:rsid w:val="00B940EB"/>
    <w:rsid w:val="00B942EF"/>
    <w:rsid w:val="00B9431C"/>
    <w:rsid w:val="00B95798"/>
    <w:rsid w:val="00B958E8"/>
    <w:rsid w:val="00B97637"/>
    <w:rsid w:val="00B97E4A"/>
    <w:rsid w:val="00BA09B2"/>
    <w:rsid w:val="00BA0F35"/>
    <w:rsid w:val="00BA1179"/>
    <w:rsid w:val="00BA25EB"/>
    <w:rsid w:val="00BA465D"/>
    <w:rsid w:val="00BA52C0"/>
    <w:rsid w:val="00BA5B46"/>
    <w:rsid w:val="00BA63D4"/>
    <w:rsid w:val="00BA6770"/>
    <w:rsid w:val="00BB054C"/>
    <w:rsid w:val="00BB0AB3"/>
    <w:rsid w:val="00BB1D8C"/>
    <w:rsid w:val="00BB220C"/>
    <w:rsid w:val="00BB256A"/>
    <w:rsid w:val="00BB2D73"/>
    <w:rsid w:val="00BB400D"/>
    <w:rsid w:val="00BB45BA"/>
    <w:rsid w:val="00BB48B2"/>
    <w:rsid w:val="00BB4A3A"/>
    <w:rsid w:val="00BB4D6A"/>
    <w:rsid w:val="00BB5D0B"/>
    <w:rsid w:val="00BB617E"/>
    <w:rsid w:val="00BB629C"/>
    <w:rsid w:val="00BB75C5"/>
    <w:rsid w:val="00BC02F6"/>
    <w:rsid w:val="00BC0995"/>
    <w:rsid w:val="00BC0A4C"/>
    <w:rsid w:val="00BC13C1"/>
    <w:rsid w:val="00BC1761"/>
    <w:rsid w:val="00BC19ED"/>
    <w:rsid w:val="00BC23AC"/>
    <w:rsid w:val="00BC26B9"/>
    <w:rsid w:val="00BC36D4"/>
    <w:rsid w:val="00BC513A"/>
    <w:rsid w:val="00BC5BEA"/>
    <w:rsid w:val="00BC6C56"/>
    <w:rsid w:val="00BC6DE2"/>
    <w:rsid w:val="00BC6E62"/>
    <w:rsid w:val="00BD013A"/>
    <w:rsid w:val="00BD07B0"/>
    <w:rsid w:val="00BD0E5B"/>
    <w:rsid w:val="00BD1DE3"/>
    <w:rsid w:val="00BD2510"/>
    <w:rsid w:val="00BD3425"/>
    <w:rsid w:val="00BD34AA"/>
    <w:rsid w:val="00BD3A53"/>
    <w:rsid w:val="00BD5A19"/>
    <w:rsid w:val="00BD656A"/>
    <w:rsid w:val="00BD6A0B"/>
    <w:rsid w:val="00BD6D1B"/>
    <w:rsid w:val="00BE13AB"/>
    <w:rsid w:val="00BE1906"/>
    <w:rsid w:val="00BE2403"/>
    <w:rsid w:val="00BE2D0A"/>
    <w:rsid w:val="00BE47D4"/>
    <w:rsid w:val="00BE793A"/>
    <w:rsid w:val="00BE7A0B"/>
    <w:rsid w:val="00BF114D"/>
    <w:rsid w:val="00BF28DA"/>
    <w:rsid w:val="00BF2B82"/>
    <w:rsid w:val="00BF2CEB"/>
    <w:rsid w:val="00BF432A"/>
    <w:rsid w:val="00BF46ED"/>
    <w:rsid w:val="00BF5D70"/>
    <w:rsid w:val="00BF62B7"/>
    <w:rsid w:val="00BF64A6"/>
    <w:rsid w:val="00BF6796"/>
    <w:rsid w:val="00BF69D7"/>
    <w:rsid w:val="00BF6E82"/>
    <w:rsid w:val="00C0460A"/>
    <w:rsid w:val="00C0487A"/>
    <w:rsid w:val="00C05954"/>
    <w:rsid w:val="00C060C7"/>
    <w:rsid w:val="00C06DCC"/>
    <w:rsid w:val="00C07F92"/>
    <w:rsid w:val="00C10EA4"/>
    <w:rsid w:val="00C11D25"/>
    <w:rsid w:val="00C12FAE"/>
    <w:rsid w:val="00C13217"/>
    <w:rsid w:val="00C15BEC"/>
    <w:rsid w:val="00C15DB5"/>
    <w:rsid w:val="00C16AF0"/>
    <w:rsid w:val="00C208E2"/>
    <w:rsid w:val="00C20D11"/>
    <w:rsid w:val="00C20D6E"/>
    <w:rsid w:val="00C21897"/>
    <w:rsid w:val="00C22054"/>
    <w:rsid w:val="00C2288E"/>
    <w:rsid w:val="00C22B54"/>
    <w:rsid w:val="00C230C6"/>
    <w:rsid w:val="00C232DB"/>
    <w:rsid w:val="00C24279"/>
    <w:rsid w:val="00C24C17"/>
    <w:rsid w:val="00C25DB0"/>
    <w:rsid w:val="00C2653F"/>
    <w:rsid w:val="00C27AA1"/>
    <w:rsid w:val="00C31595"/>
    <w:rsid w:val="00C31B25"/>
    <w:rsid w:val="00C33052"/>
    <w:rsid w:val="00C3309D"/>
    <w:rsid w:val="00C3411D"/>
    <w:rsid w:val="00C34357"/>
    <w:rsid w:val="00C34829"/>
    <w:rsid w:val="00C363B8"/>
    <w:rsid w:val="00C36595"/>
    <w:rsid w:val="00C3758F"/>
    <w:rsid w:val="00C40B88"/>
    <w:rsid w:val="00C41852"/>
    <w:rsid w:val="00C44489"/>
    <w:rsid w:val="00C44D0E"/>
    <w:rsid w:val="00C44FC2"/>
    <w:rsid w:val="00C452D4"/>
    <w:rsid w:val="00C457DD"/>
    <w:rsid w:val="00C475EF"/>
    <w:rsid w:val="00C47D87"/>
    <w:rsid w:val="00C47FCD"/>
    <w:rsid w:val="00C50FA6"/>
    <w:rsid w:val="00C5280F"/>
    <w:rsid w:val="00C5376E"/>
    <w:rsid w:val="00C554C1"/>
    <w:rsid w:val="00C55AEE"/>
    <w:rsid w:val="00C5701B"/>
    <w:rsid w:val="00C5735F"/>
    <w:rsid w:val="00C576DB"/>
    <w:rsid w:val="00C57710"/>
    <w:rsid w:val="00C6069A"/>
    <w:rsid w:val="00C61BDC"/>
    <w:rsid w:val="00C64D40"/>
    <w:rsid w:val="00C6532D"/>
    <w:rsid w:val="00C65957"/>
    <w:rsid w:val="00C65F34"/>
    <w:rsid w:val="00C66218"/>
    <w:rsid w:val="00C6636E"/>
    <w:rsid w:val="00C677C9"/>
    <w:rsid w:val="00C70DBC"/>
    <w:rsid w:val="00C71E80"/>
    <w:rsid w:val="00C72C57"/>
    <w:rsid w:val="00C7537E"/>
    <w:rsid w:val="00C75B01"/>
    <w:rsid w:val="00C76080"/>
    <w:rsid w:val="00C762A2"/>
    <w:rsid w:val="00C766D0"/>
    <w:rsid w:val="00C766E1"/>
    <w:rsid w:val="00C7750A"/>
    <w:rsid w:val="00C80081"/>
    <w:rsid w:val="00C80467"/>
    <w:rsid w:val="00C808A6"/>
    <w:rsid w:val="00C82433"/>
    <w:rsid w:val="00C82B81"/>
    <w:rsid w:val="00C84AC6"/>
    <w:rsid w:val="00C855C5"/>
    <w:rsid w:val="00C855DB"/>
    <w:rsid w:val="00C855F3"/>
    <w:rsid w:val="00C86270"/>
    <w:rsid w:val="00C8634B"/>
    <w:rsid w:val="00C86C49"/>
    <w:rsid w:val="00C90C20"/>
    <w:rsid w:val="00C948CF"/>
    <w:rsid w:val="00C94F6F"/>
    <w:rsid w:val="00C95798"/>
    <w:rsid w:val="00C95A74"/>
    <w:rsid w:val="00C97091"/>
    <w:rsid w:val="00C97260"/>
    <w:rsid w:val="00C97348"/>
    <w:rsid w:val="00C97391"/>
    <w:rsid w:val="00CA14A5"/>
    <w:rsid w:val="00CA1A7C"/>
    <w:rsid w:val="00CA1AB8"/>
    <w:rsid w:val="00CA2001"/>
    <w:rsid w:val="00CA2061"/>
    <w:rsid w:val="00CA2B10"/>
    <w:rsid w:val="00CA37A2"/>
    <w:rsid w:val="00CA3F11"/>
    <w:rsid w:val="00CA5256"/>
    <w:rsid w:val="00CA5564"/>
    <w:rsid w:val="00CA6309"/>
    <w:rsid w:val="00CB078E"/>
    <w:rsid w:val="00CB3782"/>
    <w:rsid w:val="00CB4D20"/>
    <w:rsid w:val="00CB4E6C"/>
    <w:rsid w:val="00CB5B6C"/>
    <w:rsid w:val="00CB74E3"/>
    <w:rsid w:val="00CC00ED"/>
    <w:rsid w:val="00CC052E"/>
    <w:rsid w:val="00CC06E5"/>
    <w:rsid w:val="00CC0B14"/>
    <w:rsid w:val="00CC2031"/>
    <w:rsid w:val="00CC309E"/>
    <w:rsid w:val="00CC4A57"/>
    <w:rsid w:val="00CC5B9C"/>
    <w:rsid w:val="00CC7720"/>
    <w:rsid w:val="00CD02DF"/>
    <w:rsid w:val="00CD10A5"/>
    <w:rsid w:val="00CD16BE"/>
    <w:rsid w:val="00CD179F"/>
    <w:rsid w:val="00CD1C97"/>
    <w:rsid w:val="00CD1F32"/>
    <w:rsid w:val="00CD2268"/>
    <w:rsid w:val="00CD24AC"/>
    <w:rsid w:val="00CD2622"/>
    <w:rsid w:val="00CD2778"/>
    <w:rsid w:val="00CD4616"/>
    <w:rsid w:val="00CD56AF"/>
    <w:rsid w:val="00CD5AF4"/>
    <w:rsid w:val="00CD5FFA"/>
    <w:rsid w:val="00CD608B"/>
    <w:rsid w:val="00CD61BB"/>
    <w:rsid w:val="00CD67E4"/>
    <w:rsid w:val="00CE0C9F"/>
    <w:rsid w:val="00CE33D5"/>
    <w:rsid w:val="00CE4712"/>
    <w:rsid w:val="00CE6073"/>
    <w:rsid w:val="00CE625F"/>
    <w:rsid w:val="00CE761C"/>
    <w:rsid w:val="00CF155B"/>
    <w:rsid w:val="00CF32C0"/>
    <w:rsid w:val="00CF3D16"/>
    <w:rsid w:val="00CF4118"/>
    <w:rsid w:val="00CF474E"/>
    <w:rsid w:val="00CF5D37"/>
    <w:rsid w:val="00CF6353"/>
    <w:rsid w:val="00CF6F33"/>
    <w:rsid w:val="00CF7C7B"/>
    <w:rsid w:val="00D014F1"/>
    <w:rsid w:val="00D01755"/>
    <w:rsid w:val="00D0176E"/>
    <w:rsid w:val="00D02248"/>
    <w:rsid w:val="00D03EAD"/>
    <w:rsid w:val="00D04429"/>
    <w:rsid w:val="00D04435"/>
    <w:rsid w:val="00D04B47"/>
    <w:rsid w:val="00D04E37"/>
    <w:rsid w:val="00D04EC3"/>
    <w:rsid w:val="00D063B8"/>
    <w:rsid w:val="00D06825"/>
    <w:rsid w:val="00D06B35"/>
    <w:rsid w:val="00D07467"/>
    <w:rsid w:val="00D07697"/>
    <w:rsid w:val="00D076E6"/>
    <w:rsid w:val="00D10594"/>
    <w:rsid w:val="00D1154A"/>
    <w:rsid w:val="00D148D9"/>
    <w:rsid w:val="00D15CDD"/>
    <w:rsid w:val="00D17185"/>
    <w:rsid w:val="00D17E3B"/>
    <w:rsid w:val="00D2010C"/>
    <w:rsid w:val="00D22A9A"/>
    <w:rsid w:val="00D2306F"/>
    <w:rsid w:val="00D233A1"/>
    <w:rsid w:val="00D23C09"/>
    <w:rsid w:val="00D23CED"/>
    <w:rsid w:val="00D241D1"/>
    <w:rsid w:val="00D24BD2"/>
    <w:rsid w:val="00D24C2D"/>
    <w:rsid w:val="00D25100"/>
    <w:rsid w:val="00D254F7"/>
    <w:rsid w:val="00D2573D"/>
    <w:rsid w:val="00D260A2"/>
    <w:rsid w:val="00D26AE2"/>
    <w:rsid w:val="00D272E9"/>
    <w:rsid w:val="00D30CC6"/>
    <w:rsid w:val="00D30DA4"/>
    <w:rsid w:val="00D31722"/>
    <w:rsid w:val="00D31C80"/>
    <w:rsid w:val="00D31D9F"/>
    <w:rsid w:val="00D3260C"/>
    <w:rsid w:val="00D32DE6"/>
    <w:rsid w:val="00D33DB5"/>
    <w:rsid w:val="00D35790"/>
    <w:rsid w:val="00D407F1"/>
    <w:rsid w:val="00D41971"/>
    <w:rsid w:val="00D442D5"/>
    <w:rsid w:val="00D449EB"/>
    <w:rsid w:val="00D45043"/>
    <w:rsid w:val="00D4757A"/>
    <w:rsid w:val="00D5070C"/>
    <w:rsid w:val="00D50FD2"/>
    <w:rsid w:val="00D51576"/>
    <w:rsid w:val="00D51742"/>
    <w:rsid w:val="00D519AF"/>
    <w:rsid w:val="00D51A4E"/>
    <w:rsid w:val="00D51F67"/>
    <w:rsid w:val="00D532A9"/>
    <w:rsid w:val="00D5437A"/>
    <w:rsid w:val="00D547C7"/>
    <w:rsid w:val="00D548AD"/>
    <w:rsid w:val="00D54E4D"/>
    <w:rsid w:val="00D5611E"/>
    <w:rsid w:val="00D5653B"/>
    <w:rsid w:val="00D5655D"/>
    <w:rsid w:val="00D567C0"/>
    <w:rsid w:val="00D56A68"/>
    <w:rsid w:val="00D56C30"/>
    <w:rsid w:val="00D56DF7"/>
    <w:rsid w:val="00D571F9"/>
    <w:rsid w:val="00D5726D"/>
    <w:rsid w:val="00D572AC"/>
    <w:rsid w:val="00D57454"/>
    <w:rsid w:val="00D6018B"/>
    <w:rsid w:val="00D6071F"/>
    <w:rsid w:val="00D60AA4"/>
    <w:rsid w:val="00D61177"/>
    <w:rsid w:val="00D619EF"/>
    <w:rsid w:val="00D61D6E"/>
    <w:rsid w:val="00D62A31"/>
    <w:rsid w:val="00D62EF1"/>
    <w:rsid w:val="00D6309D"/>
    <w:rsid w:val="00D634F9"/>
    <w:rsid w:val="00D6389F"/>
    <w:rsid w:val="00D644CA"/>
    <w:rsid w:val="00D64EA0"/>
    <w:rsid w:val="00D66FC2"/>
    <w:rsid w:val="00D7044E"/>
    <w:rsid w:val="00D704A8"/>
    <w:rsid w:val="00D70930"/>
    <w:rsid w:val="00D70CA5"/>
    <w:rsid w:val="00D72B75"/>
    <w:rsid w:val="00D7308C"/>
    <w:rsid w:val="00D758F4"/>
    <w:rsid w:val="00D76059"/>
    <w:rsid w:val="00D76AA4"/>
    <w:rsid w:val="00D76C7E"/>
    <w:rsid w:val="00D771DE"/>
    <w:rsid w:val="00D7776D"/>
    <w:rsid w:val="00D80C6C"/>
    <w:rsid w:val="00D81384"/>
    <w:rsid w:val="00D81AEF"/>
    <w:rsid w:val="00D82673"/>
    <w:rsid w:val="00D82A42"/>
    <w:rsid w:val="00D834F1"/>
    <w:rsid w:val="00D83609"/>
    <w:rsid w:val="00D83AA6"/>
    <w:rsid w:val="00D841BC"/>
    <w:rsid w:val="00D84332"/>
    <w:rsid w:val="00D84777"/>
    <w:rsid w:val="00D851C7"/>
    <w:rsid w:val="00D85C0D"/>
    <w:rsid w:val="00D860D1"/>
    <w:rsid w:val="00D866CB"/>
    <w:rsid w:val="00D86909"/>
    <w:rsid w:val="00D877CE"/>
    <w:rsid w:val="00D87A9A"/>
    <w:rsid w:val="00D90625"/>
    <w:rsid w:val="00D909F8"/>
    <w:rsid w:val="00D9152C"/>
    <w:rsid w:val="00D92179"/>
    <w:rsid w:val="00D922C6"/>
    <w:rsid w:val="00D9293F"/>
    <w:rsid w:val="00D92DE7"/>
    <w:rsid w:val="00D934E9"/>
    <w:rsid w:val="00D93598"/>
    <w:rsid w:val="00D93FDD"/>
    <w:rsid w:val="00D942F8"/>
    <w:rsid w:val="00D95E36"/>
    <w:rsid w:val="00D96325"/>
    <w:rsid w:val="00D9644B"/>
    <w:rsid w:val="00D97844"/>
    <w:rsid w:val="00D97A06"/>
    <w:rsid w:val="00D97A5B"/>
    <w:rsid w:val="00DA1DB1"/>
    <w:rsid w:val="00DA1E18"/>
    <w:rsid w:val="00DA2009"/>
    <w:rsid w:val="00DA25C2"/>
    <w:rsid w:val="00DA296C"/>
    <w:rsid w:val="00DA3D8F"/>
    <w:rsid w:val="00DA5410"/>
    <w:rsid w:val="00DA5833"/>
    <w:rsid w:val="00DA585A"/>
    <w:rsid w:val="00DA7741"/>
    <w:rsid w:val="00DA7769"/>
    <w:rsid w:val="00DB05B1"/>
    <w:rsid w:val="00DB11FA"/>
    <w:rsid w:val="00DB2823"/>
    <w:rsid w:val="00DB28AD"/>
    <w:rsid w:val="00DB2D74"/>
    <w:rsid w:val="00DB3786"/>
    <w:rsid w:val="00DB3910"/>
    <w:rsid w:val="00DB553E"/>
    <w:rsid w:val="00DB59E8"/>
    <w:rsid w:val="00DB5A79"/>
    <w:rsid w:val="00DB7341"/>
    <w:rsid w:val="00DC22E2"/>
    <w:rsid w:val="00DC2465"/>
    <w:rsid w:val="00DC373A"/>
    <w:rsid w:val="00DC3878"/>
    <w:rsid w:val="00DC47F5"/>
    <w:rsid w:val="00DC4BCA"/>
    <w:rsid w:val="00DC50E8"/>
    <w:rsid w:val="00DC5CA4"/>
    <w:rsid w:val="00DC5CDA"/>
    <w:rsid w:val="00DC5E2C"/>
    <w:rsid w:val="00DC6B80"/>
    <w:rsid w:val="00DC71B8"/>
    <w:rsid w:val="00DC7497"/>
    <w:rsid w:val="00DC7D48"/>
    <w:rsid w:val="00DD0253"/>
    <w:rsid w:val="00DD08EF"/>
    <w:rsid w:val="00DD145A"/>
    <w:rsid w:val="00DD512E"/>
    <w:rsid w:val="00DD560D"/>
    <w:rsid w:val="00DD5EC8"/>
    <w:rsid w:val="00DD6BE2"/>
    <w:rsid w:val="00DD7B34"/>
    <w:rsid w:val="00DD7BEC"/>
    <w:rsid w:val="00DE06C9"/>
    <w:rsid w:val="00DE083E"/>
    <w:rsid w:val="00DE0C22"/>
    <w:rsid w:val="00DE1177"/>
    <w:rsid w:val="00DE1422"/>
    <w:rsid w:val="00DE1698"/>
    <w:rsid w:val="00DE2CEA"/>
    <w:rsid w:val="00DE3CFE"/>
    <w:rsid w:val="00DE515B"/>
    <w:rsid w:val="00DE567C"/>
    <w:rsid w:val="00DE6154"/>
    <w:rsid w:val="00DE634D"/>
    <w:rsid w:val="00DE6A3C"/>
    <w:rsid w:val="00DE6C0E"/>
    <w:rsid w:val="00DE74F4"/>
    <w:rsid w:val="00DE7823"/>
    <w:rsid w:val="00DE7C8B"/>
    <w:rsid w:val="00DE7F97"/>
    <w:rsid w:val="00DF0AAF"/>
    <w:rsid w:val="00DF1010"/>
    <w:rsid w:val="00DF2244"/>
    <w:rsid w:val="00DF334D"/>
    <w:rsid w:val="00DF53D9"/>
    <w:rsid w:val="00DF5AEA"/>
    <w:rsid w:val="00DF5D49"/>
    <w:rsid w:val="00DF614D"/>
    <w:rsid w:val="00DF627E"/>
    <w:rsid w:val="00DF63F6"/>
    <w:rsid w:val="00DF68D3"/>
    <w:rsid w:val="00DF7992"/>
    <w:rsid w:val="00DF7B43"/>
    <w:rsid w:val="00DF7BD0"/>
    <w:rsid w:val="00E003E6"/>
    <w:rsid w:val="00E0045E"/>
    <w:rsid w:val="00E00C8E"/>
    <w:rsid w:val="00E0219D"/>
    <w:rsid w:val="00E0276A"/>
    <w:rsid w:val="00E0374B"/>
    <w:rsid w:val="00E0632F"/>
    <w:rsid w:val="00E06C36"/>
    <w:rsid w:val="00E071A9"/>
    <w:rsid w:val="00E07D26"/>
    <w:rsid w:val="00E106E4"/>
    <w:rsid w:val="00E10B28"/>
    <w:rsid w:val="00E10F79"/>
    <w:rsid w:val="00E114AA"/>
    <w:rsid w:val="00E117FD"/>
    <w:rsid w:val="00E13747"/>
    <w:rsid w:val="00E14758"/>
    <w:rsid w:val="00E20348"/>
    <w:rsid w:val="00E21088"/>
    <w:rsid w:val="00E21942"/>
    <w:rsid w:val="00E23C5E"/>
    <w:rsid w:val="00E23CCB"/>
    <w:rsid w:val="00E23E29"/>
    <w:rsid w:val="00E24632"/>
    <w:rsid w:val="00E25155"/>
    <w:rsid w:val="00E25AEA"/>
    <w:rsid w:val="00E27C2C"/>
    <w:rsid w:val="00E30D26"/>
    <w:rsid w:val="00E30DEF"/>
    <w:rsid w:val="00E30ED2"/>
    <w:rsid w:val="00E31276"/>
    <w:rsid w:val="00E3155D"/>
    <w:rsid w:val="00E31579"/>
    <w:rsid w:val="00E31E3B"/>
    <w:rsid w:val="00E32102"/>
    <w:rsid w:val="00E33207"/>
    <w:rsid w:val="00E34666"/>
    <w:rsid w:val="00E34793"/>
    <w:rsid w:val="00E3642C"/>
    <w:rsid w:val="00E36A66"/>
    <w:rsid w:val="00E37A67"/>
    <w:rsid w:val="00E37F70"/>
    <w:rsid w:val="00E405D8"/>
    <w:rsid w:val="00E41377"/>
    <w:rsid w:val="00E41985"/>
    <w:rsid w:val="00E42B89"/>
    <w:rsid w:val="00E43D7E"/>
    <w:rsid w:val="00E4403D"/>
    <w:rsid w:val="00E446C1"/>
    <w:rsid w:val="00E45C53"/>
    <w:rsid w:val="00E46BCD"/>
    <w:rsid w:val="00E46D1E"/>
    <w:rsid w:val="00E47C88"/>
    <w:rsid w:val="00E51857"/>
    <w:rsid w:val="00E51CCC"/>
    <w:rsid w:val="00E52079"/>
    <w:rsid w:val="00E53247"/>
    <w:rsid w:val="00E5336E"/>
    <w:rsid w:val="00E53651"/>
    <w:rsid w:val="00E53B7B"/>
    <w:rsid w:val="00E545D7"/>
    <w:rsid w:val="00E547FE"/>
    <w:rsid w:val="00E54960"/>
    <w:rsid w:val="00E55927"/>
    <w:rsid w:val="00E55D7F"/>
    <w:rsid w:val="00E561E6"/>
    <w:rsid w:val="00E5636F"/>
    <w:rsid w:val="00E5669C"/>
    <w:rsid w:val="00E56A58"/>
    <w:rsid w:val="00E57735"/>
    <w:rsid w:val="00E60ECA"/>
    <w:rsid w:val="00E613AB"/>
    <w:rsid w:val="00E6168B"/>
    <w:rsid w:val="00E61A7F"/>
    <w:rsid w:val="00E634D2"/>
    <w:rsid w:val="00E637B6"/>
    <w:rsid w:val="00E6460A"/>
    <w:rsid w:val="00E663B6"/>
    <w:rsid w:val="00E66BBE"/>
    <w:rsid w:val="00E670B5"/>
    <w:rsid w:val="00E67488"/>
    <w:rsid w:val="00E6780D"/>
    <w:rsid w:val="00E67B4F"/>
    <w:rsid w:val="00E7169A"/>
    <w:rsid w:val="00E716A7"/>
    <w:rsid w:val="00E71DFE"/>
    <w:rsid w:val="00E7215F"/>
    <w:rsid w:val="00E73083"/>
    <w:rsid w:val="00E74AF4"/>
    <w:rsid w:val="00E75412"/>
    <w:rsid w:val="00E756E4"/>
    <w:rsid w:val="00E758B9"/>
    <w:rsid w:val="00E76025"/>
    <w:rsid w:val="00E76B45"/>
    <w:rsid w:val="00E76C67"/>
    <w:rsid w:val="00E8066B"/>
    <w:rsid w:val="00E806A5"/>
    <w:rsid w:val="00E816E4"/>
    <w:rsid w:val="00E81BC1"/>
    <w:rsid w:val="00E82FE5"/>
    <w:rsid w:val="00E83724"/>
    <w:rsid w:val="00E84236"/>
    <w:rsid w:val="00E843A4"/>
    <w:rsid w:val="00E8470B"/>
    <w:rsid w:val="00E84C02"/>
    <w:rsid w:val="00E84D5C"/>
    <w:rsid w:val="00E85569"/>
    <w:rsid w:val="00E856AF"/>
    <w:rsid w:val="00E859D9"/>
    <w:rsid w:val="00E86B83"/>
    <w:rsid w:val="00E86D6E"/>
    <w:rsid w:val="00E86D7D"/>
    <w:rsid w:val="00E878FB"/>
    <w:rsid w:val="00E87C64"/>
    <w:rsid w:val="00E912E1"/>
    <w:rsid w:val="00E919C3"/>
    <w:rsid w:val="00E93A01"/>
    <w:rsid w:val="00E93FF8"/>
    <w:rsid w:val="00E948D8"/>
    <w:rsid w:val="00E948F4"/>
    <w:rsid w:val="00E94EB6"/>
    <w:rsid w:val="00E94F16"/>
    <w:rsid w:val="00E950CA"/>
    <w:rsid w:val="00E95CA8"/>
    <w:rsid w:val="00E96643"/>
    <w:rsid w:val="00E96CE0"/>
    <w:rsid w:val="00E96EAF"/>
    <w:rsid w:val="00E979D5"/>
    <w:rsid w:val="00EA044C"/>
    <w:rsid w:val="00EA1752"/>
    <w:rsid w:val="00EA1911"/>
    <w:rsid w:val="00EA305A"/>
    <w:rsid w:val="00EA539B"/>
    <w:rsid w:val="00EA5A89"/>
    <w:rsid w:val="00EA5BDB"/>
    <w:rsid w:val="00EA63FA"/>
    <w:rsid w:val="00EA7DEB"/>
    <w:rsid w:val="00EB019E"/>
    <w:rsid w:val="00EB056C"/>
    <w:rsid w:val="00EB0A73"/>
    <w:rsid w:val="00EB0A9C"/>
    <w:rsid w:val="00EB0B55"/>
    <w:rsid w:val="00EB1C2C"/>
    <w:rsid w:val="00EB2D73"/>
    <w:rsid w:val="00EB3A98"/>
    <w:rsid w:val="00EB46D9"/>
    <w:rsid w:val="00EB4909"/>
    <w:rsid w:val="00EB6349"/>
    <w:rsid w:val="00EB6EF6"/>
    <w:rsid w:val="00EC0199"/>
    <w:rsid w:val="00EC0E64"/>
    <w:rsid w:val="00EC11AB"/>
    <w:rsid w:val="00EC142D"/>
    <w:rsid w:val="00EC1E16"/>
    <w:rsid w:val="00EC2DD1"/>
    <w:rsid w:val="00EC31BB"/>
    <w:rsid w:val="00EC3BAD"/>
    <w:rsid w:val="00EC4BA5"/>
    <w:rsid w:val="00EC4BCF"/>
    <w:rsid w:val="00EC52DA"/>
    <w:rsid w:val="00EC6F28"/>
    <w:rsid w:val="00ED0024"/>
    <w:rsid w:val="00ED073E"/>
    <w:rsid w:val="00ED0C8E"/>
    <w:rsid w:val="00ED0EA0"/>
    <w:rsid w:val="00ED0F85"/>
    <w:rsid w:val="00ED2B5C"/>
    <w:rsid w:val="00ED3269"/>
    <w:rsid w:val="00ED3A18"/>
    <w:rsid w:val="00ED3AB7"/>
    <w:rsid w:val="00ED3C57"/>
    <w:rsid w:val="00ED42A0"/>
    <w:rsid w:val="00ED50D6"/>
    <w:rsid w:val="00ED63EF"/>
    <w:rsid w:val="00ED7D1B"/>
    <w:rsid w:val="00EE0D12"/>
    <w:rsid w:val="00EE1A8C"/>
    <w:rsid w:val="00EE1C03"/>
    <w:rsid w:val="00EE2AE6"/>
    <w:rsid w:val="00EE3FED"/>
    <w:rsid w:val="00EE4643"/>
    <w:rsid w:val="00EE4B65"/>
    <w:rsid w:val="00EE529F"/>
    <w:rsid w:val="00EE65B6"/>
    <w:rsid w:val="00EE7970"/>
    <w:rsid w:val="00EE7C86"/>
    <w:rsid w:val="00EF1330"/>
    <w:rsid w:val="00EF15FF"/>
    <w:rsid w:val="00EF31D8"/>
    <w:rsid w:val="00EF5147"/>
    <w:rsid w:val="00EF55E6"/>
    <w:rsid w:val="00EF5707"/>
    <w:rsid w:val="00EF6F1F"/>
    <w:rsid w:val="00EF70EC"/>
    <w:rsid w:val="00EF7111"/>
    <w:rsid w:val="00EF7D1A"/>
    <w:rsid w:val="00F02658"/>
    <w:rsid w:val="00F02759"/>
    <w:rsid w:val="00F03B49"/>
    <w:rsid w:val="00F0448F"/>
    <w:rsid w:val="00F04E9B"/>
    <w:rsid w:val="00F0716C"/>
    <w:rsid w:val="00F105AE"/>
    <w:rsid w:val="00F108A8"/>
    <w:rsid w:val="00F12E8B"/>
    <w:rsid w:val="00F13319"/>
    <w:rsid w:val="00F14353"/>
    <w:rsid w:val="00F1628B"/>
    <w:rsid w:val="00F1694D"/>
    <w:rsid w:val="00F16EBE"/>
    <w:rsid w:val="00F22B26"/>
    <w:rsid w:val="00F22CAC"/>
    <w:rsid w:val="00F22E81"/>
    <w:rsid w:val="00F24382"/>
    <w:rsid w:val="00F26525"/>
    <w:rsid w:val="00F2681D"/>
    <w:rsid w:val="00F270E9"/>
    <w:rsid w:val="00F273EF"/>
    <w:rsid w:val="00F27440"/>
    <w:rsid w:val="00F275C0"/>
    <w:rsid w:val="00F300B8"/>
    <w:rsid w:val="00F304D0"/>
    <w:rsid w:val="00F317B5"/>
    <w:rsid w:val="00F33348"/>
    <w:rsid w:val="00F346B6"/>
    <w:rsid w:val="00F3608D"/>
    <w:rsid w:val="00F36145"/>
    <w:rsid w:val="00F37B80"/>
    <w:rsid w:val="00F37BDD"/>
    <w:rsid w:val="00F401C0"/>
    <w:rsid w:val="00F40716"/>
    <w:rsid w:val="00F41503"/>
    <w:rsid w:val="00F417D4"/>
    <w:rsid w:val="00F432CF"/>
    <w:rsid w:val="00F437FD"/>
    <w:rsid w:val="00F43B69"/>
    <w:rsid w:val="00F43D8C"/>
    <w:rsid w:val="00F4479A"/>
    <w:rsid w:val="00F44D82"/>
    <w:rsid w:val="00F44F3C"/>
    <w:rsid w:val="00F45589"/>
    <w:rsid w:val="00F46034"/>
    <w:rsid w:val="00F46207"/>
    <w:rsid w:val="00F466C8"/>
    <w:rsid w:val="00F469A9"/>
    <w:rsid w:val="00F46B50"/>
    <w:rsid w:val="00F47C20"/>
    <w:rsid w:val="00F50B46"/>
    <w:rsid w:val="00F50D1F"/>
    <w:rsid w:val="00F51545"/>
    <w:rsid w:val="00F51901"/>
    <w:rsid w:val="00F521DE"/>
    <w:rsid w:val="00F5371A"/>
    <w:rsid w:val="00F54162"/>
    <w:rsid w:val="00F541D4"/>
    <w:rsid w:val="00F54369"/>
    <w:rsid w:val="00F54B00"/>
    <w:rsid w:val="00F553CE"/>
    <w:rsid w:val="00F5565A"/>
    <w:rsid w:val="00F56043"/>
    <w:rsid w:val="00F565B2"/>
    <w:rsid w:val="00F5664E"/>
    <w:rsid w:val="00F56BD8"/>
    <w:rsid w:val="00F56FA9"/>
    <w:rsid w:val="00F6171A"/>
    <w:rsid w:val="00F620A1"/>
    <w:rsid w:val="00F62306"/>
    <w:rsid w:val="00F635FC"/>
    <w:rsid w:val="00F63B08"/>
    <w:rsid w:val="00F63D03"/>
    <w:rsid w:val="00F65E2F"/>
    <w:rsid w:val="00F663D3"/>
    <w:rsid w:val="00F664B1"/>
    <w:rsid w:val="00F66520"/>
    <w:rsid w:val="00F66719"/>
    <w:rsid w:val="00F6673F"/>
    <w:rsid w:val="00F67385"/>
    <w:rsid w:val="00F67DF1"/>
    <w:rsid w:val="00F7054E"/>
    <w:rsid w:val="00F7137C"/>
    <w:rsid w:val="00F72A09"/>
    <w:rsid w:val="00F72B1C"/>
    <w:rsid w:val="00F74D74"/>
    <w:rsid w:val="00F74E67"/>
    <w:rsid w:val="00F7552B"/>
    <w:rsid w:val="00F81C46"/>
    <w:rsid w:val="00F8309B"/>
    <w:rsid w:val="00F831E2"/>
    <w:rsid w:val="00F833C9"/>
    <w:rsid w:val="00F8533A"/>
    <w:rsid w:val="00F90064"/>
    <w:rsid w:val="00F9022A"/>
    <w:rsid w:val="00F90520"/>
    <w:rsid w:val="00F9056D"/>
    <w:rsid w:val="00F91E1A"/>
    <w:rsid w:val="00F93C79"/>
    <w:rsid w:val="00F94217"/>
    <w:rsid w:val="00F9586C"/>
    <w:rsid w:val="00F96AFD"/>
    <w:rsid w:val="00F96F4C"/>
    <w:rsid w:val="00F97C64"/>
    <w:rsid w:val="00FA014C"/>
    <w:rsid w:val="00FA07F4"/>
    <w:rsid w:val="00FA1398"/>
    <w:rsid w:val="00FA1515"/>
    <w:rsid w:val="00FA2E19"/>
    <w:rsid w:val="00FA43C8"/>
    <w:rsid w:val="00FA5EBA"/>
    <w:rsid w:val="00FA697F"/>
    <w:rsid w:val="00FA7147"/>
    <w:rsid w:val="00FA7A0A"/>
    <w:rsid w:val="00FB0147"/>
    <w:rsid w:val="00FB0F92"/>
    <w:rsid w:val="00FB1B41"/>
    <w:rsid w:val="00FB2015"/>
    <w:rsid w:val="00FB223A"/>
    <w:rsid w:val="00FB2852"/>
    <w:rsid w:val="00FB2B00"/>
    <w:rsid w:val="00FB2FB3"/>
    <w:rsid w:val="00FB3846"/>
    <w:rsid w:val="00FB5059"/>
    <w:rsid w:val="00FB5521"/>
    <w:rsid w:val="00FB610D"/>
    <w:rsid w:val="00FB626E"/>
    <w:rsid w:val="00FB782F"/>
    <w:rsid w:val="00FC21AC"/>
    <w:rsid w:val="00FC4477"/>
    <w:rsid w:val="00FC46FB"/>
    <w:rsid w:val="00FC51FF"/>
    <w:rsid w:val="00FC6630"/>
    <w:rsid w:val="00FC7110"/>
    <w:rsid w:val="00FC7B66"/>
    <w:rsid w:val="00FD0D94"/>
    <w:rsid w:val="00FD106C"/>
    <w:rsid w:val="00FD1B08"/>
    <w:rsid w:val="00FD1CB8"/>
    <w:rsid w:val="00FD2BD3"/>
    <w:rsid w:val="00FD3DEF"/>
    <w:rsid w:val="00FD4CA5"/>
    <w:rsid w:val="00FD4CCA"/>
    <w:rsid w:val="00FD58B1"/>
    <w:rsid w:val="00FD7002"/>
    <w:rsid w:val="00FD7610"/>
    <w:rsid w:val="00FE04BA"/>
    <w:rsid w:val="00FE234B"/>
    <w:rsid w:val="00FE2A9E"/>
    <w:rsid w:val="00FE34B3"/>
    <w:rsid w:val="00FE46B7"/>
    <w:rsid w:val="00FE4CEC"/>
    <w:rsid w:val="00FE6C21"/>
    <w:rsid w:val="00FE7B54"/>
    <w:rsid w:val="00FF0420"/>
    <w:rsid w:val="00FF41B8"/>
    <w:rsid w:val="00FF47C1"/>
    <w:rsid w:val="00FF4F5A"/>
    <w:rsid w:val="00FF5237"/>
    <w:rsid w:val="00FF58E4"/>
    <w:rsid w:val="00FF5B79"/>
    <w:rsid w:val="00FF60BD"/>
    <w:rsid w:val="06763376"/>
    <w:rsid w:val="06D79157"/>
    <w:rsid w:val="0DD79F36"/>
    <w:rsid w:val="0EEF67E2"/>
    <w:rsid w:val="11B2F77D"/>
    <w:rsid w:val="11E43BAB"/>
    <w:rsid w:val="121534C5"/>
    <w:rsid w:val="161E678D"/>
    <w:rsid w:val="19090967"/>
    <w:rsid w:val="1B3C24C5"/>
    <w:rsid w:val="210B7837"/>
    <w:rsid w:val="23B4E6BE"/>
    <w:rsid w:val="24F18C83"/>
    <w:rsid w:val="25653D02"/>
    <w:rsid w:val="27AA7305"/>
    <w:rsid w:val="27DDB067"/>
    <w:rsid w:val="287BFAB7"/>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5E673"/>
  <w15:chartTrackingRefBased/>
  <w15:docId w15:val="{F8C0A981-1704-416E-9ED9-560E5378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宋体" w:hAnsi="Segoe UI" w:cs="Times New Roman"/>
        <w:sz w:val="18"/>
        <w:szCs w:val="24"/>
        <w:lang w:val="en-US" w:eastAsia="zh-CN"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eastAsia="宋体" w:hAnsi="Arial"/>
      <w:sz w:val="13"/>
      <w:szCs w:val="24"/>
      <w:lang w:val="de-DE" w:eastAsia="zh-CN"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eastAsia="宋体" w:hAnsi="Arial" w:cs="Arial"/>
      <w:b/>
      <w:bCs/>
      <w:kern w:val="32"/>
      <w:sz w:val="36"/>
      <w:szCs w:val="32"/>
      <w:lang w:val="de-DE"/>
    </w:rPr>
  </w:style>
  <w:style w:type="character" w:styleId="Hyperlink">
    <w:name w:val="Hyperlink"/>
    <w:rsid w:val="00336854"/>
    <w:rPr>
      <w:rFonts w:ascii="Segoe UI" w:eastAsia="宋体"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eastAsia="宋体"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eastAsia="宋体" w:hAnsi="Segoe UI"/>
      <w:bCs/>
      <w:noProof/>
      <w:sz w:val="12"/>
      <w:szCs w:val="24"/>
      <w:lang w:val="de-DE"/>
    </w:rPr>
  </w:style>
  <w:style w:type="character" w:customStyle="1" w:styleId="1">
    <w:name w:val="未处理的提及1"/>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eastAsia="宋体" w:hAnsi="Segoe UI"/>
      <w:sz w:val="18"/>
    </w:rPr>
  </w:style>
  <w:style w:type="character" w:customStyle="1" w:styleId="AboutandContactHeadline">
    <w:name w:val="About and Contact Headline"/>
    <w:basedOn w:val="DefaultParagraphFont"/>
    <w:rsid w:val="00336854"/>
    <w:rPr>
      <w:rFonts w:ascii="Segoe UI" w:eastAsia="宋体"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eastAsia="宋体"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eastAsia="宋体" w:hAnsi="Arial"/>
      <w:b/>
      <w:bCs/>
      <w:sz w:val="20"/>
      <w:szCs w:val="20"/>
      <w:lang w:val="de-DE"/>
    </w:rPr>
  </w:style>
  <w:style w:type="paragraph" w:styleId="Revision">
    <w:name w:val="Revision"/>
    <w:hidden/>
    <w:uiPriority w:val="62"/>
    <w:unhideWhenUsed/>
    <w:rsid w:val="006E2D24"/>
    <w:rPr>
      <w:sz w:val="22"/>
    </w:rPr>
  </w:style>
  <w:style w:type="paragraph" w:customStyle="1" w:styleId="He04Funote">
    <w:name w:val="_He_04_Fußnote"/>
    <w:next w:val="Normal"/>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FootnoteReference">
    <w:name w:val="footnote reference"/>
    <w:basedOn w:val="DefaultParagraphFont"/>
    <w:uiPriority w:val="99"/>
    <w:unhideWhenUsed/>
    <w:rsid w:val="00A90F18"/>
    <w:rPr>
      <w:vertAlign w:val="superscript"/>
    </w:rPr>
  </w:style>
  <w:style w:type="character" w:styleId="FollowedHyperlink">
    <w:name w:val="FollowedHyperlink"/>
    <w:basedOn w:val="DefaultParagraphFont"/>
    <w:rsid w:val="00B1118A"/>
    <w:rPr>
      <w:color w:val="954F72" w:themeColor="followedHyperlink"/>
      <w:u w:val="single"/>
    </w:rPr>
  </w:style>
  <w:style w:type="paragraph" w:customStyle="1" w:styleId="He01FlietextAufzhlung1Ebene">
    <w:name w:val="_He_01_Fließtext Aufzählung 1. Ebene"/>
    <w:next w:val="Normal"/>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DefaultParagraphFont"/>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FootnoteText">
    <w:name w:val="footnote text"/>
    <w:basedOn w:val="Normal"/>
    <w:link w:val="FootnoteTextChar"/>
    <w:uiPriority w:val="99"/>
    <w:unhideWhenUsed/>
    <w:rsid w:val="00F9022A"/>
    <w:pPr>
      <w:spacing w:line="240" w:lineRule="auto"/>
      <w:jc w:val="left"/>
    </w:pPr>
    <w:rPr>
      <w:rFonts w:eastAsiaTheme="minorHAnsi" w:cstheme="minorBidi"/>
      <w:szCs w:val="20"/>
      <w:lang w:val="de-DE"/>
    </w:rPr>
  </w:style>
  <w:style w:type="character" w:customStyle="1" w:styleId="FootnoteTextChar">
    <w:name w:val="Footnote Text Char"/>
    <w:basedOn w:val="DefaultParagraphFont"/>
    <w:link w:val="FootnoteText"/>
    <w:uiPriority w:val="99"/>
    <w:rsid w:val="00F9022A"/>
    <w:rPr>
      <w:rFonts w:eastAsiaTheme="minorHAnsi" w:cstheme="minorBidi"/>
      <w:sz w:val="22"/>
      <w:szCs w:val="20"/>
      <w:lang w:val="de-DE"/>
    </w:rPr>
  </w:style>
  <w:style w:type="character" w:styleId="Strong">
    <w:name w:val="Strong"/>
    <w:basedOn w:val="DefaultParagraphFont"/>
    <w:uiPriority w:val="22"/>
    <w:qFormat/>
    <w:rsid w:val="00033476"/>
    <w:rPr>
      <w:b/>
      <w:bCs/>
    </w:rPr>
  </w:style>
  <w:style w:type="paragraph" w:customStyle="1" w:styleId="He01FlietextAufzhlung2Ebene">
    <w:name w:val="_He_01_Fließtext Aufzählung 2. Ebene"/>
    <w:next w:val="He01Flietext"/>
    <w:qFormat/>
    <w:rsid w:val="00700939"/>
    <w:pPr>
      <w:numPr>
        <w:numId w:val="20"/>
      </w:numPr>
      <w:spacing w:after="160"/>
    </w:pPr>
    <w:rPr>
      <w:rFonts w:eastAsiaTheme="minorHAnsi" w:cstheme="minorBidi"/>
      <w:sz w:val="22"/>
      <w:szCs w:val="22"/>
      <w:lang w:val="de-DE"/>
    </w:rPr>
  </w:style>
  <w:style w:type="paragraph" w:customStyle="1" w:styleId="He05Fett">
    <w:name w:val="_He_05_Fett"/>
    <w:next w:val="He01Flietext"/>
    <w:link w:val="He05FettZchn"/>
    <w:qFormat/>
    <w:rsid w:val="00B33C35"/>
    <w:pPr>
      <w:spacing w:after="160" w:line="259" w:lineRule="auto"/>
    </w:pPr>
    <w:rPr>
      <w:rFonts w:eastAsiaTheme="minorHAnsi" w:cstheme="minorBidi"/>
      <w:b/>
      <w:szCs w:val="22"/>
      <w:lang w:val="de-DE"/>
    </w:rPr>
  </w:style>
  <w:style w:type="character" w:customStyle="1" w:styleId="He05FettZchn">
    <w:name w:val="_He_05_Fett Zchn"/>
    <w:basedOn w:val="DefaultParagraphFont"/>
    <w:link w:val="He05Fett"/>
    <w:rsid w:val="00B33C35"/>
    <w:rPr>
      <w:rFonts w:eastAsiaTheme="minorHAnsi" w:cstheme="minorBidi"/>
      <w:b/>
      <w:szCs w:val="22"/>
      <w:lang w:val="de-DE"/>
    </w:rPr>
  </w:style>
  <w:style w:type="paragraph" w:customStyle="1" w:styleId="Default">
    <w:name w:val="Default"/>
    <w:rsid w:val="0026342A"/>
    <w:pPr>
      <w:autoSpaceDE w:val="0"/>
      <w:autoSpaceDN w:val="0"/>
      <w:adjustRightInd w:val="0"/>
    </w:pPr>
    <w:rPr>
      <w:rFonts w:cs="Segoe UI"/>
      <w:color w:val="000000"/>
      <w:sz w:val="24"/>
      <w:lang w:val="de-DE"/>
    </w:rPr>
  </w:style>
  <w:style w:type="paragraph" w:styleId="Date">
    <w:name w:val="Date"/>
    <w:basedOn w:val="Normal"/>
    <w:next w:val="Normal"/>
    <w:link w:val="DateChar"/>
    <w:rsid w:val="00461D39"/>
    <w:pPr>
      <w:ind w:leftChars="2500" w:left="100"/>
    </w:pPr>
  </w:style>
  <w:style w:type="character" w:customStyle="1" w:styleId="DateChar">
    <w:name w:val="Date Char"/>
    <w:basedOn w:val="DefaultParagraphFont"/>
    <w:link w:val="Date"/>
    <w:rsid w:val="00461D39"/>
    <w:rPr>
      <w:sz w:val="22"/>
    </w:rPr>
  </w:style>
  <w:style w:type="character" w:customStyle="1" w:styleId="normaltextrun">
    <w:name w:val="normaltextrun"/>
    <w:basedOn w:val="DefaultParagraphFont"/>
    <w:rsid w:val="008D455D"/>
  </w:style>
  <w:style w:type="character" w:customStyle="1" w:styleId="eop">
    <w:name w:val="eop"/>
    <w:basedOn w:val="DefaultParagraphFont"/>
    <w:rsid w:val="008D4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ki.qi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louise.cheung@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checkpoint.com/v2/___http://www.henkel.com___.YzJ1OndlY29tbXVuaWNhdGlvbnM6YzpvOmM1ZDRlMDJhYjlmMDNjY2Y3MTNjZmQ0MDJkNjM2NjBkOjY6ODUwZTo1ZmM4YmM4ZDE5NzBiYzljNmI3ZDI1NTJiZDlmMzFiMzA5MGY1MmJkNTA2MWEzZmRkYmZkYjVlMGUyY2JiMDRiOnA6VDp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SimSun"/>
        <a:cs typeface=""/>
      </a:majorFont>
      <a:minorFont>
        <a:latin typeface="Segoe U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20" ma:contentTypeDescription="Ein neues Dokument erstellen." ma:contentTypeScope="" ma:versionID="211439ee2fadb544a6ade85018508a45">
  <xsd:schema xmlns:xsd="http://www.w3.org/2001/XMLSchema" xmlns:xs="http://www.w3.org/2001/XMLSchema" xmlns:p="http://schemas.microsoft.com/office/2006/metadata/properties" xmlns:ns2="2b1ed756-d086-4fdf-a17a-21742199d804" xmlns:ns3="33270825-9502-4f44-99e1-0b2736f161aa" xmlns:ns4="ef406d6b-70e0-427c-b08d-4edfc77771aa" targetNamespace="http://schemas.microsoft.com/office/2006/metadata/properties" ma:root="true" ma:fieldsID="caf884f0dcf0e2644a2ceae36d3a42fe" ns2:_="" ns3:_="" ns4:_="">
    <xsd:import namespace="2b1ed756-d086-4fdf-a17a-21742199d804"/>
    <xsd:import namespace="33270825-9502-4f44-99e1-0b2736f161aa"/>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bec13d3-e295-4160-a51a-24621d98b0e2}" ma:internalName="TaxCatchAll" ma:showField="CatchAllData" ma:web="33270825-9502-4f44-99e1-0b2736f161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2b1ed756-d086-4fdf-a17a-21742199d80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BD2E4-BEAA-4191-9B41-67D2978D1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2b1ed756-d086-4fdf-a17a-21742199d804"/>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8</Pages>
  <Words>1175</Words>
  <Characters>6699</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Henkel</dc:creator>
  <cp:lastModifiedBy>Liki Qin</cp:lastModifiedBy>
  <cp:revision>4</cp:revision>
  <cp:lastPrinted>2025-03-10T20:06:00Z</cp:lastPrinted>
  <dcterms:created xsi:type="dcterms:W3CDTF">2025-03-17T07:35:00Z</dcterms:created>
  <dcterms:modified xsi:type="dcterms:W3CDTF">2025-03-17T07:40:00Z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MediaServiceImageTags">
    <vt:lpwstr/>
  </property>
</Properties>
</file>