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324D26D7" w:rsidR="00B422EC" w:rsidRPr="00E628C2" w:rsidRDefault="005A359D" w:rsidP="00643D8A">
      <w:pPr>
        <w:pStyle w:val="MonthDayYear"/>
        <w:rPr>
          <w:lang w:val="sk-SK"/>
        </w:rPr>
      </w:pPr>
      <w:r w:rsidRPr="005A359D">
        <w:rPr>
          <w:lang w:val="sk-SK"/>
        </w:rPr>
        <w:t>11. marec 2025</w:t>
      </w:r>
    </w:p>
    <w:p w14:paraId="09896324" w14:textId="1F20FAC8" w:rsidR="007F0F63" w:rsidRPr="005C2D02" w:rsidRDefault="006C6703" w:rsidP="00600D4B">
      <w:pPr>
        <w:pStyle w:val="Topline"/>
        <w:spacing w:before="100" w:beforeAutospacing="1" w:after="100" w:afterAutospacing="1"/>
        <w:rPr>
          <w:lang w:val="sk-SK"/>
        </w:rPr>
      </w:pPr>
      <w:r w:rsidRPr="006C6703">
        <w:rPr>
          <w:lang w:val="sk-SK"/>
        </w:rPr>
        <w:t>Spoločnosť Henkel oznámila finančné výsledky za rok 2024</w:t>
      </w:r>
    </w:p>
    <w:p w14:paraId="76AD0789" w14:textId="61CB989A" w:rsidR="007F0F63" w:rsidRPr="00E628C2" w:rsidRDefault="00C65BF5" w:rsidP="00D440E6">
      <w:pPr>
        <w:spacing w:before="100" w:beforeAutospacing="1" w:after="100" w:afterAutospacing="1"/>
        <w:rPr>
          <w:rStyle w:val="Headline"/>
          <w:lang w:val="sk-SK"/>
        </w:rPr>
      </w:pPr>
      <w:r w:rsidRPr="00C65BF5">
        <w:rPr>
          <w:b/>
          <w:bCs/>
          <w:sz w:val="32"/>
          <w:lang w:val="sk-SK"/>
        </w:rPr>
        <w:t>Veľmi dobré finančné výsledky za rok 2024 potvrdzujú úspešnú implementáciu agendy zmysluplného rastu</w:t>
      </w:r>
    </w:p>
    <w:p w14:paraId="4C7B3939" w14:textId="77777777" w:rsidR="005B5984" w:rsidRPr="00707A1E" w:rsidRDefault="005B5984" w:rsidP="005B5984">
      <w:pPr>
        <w:pStyle w:val="Odsekzoznamu"/>
        <w:numPr>
          <w:ilvl w:val="0"/>
          <w:numId w:val="18"/>
        </w:numPr>
        <w:spacing w:after="80"/>
        <w:ind w:right="-108"/>
        <w:contextualSpacing w:val="0"/>
        <w:jc w:val="left"/>
        <w:rPr>
          <w:rFonts w:asciiTheme="majorHAnsi" w:hAnsiTheme="majorHAnsi" w:cs="Aptos Display"/>
          <w:b/>
          <w:szCs w:val="22"/>
          <w:lang w:val="sk-SK"/>
        </w:rPr>
      </w:pPr>
      <w:bookmarkStart w:id="0" w:name="_Hlk191036371"/>
      <w:bookmarkStart w:id="1" w:name="_Hlk64363173"/>
      <w:bookmarkStart w:id="2" w:name="_Hlk43712519"/>
      <w:r w:rsidRPr="00684F87">
        <w:rPr>
          <w:rFonts w:asciiTheme="majorHAnsi" w:hAnsiTheme="majorHAnsi" w:cs="Aptos Display"/>
          <w:b/>
          <w:szCs w:val="22"/>
          <w:lang w:val="sk-SK" w:bidi="bo-CN"/>
        </w:rPr>
        <w:t>Silné hospodárske výsledky za finančný rok 2024</w:t>
      </w:r>
    </w:p>
    <w:bookmarkEnd w:id="1"/>
    <w:p w14:paraId="2E4F0E02" w14:textId="77777777" w:rsidR="005B5984" w:rsidRPr="00707A1E" w:rsidRDefault="005B5984" w:rsidP="000425A8">
      <w:pPr>
        <w:pStyle w:val="Odsekzoznamu"/>
        <w:numPr>
          <w:ilvl w:val="1"/>
          <w:numId w:val="20"/>
        </w:numPr>
        <w:spacing w:after="80" w:line="266" w:lineRule="auto"/>
        <w:ind w:left="851" w:right="-108" w:hanging="425"/>
        <w:contextualSpacing w:val="0"/>
        <w:jc w:val="left"/>
        <w:rPr>
          <w:rFonts w:asciiTheme="majorHAnsi" w:hAnsiTheme="majorHAnsi" w:cs="Aptos Display"/>
          <w:b/>
          <w:szCs w:val="22"/>
          <w:lang w:val="sk-SK" w:bidi="bo-CN"/>
        </w:rPr>
      </w:pPr>
      <w:r w:rsidRPr="00684F87">
        <w:rPr>
          <w:rFonts w:asciiTheme="majorHAnsi" w:hAnsiTheme="majorHAnsi" w:cs="Aptos Display"/>
          <w:b/>
          <w:szCs w:val="22"/>
          <w:lang w:val="sk-SK" w:bidi="bo-CN"/>
        </w:rPr>
        <w:t>Obrat:</w:t>
      </w:r>
      <w:r w:rsidRPr="00707A1E">
        <w:rPr>
          <w:rFonts w:asciiTheme="majorHAnsi" w:hAnsiTheme="majorHAnsi" w:cs="Aptos Display"/>
          <w:b/>
          <w:szCs w:val="22"/>
          <w:lang w:val="sk-SK" w:bidi="bo-CN"/>
        </w:rPr>
        <w:t xml:space="preserve"> </w:t>
      </w:r>
      <w:bookmarkEnd w:id="2"/>
      <w:r w:rsidRPr="00684F87">
        <w:rPr>
          <w:rFonts w:asciiTheme="majorHAnsi" w:hAnsiTheme="majorHAnsi" w:cs="Aptos Display"/>
          <w:b/>
          <w:szCs w:val="22"/>
          <w:lang w:val="sk-SK" w:bidi="bo-CN"/>
        </w:rPr>
        <w:t xml:space="preserve">21,6 </w:t>
      </w:r>
      <w:r>
        <w:rPr>
          <w:rFonts w:asciiTheme="majorHAnsi" w:hAnsiTheme="majorHAnsi" w:cs="Aptos Display"/>
          <w:b/>
          <w:szCs w:val="22"/>
          <w:lang w:val="sk-SK" w:bidi="bo-CN"/>
        </w:rPr>
        <w:t>miliardy</w:t>
      </w:r>
      <w:r w:rsidRPr="00684F87">
        <w:rPr>
          <w:rFonts w:asciiTheme="majorHAnsi" w:hAnsiTheme="majorHAnsi" w:cs="Aptos Display"/>
          <w:b/>
          <w:szCs w:val="22"/>
          <w:lang w:val="sk-SK" w:bidi="bo-CN"/>
        </w:rPr>
        <w:t xml:space="preserve"> eur, silný organický rast na úrovni 2,6 </w:t>
      </w:r>
      <w:r>
        <w:rPr>
          <w:rFonts w:asciiTheme="majorHAnsi" w:hAnsiTheme="majorHAnsi" w:cs="Aptos Display"/>
          <w:b/>
          <w:szCs w:val="22"/>
          <w:lang w:val="sk-SK" w:bidi="bo-CN"/>
        </w:rPr>
        <w:t>percenta</w:t>
      </w:r>
    </w:p>
    <w:p w14:paraId="29D93573" w14:textId="77777777" w:rsidR="005B5984" w:rsidRPr="00684F87" w:rsidRDefault="005B5984" w:rsidP="000425A8">
      <w:pPr>
        <w:pStyle w:val="Odsekzoznamu"/>
        <w:numPr>
          <w:ilvl w:val="1"/>
          <w:numId w:val="20"/>
        </w:numPr>
        <w:spacing w:after="80" w:line="266" w:lineRule="auto"/>
        <w:ind w:left="851" w:right="-108" w:hanging="425"/>
        <w:contextualSpacing w:val="0"/>
        <w:jc w:val="left"/>
        <w:rPr>
          <w:rFonts w:asciiTheme="majorHAnsi" w:hAnsiTheme="majorHAnsi" w:cs="Aptos Display"/>
          <w:b/>
          <w:szCs w:val="22"/>
          <w:lang w:val="sk-SK" w:bidi="bo-CN"/>
        </w:rPr>
      </w:pPr>
      <w:r w:rsidRPr="00684F87">
        <w:rPr>
          <w:rFonts w:asciiTheme="majorHAnsi" w:hAnsiTheme="majorHAnsi" w:cs="Aptos Display"/>
          <w:b/>
          <w:szCs w:val="22"/>
          <w:lang w:val="sk-SK" w:bidi="bo-CN"/>
        </w:rPr>
        <w:t>Prevádzkový zisk (EBIT)*:</w:t>
      </w:r>
      <w:r w:rsidRPr="00707A1E">
        <w:rPr>
          <w:rFonts w:asciiTheme="majorHAnsi" w:hAnsiTheme="majorHAnsi" w:cs="Aptos Display"/>
          <w:b/>
          <w:szCs w:val="22"/>
          <w:lang w:val="sk-SK" w:bidi="bo-CN"/>
        </w:rPr>
        <w:t xml:space="preserve"> </w:t>
      </w:r>
      <w:r w:rsidRPr="00684F87">
        <w:rPr>
          <w:rFonts w:asciiTheme="majorHAnsi" w:hAnsiTheme="majorHAnsi" w:cs="Aptos Display"/>
          <w:b/>
          <w:szCs w:val="22"/>
          <w:lang w:val="sk-SK" w:bidi="bo-CN"/>
        </w:rPr>
        <w:t xml:space="preserve">3,1 miliardy eur, výrazný nárast o 20,9 </w:t>
      </w:r>
      <w:r>
        <w:rPr>
          <w:rFonts w:asciiTheme="majorHAnsi" w:hAnsiTheme="majorHAnsi" w:cs="Aptos Display"/>
          <w:b/>
          <w:szCs w:val="22"/>
          <w:lang w:val="sk-SK" w:bidi="bo-CN"/>
        </w:rPr>
        <w:t>percenta</w:t>
      </w:r>
    </w:p>
    <w:p w14:paraId="0CE444A3" w14:textId="77777777" w:rsidR="005B5984" w:rsidRPr="00707A1E" w:rsidRDefault="005B5984" w:rsidP="000425A8">
      <w:pPr>
        <w:pStyle w:val="Odsekzoznamu"/>
        <w:numPr>
          <w:ilvl w:val="1"/>
          <w:numId w:val="20"/>
        </w:numPr>
        <w:spacing w:after="80" w:line="266" w:lineRule="auto"/>
        <w:ind w:left="851" w:right="-108" w:hanging="425"/>
        <w:contextualSpacing w:val="0"/>
        <w:jc w:val="left"/>
        <w:rPr>
          <w:rFonts w:asciiTheme="majorHAnsi" w:hAnsiTheme="majorHAnsi" w:cs="Aptos Display"/>
          <w:b/>
          <w:szCs w:val="22"/>
          <w:lang w:val="sk-SK" w:bidi="bo-CN"/>
        </w:rPr>
      </w:pPr>
      <w:r w:rsidRPr="00684F87">
        <w:rPr>
          <w:rFonts w:asciiTheme="majorHAnsi" w:hAnsiTheme="majorHAnsi" w:cs="Aptos Display"/>
          <w:b/>
          <w:szCs w:val="22"/>
          <w:lang w:val="sk-SK" w:bidi="bo-CN"/>
        </w:rPr>
        <w:t>Marža EBIT*:</w:t>
      </w:r>
      <w:r w:rsidRPr="00707A1E">
        <w:rPr>
          <w:rFonts w:asciiTheme="majorHAnsi" w:hAnsiTheme="majorHAnsi" w:cs="Aptos Display"/>
          <w:b/>
          <w:szCs w:val="22"/>
          <w:lang w:val="sk-SK" w:bidi="bo-CN"/>
        </w:rPr>
        <w:t xml:space="preserve"> </w:t>
      </w:r>
      <w:r w:rsidRPr="00684F87">
        <w:rPr>
          <w:rFonts w:asciiTheme="majorHAnsi" w:hAnsiTheme="majorHAnsi" w:cs="Aptos Display"/>
          <w:b/>
          <w:szCs w:val="22"/>
          <w:lang w:val="sk-SK" w:bidi="bo-CN"/>
        </w:rPr>
        <w:t>14,3 percenta, výnimočné zlepšenie až o 240 bázických bodov</w:t>
      </w:r>
    </w:p>
    <w:p w14:paraId="2C29DC1C" w14:textId="77777777" w:rsidR="005B5984" w:rsidRPr="00707A1E" w:rsidRDefault="005B5984" w:rsidP="000425A8">
      <w:pPr>
        <w:pStyle w:val="Odsekzoznamu"/>
        <w:numPr>
          <w:ilvl w:val="1"/>
          <w:numId w:val="20"/>
        </w:numPr>
        <w:spacing w:after="80" w:line="266" w:lineRule="auto"/>
        <w:ind w:left="851" w:right="-108" w:hanging="425"/>
        <w:contextualSpacing w:val="0"/>
        <w:jc w:val="left"/>
        <w:rPr>
          <w:rFonts w:asciiTheme="majorHAnsi" w:hAnsiTheme="majorHAnsi" w:cs="Aptos Display"/>
          <w:b/>
          <w:szCs w:val="22"/>
          <w:lang w:val="sk-SK" w:bidi="bo-CN"/>
        </w:rPr>
      </w:pPr>
      <w:r w:rsidRPr="00684F87">
        <w:rPr>
          <w:rFonts w:asciiTheme="majorHAnsi" w:hAnsiTheme="majorHAnsi" w:cs="Aptos Display"/>
          <w:b/>
          <w:szCs w:val="22"/>
          <w:lang w:val="sk-SK" w:bidi="bo-CN"/>
        </w:rPr>
        <w:t>Výrazne vyšší výnos na prioritnú akciu (EPS)*:</w:t>
      </w:r>
      <w:r w:rsidRPr="00707A1E">
        <w:rPr>
          <w:rFonts w:asciiTheme="majorHAnsi" w:hAnsiTheme="majorHAnsi" w:cs="Aptos Display"/>
          <w:b/>
          <w:szCs w:val="22"/>
          <w:lang w:val="sk-SK" w:bidi="bo-CN"/>
        </w:rPr>
        <w:t xml:space="preserve"> </w:t>
      </w:r>
      <w:r w:rsidRPr="00684F87">
        <w:rPr>
          <w:rFonts w:asciiTheme="majorHAnsi" w:hAnsiTheme="majorHAnsi" w:cs="Aptos Display"/>
          <w:b/>
          <w:szCs w:val="22"/>
          <w:lang w:val="sk-SK" w:bidi="bo-CN"/>
        </w:rPr>
        <w:t>5,36 eur,+25,1 percenta pri konštantných kurzových sadzbách</w:t>
      </w:r>
    </w:p>
    <w:p w14:paraId="5CEDEF2B" w14:textId="77777777" w:rsidR="005B5984" w:rsidRPr="00707A1E" w:rsidRDefault="005B5984" w:rsidP="000425A8">
      <w:pPr>
        <w:pStyle w:val="Odsekzoznamu"/>
        <w:numPr>
          <w:ilvl w:val="1"/>
          <w:numId w:val="20"/>
        </w:numPr>
        <w:spacing w:after="80" w:line="266" w:lineRule="auto"/>
        <w:ind w:left="851" w:right="-108" w:hanging="425"/>
        <w:contextualSpacing w:val="0"/>
        <w:jc w:val="left"/>
        <w:rPr>
          <w:rFonts w:asciiTheme="majorHAnsi" w:hAnsiTheme="majorHAnsi" w:cs="Aptos Display"/>
          <w:b/>
          <w:szCs w:val="22"/>
          <w:lang w:val="sk-SK" w:bidi="bo-CN"/>
        </w:rPr>
      </w:pPr>
      <w:r w:rsidRPr="00684F87">
        <w:rPr>
          <w:rFonts w:asciiTheme="majorHAnsi" w:hAnsiTheme="majorHAnsi" w:cs="Aptos Display"/>
          <w:b/>
          <w:szCs w:val="22"/>
          <w:lang w:val="sk-SK" w:bidi="bo-CN"/>
        </w:rPr>
        <w:t>Voľný cash flow v</w:t>
      </w:r>
      <w:r>
        <w:rPr>
          <w:rFonts w:asciiTheme="majorHAnsi" w:hAnsiTheme="majorHAnsi" w:cs="Aptos Display"/>
          <w:b/>
          <w:szCs w:val="22"/>
          <w:lang w:val="sk-SK" w:bidi="bo-CN"/>
        </w:rPr>
        <w:t> celkovom objeme</w:t>
      </w:r>
      <w:r w:rsidRPr="00684F87">
        <w:rPr>
          <w:rFonts w:asciiTheme="majorHAnsi" w:hAnsiTheme="majorHAnsi" w:cs="Aptos Display"/>
          <w:b/>
          <w:szCs w:val="22"/>
          <w:lang w:val="sk-SK" w:bidi="bo-CN"/>
        </w:rPr>
        <w:t xml:space="preserve"> 2,4 miliardy eur</w:t>
      </w:r>
    </w:p>
    <w:p w14:paraId="2EFD2C06" w14:textId="77777777" w:rsidR="005B5984" w:rsidRPr="00707A1E" w:rsidRDefault="005B5984" w:rsidP="005B5984">
      <w:pPr>
        <w:pStyle w:val="Odsekzoznamu"/>
        <w:numPr>
          <w:ilvl w:val="0"/>
          <w:numId w:val="18"/>
        </w:numPr>
        <w:spacing w:after="80"/>
        <w:ind w:right="-108"/>
        <w:contextualSpacing w:val="0"/>
        <w:jc w:val="left"/>
        <w:rPr>
          <w:rFonts w:asciiTheme="majorHAnsi" w:hAnsiTheme="majorHAnsi" w:cs="Aptos Display"/>
          <w:b/>
          <w:szCs w:val="22"/>
          <w:lang w:val="sk-SK"/>
        </w:rPr>
      </w:pPr>
      <w:r w:rsidRPr="00684F87">
        <w:rPr>
          <w:rFonts w:asciiTheme="majorHAnsi" w:hAnsiTheme="majorHAnsi" w:cs="Aptos Display"/>
          <w:b/>
          <w:szCs w:val="22"/>
          <w:lang w:val="sk-SK" w:bidi="bo-CN"/>
        </w:rPr>
        <w:t>Navrhované zvýšenie dividend v dvojcifernom percentuálnom pásme:</w:t>
      </w:r>
      <w:r w:rsidRPr="00707A1E">
        <w:rPr>
          <w:rFonts w:asciiTheme="majorHAnsi" w:hAnsiTheme="majorHAnsi" w:cs="Aptos Display"/>
          <w:b/>
          <w:szCs w:val="22"/>
          <w:lang w:val="sk-SK"/>
        </w:rPr>
        <w:t xml:space="preserve"> </w:t>
      </w:r>
      <w:r w:rsidRPr="00684F87">
        <w:rPr>
          <w:rFonts w:asciiTheme="majorHAnsi" w:hAnsiTheme="majorHAnsi" w:cs="Aptos Display"/>
          <w:b/>
          <w:szCs w:val="22"/>
          <w:lang w:val="sk-SK" w:bidi="bo-CN"/>
        </w:rPr>
        <w:t>2,04 eur na prioritnú akciu (+10,3 percenta)</w:t>
      </w:r>
    </w:p>
    <w:p w14:paraId="418EAF22" w14:textId="77777777" w:rsidR="005B5984" w:rsidRPr="00707A1E" w:rsidRDefault="005B5984" w:rsidP="005B5984">
      <w:pPr>
        <w:pStyle w:val="Odsekzoznamu"/>
        <w:numPr>
          <w:ilvl w:val="0"/>
          <w:numId w:val="18"/>
        </w:numPr>
        <w:spacing w:after="80"/>
        <w:ind w:right="-108"/>
        <w:contextualSpacing w:val="0"/>
        <w:jc w:val="left"/>
        <w:rPr>
          <w:rFonts w:asciiTheme="majorHAnsi" w:hAnsiTheme="majorHAnsi" w:cs="Aptos Display"/>
          <w:b/>
          <w:szCs w:val="22"/>
          <w:lang w:val="sk-SK"/>
        </w:rPr>
      </w:pPr>
      <w:r>
        <w:rPr>
          <w:rFonts w:asciiTheme="majorHAnsi" w:hAnsiTheme="majorHAnsi" w:cs="Aptos Display"/>
          <w:b/>
          <w:szCs w:val="22"/>
          <w:lang w:val="sk-SK" w:bidi="bo-CN"/>
        </w:rPr>
        <w:t>Rozhodnutie</w:t>
      </w:r>
      <w:r w:rsidRPr="00684F87">
        <w:rPr>
          <w:rFonts w:asciiTheme="majorHAnsi" w:hAnsiTheme="majorHAnsi" w:cs="Aptos Display"/>
          <w:b/>
          <w:szCs w:val="22"/>
          <w:lang w:val="sk-SK" w:bidi="bo-CN"/>
        </w:rPr>
        <w:t xml:space="preserve"> </w:t>
      </w:r>
      <w:r>
        <w:rPr>
          <w:rFonts w:asciiTheme="majorHAnsi" w:hAnsiTheme="majorHAnsi" w:cs="Aptos Display"/>
          <w:b/>
          <w:szCs w:val="22"/>
          <w:lang w:val="sk-SK" w:bidi="bo-CN"/>
        </w:rPr>
        <w:t xml:space="preserve">o novom </w:t>
      </w:r>
      <w:r w:rsidRPr="00684F87">
        <w:rPr>
          <w:rFonts w:asciiTheme="majorHAnsi" w:hAnsiTheme="majorHAnsi" w:cs="Aptos Display"/>
          <w:b/>
          <w:szCs w:val="22"/>
          <w:lang w:val="sk-SK" w:bidi="bo-CN"/>
        </w:rPr>
        <w:t>program</w:t>
      </w:r>
      <w:r>
        <w:rPr>
          <w:rFonts w:asciiTheme="majorHAnsi" w:hAnsiTheme="majorHAnsi" w:cs="Aptos Display"/>
          <w:b/>
          <w:szCs w:val="22"/>
          <w:lang w:val="sk-SK" w:bidi="bo-CN"/>
        </w:rPr>
        <w:t>e</w:t>
      </w:r>
      <w:r w:rsidRPr="00684F87">
        <w:rPr>
          <w:rFonts w:asciiTheme="majorHAnsi" w:hAnsiTheme="majorHAnsi" w:cs="Aptos Display"/>
          <w:b/>
          <w:szCs w:val="22"/>
          <w:lang w:val="sk-SK" w:bidi="bo-CN"/>
        </w:rPr>
        <w:t xml:space="preserve"> spätného odkupu akcií v objeme do 1 miliardy eur</w:t>
      </w:r>
    </w:p>
    <w:p w14:paraId="19E173BC" w14:textId="77777777" w:rsidR="005B5984" w:rsidRPr="00707A1E" w:rsidRDefault="005B5984" w:rsidP="005B5984">
      <w:pPr>
        <w:numPr>
          <w:ilvl w:val="0"/>
          <w:numId w:val="18"/>
        </w:numPr>
        <w:spacing w:after="80"/>
        <w:ind w:right="-108"/>
        <w:jc w:val="left"/>
        <w:rPr>
          <w:rFonts w:asciiTheme="majorHAnsi" w:hAnsiTheme="majorHAnsi" w:cs="Aptos Display"/>
          <w:b/>
          <w:szCs w:val="22"/>
          <w:lang w:val="sk-SK"/>
        </w:rPr>
      </w:pPr>
      <w:r w:rsidRPr="00684F87">
        <w:rPr>
          <w:rFonts w:asciiTheme="majorHAnsi" w:hAnsiTheme="majorHAnsi" w:cs="Aptos Display"/>
          <w:b/>
          <w:szCs w:val="22"/>
          <w:lang w:val="sk-SK" w:bidi="bo-CN"/>
        </w:rPr>
        <w:t>Ďalší pokrok v implementácii agendy pre zmysluplný rast</w:t>
      </w:r>
    </w:p>
    <w:p w14:paraId="7921B89A" w14:textId="77777777" w:rsidR="005B5984" w:rsidRPr="00707A1E" w:rsidRDefault="005B5984" w:rsidP="000425A8">
      <w:pPr>
        <w:pStyle w:val="Odsekzoznamu"/>
        <w:numPr>
          <w:ilvl w:val="1"/>
          <w:numId w:val="20"/>
        </w:numPr>
        <w:spacing w:after="80" w:line="266" w:lineRule="auto"/>
        <w:ind w:left="851" w:right="-108" w:hanging="512"/>
        <w:contextualSpacing w:val="0"/>
        <w:jc w:val="left"/>
        <w:rPr>
          <w:rFonts w:asciiTheme="majorHAnsi" w:hAnsiTheme="majorHAnsi" w:cs="Aptos Display"/>
          <w:b/>
          <w:szCs w:val="22"/>
          <w:lang w:val="sk-SK" w:bidi="bo-CN"/>
        </w:rPr>
      </w:pPr>
      <w:bookmarkStart w:id="3" w:name="_Hlk157433806"/>
      <w:r w:rsidRPr="00684F87">
        <w:rPr>
          <w:rFonts w:asciiTheme="majorHAnsi" w:hAnsiTheme="majorHAnsi" w:cs="Aptos Display"/>
          <w:b/>
          <w:szCs w:val="22"/>
          <w:lang w:val="sk-SK" w:bidi="bo-CN"/>
        </w:rPr>
        <w:t>Consumer Brands:</w:t>
      </w:r>
      <w:r w:rsidRPr="00707A1E">
        <w:rPr>
          <w:rFonts w:asciiTheme="majorHAnsi" w:hAnsiTheme="majorHAnsi" w:cs="Aptos Display"/>
          <w:b/>
          <w:szCs w:val="22"/>
          <w:lang w:val="sk-SK" w:bidi="bo-CN"/>
        </w:rPr>
        <w:t xml:space="preserve"> </w:t>
      </w:r>
      <w:bookmarkEnd w:id="3"/>
      <w:r w:rsidRPr="00B62A50">
        <w:rPr>
          <w:rFonts w:asciiTheme="majorHAnsi" w:hAnsiTheme="majorHAnsi" w:cs="Aptos Display"/>
          <w:b/>
          <w:szCs w:val="22"/>
          <w:lang w:val="sk-SK" w:bidi="bo-CN"/>
        </w:rPr>
        <w:t>Integrácia prebieha rýchlejšie, než bolo plánované, portfóliové opatrenia dokončené, plné úspory budú dosiahnuté už do konca roka 2025</w:t>
      </w:r>
    </w:p>
    <w:p w14:paraId="1DB3ECD3" w14:textId="77777777" w:rsidR="005B5984" w:rsidRPr="00707A1E" w:rsidRDefault="005B5984" w:rsidP="000425A8">
      <w:pPr>
        <w:pStyle w:val="Odsekzoznamu"/>
        <w:numPr>
          <w:ilvl w:val="1"/>
          <w:numId w:val="20"/>
        </w:numPr>
        <w:spacing w:after="80" w:line="266" w:lineRule="auto"/>
        <w:ind w:left="851" w:right="-108" w:hanging="512"/>
        <w:contextualSpacing w:val="0"/>
        <w:jc w:val="left"/>
        <w:rPr>
          <w:rFonts w:asciiTheme="majorHAnsi" w:hAnsiTheme="majorHAnsi" w:cs="Aptos Display"/>
          <w:b/>
          <w:szCs w:val="22"/>
          <w:lang w:val="sk-SK" w:bidi="bo-CN"/>
        </w:rPr>
      </w:pPr>
      <w:r w:rsidRPr="00B62A50">
        <w:rPr>
          <w:rFonts w:asciiTheme="majorHAnsi" w:hAnsiTheme="majorHAnsi" w:cs="Aptos Display"/>
          <w:b/>
          <w:szCs w:val="22"/>
          <w:lang w:val="sk-SK" w:bidi="bo-CN"/>
        </w:rPr>
        <w:t>Adhesive Technologies:</w:t>
      </w:r>
      <w:r w:rsidRPr="00707A1E">
        <w:rPr>
          <w:rFonts w:asciiTheme="majorHAnsi" w:hAnsiTheme="majorHAnsi" w:cs="Aptos Display"/>
          <w:b/>
          <w:szCs w:val="22"/>
          <w:lang w:val="sk-SK" w:bidi="bo-CN"/>
        </w:rPr>
        <w:t xml:space="preserve"> </w:t>
      </w:r>
      <w:r w:rsidRPr="00B62A50">
        <w:rPr>
          <w:rFonts w:asciiTheme="majorHAnsi" w:hAnsiTheme="majorHAnsi" w:cs="Aptos Display"/>
          <w:b/>
          <w:szCs w:val="22"/>
          <w:lang w:val="sk-SK" w:bidi="bo-CN"/>
        </w:rPr>
        <w:t>Nové nastavenie zavedené v roku 2023 prináša výsledky</w:t>
      </w:r>
    </w:p>
    <w:p w14:paraId="1A911E51" w14:textId="77777777" w:rsidR="005B5984" w:rsidRPr="00707A1E" w:rsidRDefault="005B5984" w:rsidP="000425A8">
      <w:pPr>
        <w:pStyle w:val="Odsekzoznamu"/>
        <w:numPr>
          <w:ilvl w:val="1"/>
          <w:numId w:val="20"/>
        </w:numPr>
        <w:spacing w:after="80" w:line="266" w:lineRule="auto"/>
        <w:ind w:left="851" w:right="-108" w:hanging="512"/>
        <w:contextualSpacing w:val="0"/>
        <w:jc w:val="left"/>
        <w:rPr>
          <w:rFonts w:asciiTheme="majorHAnsi" w:hAnsiTheme="majorHAnsi" w:cs="Aptos Display"/>
          <w:b/>
          <w:szCs w:val="22"/>
          <w:lang w:val="sk-SK" w:bidi="bo-CN"/>
        </w:rPr>
      </w:pPr>
      <w:r w:rsidRPr="00B62A50">
        <w:rPr>
          <w:rFonts w:asciiTheme="majorHAnsi" w:hAnsiTheme="majorHAnsi" w:cs="Aptos Display"/>
          <w:b/>
          <w:szCs w:val="22"/>
          <w:lang w:val="sk-SK" w:bidi="bo-CN"/>
        </w:rPr>
        <w:t>Ambiciózne klimatické ciele: cestovná mapa k nulovým čistým emisiám definovaná</w:t>
      </w:r>
    </w:p>
    <w:p w14:paraId="4C44BDBA" w14:textId="77777777" w:rsidR="005B5984" w:rsidRPr="00707A1E" w:rsidRDefault="005B5984" w:rsidP="005B5984">
      <w:pPr>
        <w:numPr>
          <w:ilvl w:val="0"/>
          <w:numId w:val="18"/>
        </w:numPr>
        <w:spacing w:after="80"/>
        <w:ind w:right="-108"/>
        <w:jc w:val="left"/>
        <w:rPr>
          <w:rFonts w:asciiTheme="majorHAnsi" w:hAnsiTheme="majorHAnsi" w:cs="Aptos Display"/>
          <w:b/>
          <w:szCs w:val="22"/>
          <w:lang w:val="sk-SK"/>
        </w:rPr>
      </w:pPr>
      <w:r w:rsidRPr="00B62A50">
        <w:rPr>
          <w:rFonts w:asciiTheme="majorHAnsi" w:hAnsiTheme="majorHAnsi" w:cs="Aptos Display"/>
          <w:b/>
          <w:szCs w:val="22"/>
          <w:lang w:val="sk-SK" w:bidi="bo-CN"/>
        </w:rPr>
        <w:t xml:space="preserve">Výhľad na finančný rok 2025: Pripravení na ďalší rast – po pomalšom štarte sa v priebehu roka očakáva </w:t>
      </w:r>
      <w:r>
        <w:rPr>
          <w:rFonts w:asciiTheme="majorHAnsi" w:hAnsiTheme="majorHAnsi" w:cs="Aptos Display"/>
          <w:b/>
          <w:szCs w:val="22"/>
          <w:lang w:val="sk-SK" w:bidi="bo-CN"/>
        </w:rPr>
        <w:t>jeho zrýchlenie</w:t>
      </w:r>
    </w:p>
    <w:p w14:paraId="042F5A2C" w14:textId="77777777" w:rsidR="005B5984" w:rsidRPr="00707A1E" w:rsidRDefault="005B5984" w:rsidP="000425A8">
      <w:pPr>
        <w:pStyle w:val="Odsekzoznamu"/>
        <w:numPr>
          <w:ilvl w:val="1"/>
          <w:numId w:val="20"/>
        </w:numPr>
        <w:spacing w:after="80" w:line="266" w:lineRule="auto"/>
        <w:ind w:left="851" w:right="-108" w:hanging="425"/>
        <w:contextualSpacing w:val="0"/>
        <w:jc w:val="left"/>
        <w:rPr>
          <w:rFonts w:asciiTheme="majorHAnsi" w:hAnsiTheme="majorHAnsi" w:cs="Aptos Display"/>
          <w:b/>
          <w:szCs w:val="22"/>
          <w:lang w:val="sk-SK" w:bidi="bo-CN"/>
        </w:rPr>
      </w:pPr>
      <w:r w:rsidRPr="00B62A50">
        <w:rPr>
          <w:rFonts w:asciiTheme="majorHAnsi" w:hAnsiTheme="majorHAnsi" w:cs="Aptos Display"/>
          <w:b/>
          <w:szCs w:val="22"/>
          <w:lang w:val="sk-SK" w:bidi="bo-CN"/>
        </w:rPr>
        <w:t>Organický rast obratu:</w:t>
      </w:r>
      <w:r w:rsidRPr="00707A1E">
        <w:rPr>
          <w:rFonts w:asciiTheme="majorHAnsi" w:hAnsiTheme="majorHAnsi" w:cs="Aptos Display"/>
          <w:b/>
          <w:szCs w:val="22"/>
          <w:lang w:val="sk-SK" w:bidi="bo-CN"/>
        </w:rPr>
        <w:t xml:space="preserve"> </w:t>
      </w:r>
      <w:r w:rsidRPr="00B62A50">
        <w:rPr>
          <w:rFonts w:asciiTheme="majorHAnsi" w:hAnsiTheme="majorHAnsi" w:cs="Aptos Display"/>
          <w:b/>
          <w:szCs w:val="22"/>
          <w:lang w:val="sk-SK" w:bidi="bo-CN"/>
        </w:rPr>
        <w:t>1,5 až 3,5 percenta</w:t>
      </w:r>
    </w:p>
    <w:p w14:paraId="27A2F60B" w14:textId="77777777" w:rsidR="005B5984" w:rsidRPr="00707A1E" w:rsidRDefault="005B5984" w:rsidP="000425A8">
      <w:pPr>
        <w:pStyle w:val="Odsekzoznamu"/>
        <w:numPr>
          <w:ilvl w:val="1"/>
          <w:numId w:val="20"/>
        </w:numPr>
        <w:spacing w:after="80" w:line="266" w:lineRule="auto"/>
        <w:ind w:left="851" w:right="-108" w:hanging="425"/>
        <w:contextualSpacing w:val="0"/>
        <w:jc w:val="left"/>
        <w:rPr>
          <w:rFonts w:asciiTheme="majorHAnsi" w:hAnsiTheme="majorHAnsi" w:cs="Aptos Display"/>
          <w:b/>
          <w:szCs w:val="22"/>
          <w:lang w:val="sk-SK" w:bidi="bo-CN"/>
        </w:rPr>
      </w:pPr>
      <w:r w:rsidRPr="00B62A50">
        <w:rPr>
          <w:rFonts w:asciiTheme="majorHAnsi" w:hAnsiTheme="majorHAnsi" w:cs="Aptos Display"/>
          <w:b/>
          <w:szCs w:val="22"/>
          <w:lang w:val="sk-SK" w:bidi="bo-CN"/>
        </w:rPr>
        <w:t>Marža EBIT*:</w:t>
      </w:r>
      <w:r w:rsidRPr="00707A1E">
        <w:rPr>
          <w:rFonts w:asciiTheme="majorHAnsi" w:hAnsiTheme="majorHAnsi" w:cs="Aptos Display"/>
          <w:b/>
          <w:szCs w:val="22"/>
          <w:lang w:val="sk-SK" w:bidi="bo-CN"/>
        </w:rPr>
        <w:t xml:space="preserve"> </w:t>
      </w:r>
      <w:r w:rsidRPr="00B62A50">
        <w:rPr>
          <w:rFonts w:asciiTheme="majorHAnsi" w:hAnsiTheme="majorHAnsi" w:cs="Aptos Display"/>
          <w:b/>
          <w:szCs w:val="22"/>
          <w:lang w:val="sk-SK" w:bidi="bo-CN"/>
        </w:rPr>
        <w:t>14,0 až 15,5 percenta</w:t>
      </w:r>
    </w:p>
    <w:p w14:paraId="773921AA" w14:textId="3BAE214D" w:rsidR="005C2D02" w:rsidRPr="005B5984" w:rsidRDefault="005B5984" w:rsidP="000425A8">
      <w:pPr>
        <w:pStyle w:val="Odsekzoznamu"/>
        <w:numPr>
          <w:ilvl w:val="1"/>
          <w:numId w:val="20"/>
        </w:numPr>
        <w:spacing w:after="80" w:line="266" w:lineRule="auto"/>
        <w:ind w:left="851" w:right="-108" w:hanging="425"/>
        <w:contextualSpacing w:val="0"/>
        <w:jc w:val="left"/>
        <w:rPr>
          <w:rFonts w:asciiTheme="majorHAnsi" w:hAnsiTheme="majorHAnsi" w:cs="Aptos Display"/>
          <w:b/>
          <w:szCs w:val="22"/>
          <w:lang w:val="sk-SK"/>
        </w:rPr>
      </w:pPr>
      <w:r w:rsidRPr="00B62A50">
        <w:rPr>
          <w:rFonts w:asciiTheme="majorHAnsi" w:hAnsiTheme="majorHAnsi" w:cs="Aptos Display"/>
          <w:b/>
          <w:szCs w:val="22"/>
          <w:lang w:val="sk-SK" w:bidi="bo-CN"/>
        </w:rPr>
        <w:t>Výnos na prioritnú akciu (EPS)*:</w:t>
      </w:r>
      <w:r w:rsidRPr="00707A1E">
        <w:rPr>
          <w:rFonts w:asciiTheme="majorHAnsi" w:hAnsiTheme="majorHAnsi" w:cs="Aptos Display"/>
          <w:b/>
          <w:szCs w:val="22"/>
          <w:lang w:val="sk-SK" w:bidi="bo-CN"/>
        </w:rPr>
        <w:t xml:space="preserve"> </w:t>
      </w:r>
      <w:r w:rsidRPr="00B62A50">
        <w:rPr>
          <w:rFonts w:asciiTheme="majorHAnsi" w:hAnsiTheme="majorHAnsi" w:cs="Aptos Display"/>
          <w:b/>
          <w:szCs w:val="22"/>
          <w:lang w:val="sk-SK" w:bidi="bo-CN"/>
        </w:rPr>
        <w:t>Zvýšenie v nízkom až vysokom jednocifernom percentuálnom pásme pri konštantných kurzových sadzbách</w:t>
      </w:r>
      <w:r w:rsidR="008A16EA" w:rsidRPr="005B5984">
        <w:rPr>
          <w:rFonts w:cs="Segoe UI"/>
          <w:b/>
          <w:bCs/>
          <w:i/>
          <w:iCs/>
          <w:szCs w:val="22"/>
          <w:lang w:val="sk-SK"/>
        </w:rPr>
        <w:t xml:space="preserve"> </w:t>
      </w:r>
      <w:bookmarkEnd w:id="0"/>
    </w:p>
    <w:p w14:paraId="6D387F4D" w14:textId="49FE8F63" w:rsidR="008032DA" w:rsidRPr="00707A1E" w:rsidRDefault="008032DA" w:rsidP="008032DA">
      <w:pPr>
        <w:spacing w:before="100" w:beforeAutospacing="1" w:after="100" w:afterAutospacing="1"/>
        <w:rPr>
          <w:rFonts w:cs="Segoe UI"/>
          <w:b/>
          <w:bCs/>
          <w:szCs w:val="22"/>
          <w:lang w:val="sk-SK"/>
        </w:rPr>
      </w:pPr>
      <w:r w:rsidRPr="00B62A50">
        <w:rPr>
          <w:rFonts w:cs="Segoe UI"/>
          <w:b/>
          <w:bCs/>
          <w:szCs w:val="22"/>
          <w:lang w:val="sk-SK" w:bidi="bo-CN"/>
        </w:rPr>
        <w:lastRenderedPageBreak/>
        <w:t>Düsseldorf –</w:t>
      </w:r>
      <w:r w:rsidRPr="00684F87">
        <w:rPr>
          <w:rFonts w:cs="Segoe UI"/>
          <w:b/>
          <w:bCs/>
          <w:szCs w:val="22"/>
          <w:lang w:val="sk-SK" w:bidi="bo-CN"/>
        </w:rPr>
        <w:t xml:space="preserve"> „Finančný rok 2024 bol opäť poznačený obrovskými výzvami a veľkou ekonomickou neistotou.</w:t>
      </w:r>
      <w:r w:rsidRPr="00707A1E">
        <w:rPr>
          <w:rFonts w:cs="Segoe UI"/>
          <w:b/>
          <w:bCs/>
          <w:szCs w:val="22"/>
          <w:lang w:val="sk-SK"/>
        </w:rPr>
        <w:t xml:space="preserve"> </w:t>
      </w:r>
      <w:r w:rsidRPr="00684F87">
        <w:rPr>
          <w:rFonts w:cs="Segoe UI"/>
          <w:b/>
          <w:bCs/>
          <w:szCs w:val="22"/>
          <w:lang w:val="sk-SK" w:bidi="bo-CN"/>
        </w:rPr>
        <w:t>Napriek tomu sa nám v minulom roku podarilo ďalej pokračovať v rozvoji spoločnosti Henkel a dosiahnuť, či dokonca prekročiť dôležité míľniky.</w:t>
      </w:r>
      <w:r w:rsidRPr="00707A1E">
        <w:rPr>
          <w:rFonts w:cs="Segoe UI"/>
          <w:b/>
          <w:bCs/>
          <w:szCs w:val="22"/>
          <w:lang w:val="sk-SK"/>
        </w:rPr>
        <w:t xml:space="preserve"> </w:t>
      </w:r>
      <w:r w:rsidRPr="00954999">
        <w:rPr>
          <w:rFonts w:cs="Segoe UI"/>
          <w:b/>
          <w:bCs/>
          <w:szCs w:val="22"/>
          <w:lang w:val="sk-SK" w:bidi="bo-CN"/>
        </w:rPr>
        <w:t xml:space="preserve">Pozitívne hospodárske výsledky za rok 2024 navyše potvrdzujú úspešnú implementáciu našej agendy zmysluplného rastu,“ povedal </w:t>
      </w:r>
      <w:r w:rsidR="006B1285">
        <w:rPr>
          <w:rFonts w:cs="Segoe UI"/>
          <w:b/>
          <w:bCs/>
          <w:szCs w:val="22"/>
          <w:lang w:val="sk-SK" w:bidi="bo-CN"/>
        </w:rPr>
        <w:t>výkonný riaditeľ (CEO)</w:t>
      </w:r>
      <w:r w:rsidRPr="00954999">
        <w:rPr>
          <w:rFonts w:cs="Segoe UI"/>
          <w:b/>
          <w:bCs/>
          <w:szCs w:val="22"/>
          <w:lang w:val="sk-SK" w:bidi="bo-CN"/>
        </w:rPr>
        <w:t xml:space="preserve"> spoločnosti Henkel Carsten Knobel.</w:t>
      </w:r>
      <w:r w:rsidRPr="00707A1E">
        <w:rPr>
          <w:rFonts w:cs="Segoe UI"/>
          <w:b/>
          <w:bCs/>
          <w:szCs w:val="22"/>
          <w:lang w:val="sk-SK"/>
        </w:rPr>
        <w:t xml:space="preserve"> </w:t>
      </w:r>
      <w:r w:rsidRPr="00954999">
        <w:rPr>
          <w:rFonts w:cs="Segoe UI"/>
          <w:b/>
          <w:bCs/>
          <w:szCs w:val="22"/>
          <w:lang w:val="sk-SK" w:bidi="bo-CN"/>
        </w:rPr>
        <w:t xml:space="preserve">„V roku 2024 sme dosiahli veľmi silný organický rast obratu a výrazne sme zlepšili ziskovosť našich činností vrátane výnimočného zvýšenia marže o 2,4 percentuálneho bodu, ku ktorému prispel </w:t>
      </w:r>
      <w:r>
        <w:rPr>
          <w:rFonts w:cs="Segoe UI"/>
          <w:b/>
          <w:bCs/>
          <w:szCs w:val="22"/>
          <w:lang w:val="sk-SK" w:bidi="bo-CN"/>
        </w:rPr>
        <w:t>vynikajúci</w:t>
      </w:r>
      <w:r w:rsidRPr="00954999">
        <w:rPr>
          <w:rFonts w:cs="Segoe UI"/>
          <w:b/>
          <w:bCs/>
          <w:szCs w:val="22"/>
          <w:lang w:val="sk-SK" w:bidi="bo-CN"/>
        </w:rPr>
        <w:t xml:space="preserve"> vývoj hrubej marže, a</w:t>
      </w:r>
      <w:r>
        <w:rPr>
          <w:rFonts w:cs="Segoe UI"/>
          <w:b/>
          <w:bCs/>
          <w:szCs w:val="22"/>
          <w:lang w:val="sk-SK" w:bidi="bo-CN"/>
        </w:rPr>
        <w:t> </w:t>
      </w:r>
      <w:r w:rsidRPr="00954999">
        <w:rPr>
          <w:rFonts w:cs="Segoe UI"/>
          <w:b/>
          <w:bCs/>
          <w:szCs w:val="22"/>
          <w:lang w:val="sk-SK" w:bidi="bo-CN"/>
        </w:rPr>
        <w:t>mimoriadneho zvýšenia výnosov na prioritnú akciu</w:t>
      </w:r>
      <w:r>
        <w:rPr>
          <w:rFonts w:cs="Segoe UI"/>
          <w:b/>
          <w:bCs/>
          <w:szCs w:val="22"/>
          <w:lang w:val="sk-SK" w:bidi="bo-CN"/>
        </w:rPr>
        <w:t xml:space="preserve"> o </w:t>
      </w:r>
      <w:r w:rsidRPr="00954999">
        <w:rPr>
          <w:rFonts w:cs="Segoe UI"/>
          <w:b/>
          <w:bCs/>
          <w:szCs w:val="22"/>
          <w:lang w:val="sk-SK" w:bidi="bo-CN"/>
        </w:rPr>
        <w:t>25 percent.</w:t>
      </w:r>
      <w:r w:rsidRPr="00707A1E">
        <w:rPr>
          <w:rFonts w:cs="Segoe UI"/>
          <w:b/>
          <w:bCs/>
          <w:szCs w:val="22"/>
          <w:lang w:val="sk-SK"/>
        </w:rPr>
        <w:t xml:space="preserve"> </w:t>
      </w:r>
      <w:r w:rsidRPr="00954999">
        <w:rPr>
          <w:rFonts w:cs="Segoe UI"/>
          <w:b/>
          <w:bCs/>
          <w:szCs w:val="22"/>
          <w:lang w:val="sk-SK" w:bidi="bo-CN"/>
        </w:rPr>
        <w:t>Rozhodujúcim faktorom zlepšenia našich výnosov bolo cielené zvyšovanie hodnoty našich produktov pre zákazníkov a spotrebiteľov.</w:t>
      </w:r>
      <w:r w:rsidRPr="00707A1E">
        <w:rPr>
          <w:rFonts w:cs="Segoe UI"/>
          <w:b/>
          <w:bCs/>
          <w:szCs w:val="22"/>
          <w:lang w:val="sk-SK"/>
        </w:rPr>
        <w:t xml:space="preserve"> </w:t>
      </w:r>
      <w:r w:rsidRPr="00954999">
        <w:rPr>
          <w:rFonts w:cs="Segoe UI"/>
          <w:b/>
          <w:bCs/>
          <w:szCs w:val="22"/>
          <w:lang w:val="sk-SK" w:bidi="bo-CN"/>
        </w:rPr>
        <w:t>K týmto dobrým výsledkom prispeli tiež úspory z integráci</w:t>
      </w:r>
      <w:r>
        <w:rPr>
          <w:rFonts w:cs="Segoe UI"/>
          <w:b/>
          <w:bCs/>
          <w:szCs w:val="22"/>
          <w:lang w:val="sk-SK" w:bidi="bo-CN"/>
        </w:rPr>
        <w:t>e</w:t>
      </w:r>
      <w:r w:rsidRPr="00954999">
        <w:rPr>
          <w:rFonts w:cs="Segoe UI"/>
          <w:b/>
          <w:bCs/>
          <w:szCs w:val="22"/>
          <w:lang w:val="sk-SK" w:bidi="bo-CN"/>
        </w:rPr>
        <w:t xml:space="preserve"> obchodnej divízie Consumer Brands spoločne s avizovanými opatreniami na optimalizáciu portfólia.“</w:t>
      </w:r>
    </w:p>
    <w:p w14:paraId="4B14DD15" w14:textId="77777777" w:rsidR="008032DA" w:rsidRPr="00707A1E" w:rsidRDefault="008032DA" w:rsidP="008032DA">
      <w:pPr>
        <w:spacing w:before="100" w:beforeAutospacing="1" w:after="100" w:afterAutospacing="1"/>
        <w:rPr>
          <w:rFonts w:cs="Segoe UI"/>
          <w:b/>
          <w:bCs/>
          <w:szCs w:val="22"/>
          <w:highlight w:val="yellow"/>
          <w:lang w:val="sk-SK"/>
        </w:rPr>
      </w:pPr>
      <w:r w:rsidRPr="00954999">
        <w:rPr>
          <w:rFonts w:cs="Segoe UI"/>
          <w:b/>
          <w:bCs/>
          <w:szCs w:val="22"/>
          <w:lang w:val="sk-SK" w:bidi="bo-CN"/>
        </w:rPr>
        <w:t xml:space="preserve">„Zároveň bolo veľmi dôležité, že sme zachovali silný dôraz na investície do našich podnikateľských aktivít a ďalšieho rastu, napríklad prostredníctvom posilnenia marketingových aktivít v spotrebiteľskom segmente a úspešných inovácií v rámci </w:t>
      </w:r>
      <w:r>
        <w:rPr>
          <w:rFonts w:cs="Segoe UI"/>
          <w:b/>
          <w:bCs/>
          <w:szCs w:val="22"/>
          <w:lang w:val="sk-SK" w:bidi="bo-CN"/>
        </w:rPr>
        <w:t>obidvoch</w:t>
      </w:r>
      <w:r w:rsidRPr="00954999">
        <w:rPr>
          <w:rFonts w:cs="Segoe UI"/>
          <w:b/>
          <w:bCs/>
          <w:szCs w:val="22"/>
          <w:lang w:val="sk-SK" w:bidi="bo-CN"/>
        </w:rPr>
        <w:t xml:space="preserve"> obchodných divízií.</w:t>
      </w:r>
      <w:r w:rsidRPr="00707A1E">
        <w:rPr>
          <w:rFonts w:cs="Segoe UI"/>
          <w:b/>
          <w:bCs/>
          <w:szCs w:val="22"/>
          <w:lang w:val="sk-SK"/>
        </w:rPr>
        <w:t xml:space="preserve"> </w:t>
      </w:r>
      <w:r w:rsidRPr="00954999">
        <w:rPr>
          <w:rFonts w:cs="Segoe UI"/>
          <w:b/>
          <w:bCs/>
          <w:szCs w:val="22"/>
          <w:lang w:val="sk-SK" w:bidi="bo-CN"/>
        </w:rPr>
        <w:t>Chceme, aby sa na úspešnom raste spoločnosti</w:t>
      </w:r>
      <w:r>
        <w:rPr>
          <w:rFonts w:cs="Segoe UI"/>
          <w:b/>
          <w:bCs/>
          <w:szCs w:val="22"/>
          <w:lang w:val="sk-SK" w:bidi="bo-CN"/>
        </w:rPr>
        <w:t xml:space="preserve"> podieľali aj naši akcionári</w:t>
      </w:r>
      <w:r w:rsidRPr="00954999">
        <w:rPr>
          <w:rFonts w:cs="Segoe UI"/>
          <w:b/>
          <w:bCs/>
          <w:szCs w:val="22"/>
          <w:lang w:val="sk-SK" w:bidi="bo-CN"/>
        </w:rPr>
        <w:t>.</w:t>
      </w:r>
      <w:r w:rsidRPr="00707A1E">
        <w:rPr>
          <w:rFonts w:cs="Segoe UI"/>
          <w:b/>
          <w:bCs/>
          <w:szCs w:val="22"/>
          <w:lang w:val="sk-SK"/>
        </w:rPr>
        <w:t xml:space="preserve"> </w:t>
      </w:r>
      <w:r w:rsidRPr="00954999">
        <w:rPr>
          <w:rFonts w:cs="Segoe UI"/>
          <w:b/>
          <w:bCs/>
          <w:szCs w:val="22"/>
          <w:lang w:val="sk-SK" w:bidi="bo-CN"/>
        </w:rPr>
        <w:t xml:space="preserve">Preto sme na výročnom valnom zhromaždení navrhli </w:t>
      </w:r>
      <w:r>
        <w:rPr>
          <w:rFonts w:cs="Segoe UI"/>
          <w:b/>
          <w:bCs/>
          <w:szCs w:val="22"/>
          <w:lang w:val="sk-SK" w:bidi="bo-CN"/>
        </w:rPr>
        <w:t>zvýšenie</w:t>
      </w:r>
      <w:r w:rsidRPr="00954999">
        <w:rPr>
          <w:rFonts w:cs="Segoe UI"/>
          <w:b/>
          <w:bCs/>
          <w:szCs w:val="22"/>
          <w:lang w:val="sk-SK" w:bidi="bo-CN"/>
        </w:rPr>
        <w:t xml:space="preserve"> vyplácaných dividend</w:t>
      </w:r>
      <w:r>
        <w:rPr>
          <w:rFonts w:cs="Segoe UI"/>
          <w:b/>
          <w:bCs/>
          <w:szCs w:val="22"/>
          <w:lang w:val="sk-SK" w:bidi="bo-CN"/>
        </w:rPr>
        <w:t xml:space="preserve"> o dvojciferné percento</w:t>
      </w:r>
      <w:r w:rsidRPr="00954999">
        <w:rPr>
          <w:rFonts w:cs="Segoe UI"/>
          <w:b/>
          <w:bCs/>
          <w:szCs w:val="22"/>
          <w:lang w:val="sk-SK" w:bidi="bo-CN"/>
        </w:rPr>
        <w:t>.</w:t>
      </w:r>
      <w:r w:rsidRPr="00707A1E">
        <w:rPr>
          <w:rFonts w:cs="Segoe UI"/>
          <w:b/>
          <w:bCs/>
          <w:szCs w:val="22"/>
          <w:lang w:val="sk-SK"/>
        </w:rPr>
        <w:t xml:space="preserve"> </w:t>
      </w:r>
      <w:r w:rsidRPr="00954999">
        <w:rPr>
          <w:rFonts w:cs="Segoe UI"/>
          <w:b/>
          <w:bCs/>
          <w:szCs w:val="22"/>
          <w:lang w:val="sk-SK" w:bidi="bo-CN"/>
        </w:rPr>
        <w:t>Zároveň sme rozhodli o spustení nového programu spätného odkúpenia akcií až do jednej miliardy eur,“ doplnil Carsten Knobel.</w:t>
      </w:r>
    </w:p>
    <w:p w14:paraId="0F5B3DDC" w14:textId="77777777" w:rsidR="008032DA" w:rsidRPr="00707A1E" w:rsidRDefault="008032DA" w:rsidP="008032DA">
      <w:pPr>
        <w:spacing w:before="100" w:beforeAutospacing="1" w:after="100" w:afterAutospacing="1"/>
        <w:rPr>
          <w:rFonts w:cs="Segoe UI"/>
          <w:b/>
          <w:bCs/>
          <w:szCs w:val="22"/>
          <w:highlight w:val="yellow"/>
          <w:lang w:val="sk-SK"/>
        </w:rPr>
      </w:pPr>
      <w:r w:rsidRPr="00954999">
        <w:rPr>
          <w:rFonts w:cs="Segoe UI"/>
          <w:b/>
          <w:bCs/>
          <w:szCs w:val="22"/>
          <w:lang w:val="sk-SK" w:bidi="bo-CN"/>
        </w:rPr>
        <w:t>„Minuloročné výsledky sú jasným dôkazom, že transformácia spoločnosti Henkel úspešne napreduje a že s našou strategickou agendou zameranou na zmysluplný rast sme na správnej ceste čo najlepšie pripraviť našu spoločnosť na budúcnosť,“ dodal.</w:t>
      </w:r>
      <w:r w:rsidRPr="00707A1E">
        <w:rPr>
          <w:rFonts w:cs="Segoe UI"/>
          <w:b/>
          <w:bCs/>
          <w:szCs w:val="22"/>
          <w:lang w:val="sk-SK"/>
        </w:rPr>
        <w:t xml:space="preserve"> </w:t>
      </w:r>
      <w:r w:rsidRPr="0080084B">
        <w:rPr>
          <w:rFonts w:cs="Segoe UI"/>
          <w:b/>
          <w:bCs/>
          <w:szCs w:val="22"/>
          <w:lang w:val="sk-SK" w:bidi="bo-CN"/>
        </w:rPr>
        <w:t>„Odráža sa to aj v našom výhľade na finančný rok 2025, v ktorom očakávame ďalšie zvyšovanie obratu aj výnosov, a to aj napriek stále náročnému podnikateľskému prostrediu.</w:t>
      </w:r>
      <w:r w:rsidRPr="00707A1E">
        <w:rPr>
          <w:rFonts w:cs="Segoe UI"/>
          <w:b/>
          <w:bCs/>
          <w:szCs w:val="22"/>
          <w:lang w:val="sk-SK"/>
        </w:rPr>
        <w:t xml:space="preserve"> </w:t>
      </w:r>
      <w:r w:rsidRPr="0080084B">
        <w:rPr>
          <w:rFonts w:cs="Segoe UI"/>
          <w:b/>
          <w:bCs/>
          <w:szCs w:val="22"/>
          <w:lang w:val="sk-SK" w:bidi="bo-CN"/>
        </w:rPr>
        <w:t>Všetkým zamestnancom spoločnosti Henkel by som chcel poďakovať za ich výnimočné výkony.</w:t>
      </w:r>
      <w:r w:rsidRPr="00707A1E">
        <w:rPr>
          <w:rFonts w:cs="Segoe UI"/>
          <w:b/>
          <w:bCs/>
          <w:szCs w:val="22"/>
          <w:lang w:val="sk-SK"/>
        </w:rPr>
        <w:t xml:space="preserve"> </w:t>
      </w:r>
      <w:r w:rsidRPr="0080084B">
        <w:rPr>
          <w:rFonts w:cs="Segoe UI"/>
          <w:b/>
          <w:bCs/>
          <w:szCs w:val="22"/>
          <w:lang w:val="sk-SK" w:bidi="bo-CN"/>
        </w:rPr>
        <w:t>Vďaka tímovej práci a mimoriadnemu odhodlaniu sa nám opäť podarilo úspešne previesť našu spoločnosť ďalším náročným rokom.“</w:t>
      </w:r>
    </w:p>
    <w:p w14:paraId="32E5FA84" w14:textId="78CA9849" w:rsidR="008032DA" w:rsidRPr="00707A1E" w:rsidRDefault="008032DA" w:rsidP="008032DA">
      <w:pPr>
        <w:spacing w:before="100" w:beforeAutospacing="1" w:after="100" w:afterAutospacing="1"/>
        <w:rPr>
          <w:rFonts w:cs="Segoe UI"/>
          <w:b/>
          <w:bCs/>
          <w:szCs w:val="22"/>
          <w:lang w:val="sk-SK" w:eastAsia="de-DE"/>
        </w:rPr>
      </w:pPr>
      <w:r w:rsidRPr="0080084B">
        <w:rPr>
          <w:rFonts w:cs="Segoe UI"/>
          <w:b/>
          <w:bCs/>
          <w:szCs w:val="22"/>
          <w:lang w:val="sk-SK" w:eastAsia="de-DE" w:bidi="bo-CN"/>
        </w:rPr>
        <w:t>Výhľad na rok 2025</w:t>
      </w:r>
    </w:p>
    <w:p w14:paraId="3BC87059" w14:textId="77777777" w:rsidR="008032DA" w:rsidRPr="00707A1E" w:rsidRDefault="008032DA" w:rsidP="008032DA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80084B">
        <w:rPr>
          <w:rFonts w:cs="Segoe UI"/>
          <w:szCs w:val="22"/>
          <w:lang w:val="sk-SK" w:bidi="bo-CN"/>
        </w:rPr>
        <w:t xml:space="preserve">Po miernom zlepšení dynamiky rastu v roku 2024 je odhad globálneho hospodárskeho vývoja v roku 2025 opatrný. Predpokladá sa mierne zvýšenie dopytu na priemyselných aj </w:t>
      </w:r>
      <w:r w:rsidRPr="0080084B">
        <w:rPr>
          <w:rFonts w:cs="Segoe UI"/>
          <w:szCs w:val="22"/>
          <w:lang w:val="sk-SK" w:bidi="bo-CN"/>
        </w:rPr>
        <w:lastRenderedPageBreak/>
        <w:t>spotrebiteľských trhoch v kľúčových segmentoch spotrebného tovaru spoločnosti Henkel.</w:t>
      </w:r>
      <w:r w:rsidRPr="00707A1E">
        <w:rPr>
          <w:rFonts w:cs="Segoe UI"/>
          <w:szCs w:val="22"/>
          <w:lang w:val="sk-SK"/>
        </w:rPr>
        <w:t xml:space="preserve"> </w:t>
      </w:r>
      <w:r w:rsidRPr="0080084B">
        <w:rPr>
          <w:rFonts w:cs="Segoe UI"/>
          <w:szCs w:val="22"/>
          <w:lang w:val="sk-SK" w:bidi="bo-CN"/>
        </w:rPr>
        <w:t>Na základe aktuálnych odhadov sa v roku 2025 očakáva pokračovanie poklesu celosvetovej inflácie v porovnaní s predchádzajúcimi rokmi, ktorý by mal byť sprevádzaný aj znižovaním úrokových sadzieb.</w:t>
      </w:r>
    </w:p>
    <w:p w14:paraId="4E824F4A" w14:textId="77777777" w:rsidR="008032DA" w:rsidRPr="00D913BF" w:rsidRDefault="008032DA" w:rsidP="008032DA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80084B">
        <w:rPr>
          <w:rFonts w:cs="Segoe UI"/>
          <w:szCs w:val="22"/>
          <w:lang w:val="sk-SK" w:bidi="bo-CN"/>
        </w:rPr>
        <w:t>Pri nákladoch na vstupné suroviny spoločnosť Henkel očakáva ich zvýšenie v </w:t>
      </w:r>
      <w:r>
        <w:rPr>
          <w:rFonts w:cs="Segoe UI"/>
          <w:szCs w:val="22"/>
          <w:lang w:val="sk-SK" w:bidi="bo-CN"/>
        </w:rPr>
        <w:t>dolnej</w:t>
      </w:r>
      <w:r w:rsidRPr="0080084B">
        <w:rPr>
          <w:rFonts w:cs="Segoe UI"/>
          <w:szCs w:val="22"/>
          <w:lang w:val="sk-SK" w:bidi="bo-CN"/>
        </w:rPr>
        <w:t xml:space="preserve"> polovici jednociferného percentuálneho pásma v porovnaní s ich priemerom za rok 2024.</w:t>
      </w:r>
      <w:r w:rsidRPr="00707A1E">
        <w:rPr>
          <w:rFonts w:cs="Segoe UI"/>
          <w:szCs w:val="22"/>
          <w:lang w:val="sk-SK"/>
        </w:rPr>
        <w:t xml:space="preserve"> </w:t>
      </w:r>
      <w:r w:rsidRPr="0080084B">
        <w:rPr>
          <w:rFonts w:cs="Segoe UI"/>
          <w:szCs w:val="22"/>
          <w:lang w:val="sk-SK" w:bidi="bo-CN"/>
        </w:rPr>
        <w:t xml:space="preserve">Očakáva sa neutrálny až negatívny účinok kurzových vplyvov v </w:t>
      </w:r>
      <w:r>
        <w:rPr>
          <w:rFonts w:cs="Segoe UI"/>
          <w:szCs w:val="22"/>
          <w:lang w:val="sk-SK" w:bidi="bo-CN"/>
        </w:rPr>
        <w:t>dolnej</w:t>
      </w:r>
      <w:r w:rsidRPr="0080084B">
        <w:rPr>
          <w:rFonts w:cs="Segoe UI"/>
          <w:szCs w:val="22"/>
          <w:lang w:val="sk-SK" w:bidi="bo-CN"/>
        </w:rPr>
        <w:t xml:space="preserve"> časti jednociferného percentuálneho pásma.</w:t>
      </w:r>
      <w:r w:rsidRPr="00707A1E">
        <w:rPr>
          <w:rFonts w:cs="Segoe UI"/>
          <w:szCs w:val="22"/>
          <w:lang w:val="sk-SK"/>
        </w:rPr>
        <w:t xml:space="preserve"> </w:t>
      </w:r>
    </w:p>
    <w:p w14:paraId="4B8AD174" w14:textId="77777777" w:rsidR="008032DA" w:rsidRPr="00707A1E" w:rsidRDefault="008032DA" w:rsidP="008032DA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80084B">
        <w:rPr>
          <w:rFonts w:cs="Segoe UI"/>
          <w:szCs w:val="22"/>
          <w:lang w:val="sk-SK" w:bidi="bo-CN"/>
        </w:rPr>
        <w:t>Okrem toho nestálosť a neistota v súvislosti s celkovým makroekonomickým a geopolitickým vývojom vo svete ostanú pravdepodobne vysoké počas celého roka.</w:t>
      </w:r>
    </w:p>
    <w:p w14:paraId="2F3A9FD6" w14:textId="77777777" w:rsidR="008032DA" w:rsidRPr="00D913BF" w:rsidRDefault="008032DA" w:rsidP="008032DA">
      <w:pPr>
        <w:spacing w:before="100" w:beforeAutospacing="1" w:after="100" w:afterAutospacing="1"/>
        <w:rPr>
          <w:rFonts w:cs="Segoe UI"/>
          <w:lang w:val="sk-SK"/>
        </w:rPr>
      </w:pPr>
      <w:r w:rsidRPr="005C3023">
        <w:rPr>
          <w:rFonts w:cs="Segoe UI"/>
          <w:lang w:val="sk-SK" w:bidi="bo-CN"/>
        </w:rPr>
        <w:t xml:space="preserve">Na základe uvedených predpokladov spoločnosť Henkel očakáva vo finančnom roku 2025 </w:t>
      </w:r>
      <w:r w:rsidRPr="005C3023">
        <w:rPr>
          <w:rFonts w:cs="Segoe UI"/>
          <w:b/>
          <w:bCs/>
          <w:lang w:val="sk-SK" w:bidi="bo-CN"/>
        </w:rPr>
        <w:t>organický rast obratu</w:t>
      </w:r>
      <w:r w:rsidRPr="005C3023">
        <w:rPr>
          <w:rFonts w:cs="Segoe UI"/>
          <w:lang w:val="sk-SK" w:bidi="bo-CN"/>
        </w:rPr>
        <w:t xml:space="preserve"> v rozsahu 1,5 až 3,5 percenta.</w:t>
      </w:r>
      <w:r w:rsidRPr="00707A1E">
        <w:rPr>
          <w:rFonts w:cs="Segoe UI"/>
          <w:lang w:val="sk-SK"/>
        </w:rPr>
        <w:t xml:space="preserve"> </w:t>
      </w:r>
      <w:r w:rsidRPr="005C3023">
        <w:rPr>
          <w:rFonts w:cs="Segoe UI"/>
          <w:lang w:val="sk-SK" w:bidi="bo-CN"/>
        </w:rPr>
        <w:t>V prípade divízie Adhesive Technologies by sa mal organický rast pohybovať medzi 2 až 4 percentami, v prípade divízie Consumer Brands je to 1 až 3 percentá.</w:t>
      </w:r>
      <w:r w:rsidRPr="00707A1E">
        <w:rPr>
          <w:rFonts w:cs="Segoe UI"/>
          <w:lang w:val="sk-SK"/>
        </w:rPr>
        <w:t xml:space="preserve"> </w:t>
      </w:r>
      <w:r w:rsidRPr="005C3023">
        <w:rPr>
          <w:rFonts w:cs="Segoe UI"/>
          <w:bCs/>
          <w:lang w:val="sk-SK" w:bidi="bo-CN"/>
        </w:rPr>
        <w:t>Očakávaná</w:t>
      </w:r>
      <w:r w:rsidRPr="005C3023">
        <w:rPr>
          <w:rFonts w:cs="Segoe UI"/>
          <w:b/>
          <w:lang w:val="sk-SK" w:bidi="bo-CN"/>
        </w:rPr>
        <w:t xml:space="preserve"> upravená výnosnosť predaja (upravená marža EBIT)</w:t>
      </w:r>
      <w:r w:rsidRPr="005C3023">
        <w:rPr>
          <w:rFonts w:cs="Segoe UI"/>
          <w:bCs/>
          <w:lang w:val="sk-SK" w:bidi="bo-CN"/>
        </w:rPr>
        <w:t xml:space="preserve"> sa pohybuje v rozsahu 14,0 až 15,5 percenta.</w:t>
      </w:r>
      <w:r w:rsidRPr="00707A1E">
        <w:rPr>
          <w:rFonts w:cs="Segoe UI"/>
          <w:lang w:val="sk-SK"/>
        </w:rPr>
        <w:t xml:space="preserve"> </w:t>
      </w:r>
      <w:r w:rsidRPr="005C3023">
        <w:rPr>
          <w:rFonts w:cs="Segoe UI"/>
          <w:lang w:val="sk-SK" w:bidi="bo-CN"/>
        </w:rPr>
        <w:t>V rámci divízie Adhesive Technologies by sa upravená výnosnosť predaja mala pohybovať medzi 16,0 až 17,5 percenta, pri divízii Consumer Brands by to malo byť 13,5 až 15,0 percent.</w:t>
      </w:r>
      <w:r w:rsidRPr="00707A1E">
        <w:rPr>
          <w:rFonts w:cs="Segoe UI"/>
          <w:lang w:val="sk-SK"/>
        </w:rPr>
        <w:t xml:space="preserve"> </w:t>
      </w:r>
      <w:r w:rsidRPr="005C3023">
        <w:rPr>
          <w:rFonts w:cs="Segoe UI"/>
          <w:lang w:val="sk-SK" w:bidi="bo-CN"/>
        </w:rPr>
        <w:t xml:space="preserve">Pri </w:t>
      </w:r>
      <w:r w:rsidRPr="005C3023">
        <w:rPr>
          <w:rFonts w:cs="Segoe UI"/>
          <w:b/>
          <w:bCs/>
          <w:lang w:val="sk-SK" w:bidi="bo-CN"/>
        </w:rPr>
        <w:t>upravenom výnose na prioritnú akciu</w:t>
      </w:r>
      <w:r w:rsidRPr="005C3023">
        <w:rPr>
          <w:rFonts w:cs="Segoe UI"/>
          <w:lang w:val="sk-SK" w:bidi="bo-CN"/>
        </w:rPr>
        <w:t xml:space="preserve"> </w:t>
      </w:r>
      <w:r w:rsidRPr="005C3023">
        <w:rPr>
          <w:rFonts w:cs="Segoe UI"/>
          <w:b/>
          <w:lang w:val="sk-SK" w:bidi="bo-CN"/>
        </w:rPr>
        <w:t>(EPS)</w:t>
      </w:r>
      <w:r w:rsidRPr="005C3023">
        <w:rPr>
          <w:rFonts w:cs="Segoe UI"/>
          <w:lang w:val="sk-SK" w:bidi="bo-CN"/>
        </w:rPr>
        <w:t xml:space="preserve"> pri konštantných kurzových sadzbách očakáva spoločnosť Henkel zvýšenie v spodnej až hornej polovici jednociferného percentuálneho rastu.</w:t>
      </w:r>
      <w:r w:rsidRPr="00707A1E">
        <w:rPr>
          <w:rFonts w:cs="Segoe UI"/>
          <w:lang w:val="sk-SK"/>
        </w:rPr>
        <w:t xml:space="preserve"> </w:t>
      </w:r>
    </w:p>
    <w:p w14:paraId="21FCE499" w14:textId="77777777" w:rsidR="008032DA" w:rsidRPr="00707A1E" w:rsidRDefault="008032DA" w:rsidP="008032DA">
      <w:pPr>
        <w:spacing w:before="100" w:beforeAutospacing="1" w:after="100" w:afterAutospacing="1"/>
        <w:rPr>
          <w:rFonts w:cs="Segoe UI"/>
          <w:color w:val="000000"/>
          <w:szCs w:val="22"/>
          <w:lang w:val="sk-SK"/>
        </w:rPr>
      </w:pPr>
      <w:r>
        <w:rPr>
          <w:rFonts w:cs="Segoe UI"/>
          <w:szCs w:val="22"/>
          <w:lang w:val="sk-SK" w:bidi="bo-CN"/>
        </w:rPr>
        <w:t xml:space="preserve">Napriek pomalšiemu štartu na začiatku roka spoločnosť Henkel ale </w:t>
      </w:r>
      <w:r w:rsidRPr="005C3023">
        <w:rPr>
          <w:rFonts w:cs="Segoe UI"/>
          <w:szCs w:val="22"/>
          <w:lang w:val="sk-SK" w:bidi="bo-CN"/>
        </w:rPr>
        <w:t>v</w:t>
      </w:r>
      <w:r>
        <w:rPr>
          <w:rFonts w:cs="Segoe UI"/>
          <w:szCs w:val="22"/>
          <w:lang w:val="sk-SK" w:bidi="bo-CN"/>
        </w:rPr>
        <w:t xml:space="preserve"> jeho ďalšom priebehu zároveň </w:t>
      </w:r>
      <w:r w:rsidRPr="005C3023">
        <w:rPr>
          <w:rFonts w:cs="Segoe UI"/>
          <w:szCs w:val="22"/>
          <w:lang w:val="sk-SK" w:bidi="bo-CN"/>
        </w:rPr>
        <w:t>očakáva</w:t>
      </w:r>
      <w:r>
        <w:rPr>
          <w:rFonts w:cs="Segoe UI"/>
          <w:szCs w:val="22"/>
          <w:lang w:val="sk-SK" w:bidi="bo-CN"/>
        </w:rPr>
        <w:t xml:space="preserve"> postupnú akceleráciu organického rastu obratu</w:t>
      </w:r>
      <w:r w:rsidRPr="005C3023">
        <w:rPr>
          <w:rFonts w:cs="Segoe UI"/>
          <w:szCs w:val="22"/>
          <w:lang w:val="sk-SK" w:bidi="bo-CN"/>
        </w:rPr>
        <w:t xml:space="preserve">, čo </w:t>
      </w:r>
      <w:r>
        <w:rPr>
          <w:rFonts w:cs="Segoe UI"/>
          <w:szCs w:val="22"/>
          <w:lang w:val="sk-SK" w:bidi="bo-CN"/>
        </w:rPr>
        <w:t>by malo prispieť</w:t>
      </w:r>
      <w:r w:rsidRPr="005C3023">
        <w:rPr>
          <w:rFonts w:cs="Segoe UI"/>
          <w:szCs w:val="22"/>
          <w:lang w:val="sk-SK" w:bidi="bo-CN"/>
        </w:rPr>
        <w:t xml:space="preserve"> </w:t>
      </w:r>
      <w:r>
        <w:rPr>
          <w:rFonts w:cs="Segoe UI"/>
          <w:szCs w:val="22"/>
          <w:lang w:val="sk-SK" w:bidi="bo-CN"/>
        </w:rPr>
        <w:t xml:space="preserve">k </w:t>
      </w:r>
      <w:r w:rsidRPr="005C3023">
        <w:rPr>
          <w:rFonts w:cs="Segoe UI"/>
          <w:szCs w:val="22"/>
          <w:lang w:val="sk-SK" w:bidi="bo-CN"/>
        </w:rPr>
        <w:t>silnejšiemu druhému polroku finančného roka 2025 v porovnaní s jeho prvou polovicou.</w:t>
      </w:r>
      <w:r w:rsidRPr="00707A1E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Tento</w:t>
      </w:r>
      <w:r w:rsidRPr="005C3023">
        <w:rPr>
          <w:rFonts w:cs="Segoe UI"/>
          <w:szCs w:val="22"/>
          <w:lang w:val="sk-SK" w:bidi="bo-CN"/>
        </w:rPr>
        <w:t xml:space="preserve"> </w:t>
      </w:r>
      <w:r>
        <w:rPr>
          <w:rFonts w:cs="Segoe UI"/>
          <w:szCs w:val="22"/>
          <w:lang w:val="sk-SK" w:bidi="bo-CN"/>
        </w:rPr>
        <w:t xml:space="preserve">predpoklad platí </w:t>
      </w:r>
      <w:r w:rsidRPr="005C3023">
        <w:rPr>
          <w:rFonts w:cs="Segoe UI"/>
          <w:szCs w:val="22"/>
          <w:lang w:val="sk-SK" w:bidi="bo-CN"/>
        </w:rPr>
        <w:t>pre obdive obchodné divízie.</w:t>
      </w:r>
      <w:r w:rsidRPr="00707A1E">
        <w:rPr>
          <w:rFonts w:cs="Segoe UI"/>
          <w:szCs w:val="22"/>
          <w:lang w:val="sk-SK"/>
        </w:rPr>
        <w:t xml:space="preserve"> </w:t>
      </w:r>
      <w:r w:rsidRPr="005C3023">
        <w:rPr>
          <w:rFonts w:cs="Segoe UI"/>
          <w:szCs w:val="22"/>
          <w:lang w:val="sk-SK" w:bidi="bo-CN"/>
        </w:rPr>
        <w:t>Dôvodom uvedeného vývoja sú najmä súčasné náročné podmienky v priemysle a utlmený trhový rast a spotrebiteľské nálady na niektorých z našich trhov, predovšetkým v Severnej Amerike.</w:t>
      </w:r>
    </w:p>
    <w:p w14:paraId="427E7E77" w14:textId="77777777" w:rsidR="008032DA" w:rsidRPr="00707A1E" w:rsidRDefault="008032DA" w:rsidP="008032DA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5C3023">
        <w:rPr>
          <w:rFonts w:cs="Segoe UI"/>
          <w:szCs w:val="22"/>
          <w:lang w:val="sk-SK" w:bidi="bo-CN"/>
        </w:rPr>
        <w:t xml:space="preserve">V prípade divízie </w:t>
      </w:r>
      <w:r w:rsidRPr="005C3023">
        <w:rPr>
          <w:rFonts w:cs="Segoe UI"/>
          <w:b/>
          <w:bCs/>
          <w:szCs w:val="22"/>
          <w:lang w:val="sk-SK" w:bidi="bo-CN"/>
        </w:rPr>
        <w:t xml:space="preserve">Consumer Brands </w:t>
      </w:r>
      <w:r w:rsidRPr="005C3023">
        <w:rPr>
          <w:rFonts w:cs="Segoe UI"/>
          <w:szCs w:val="22"/>
          <w:lang w:val="sk-SK" w:bidi="bo-CN"/>
        </w:rPr>
        <w:t>je potrebné zohľadniť vysoký organický rast obratu v predchádzajúcom roku, ku ktorému prispeli najmä inovatívne produkty, ktoré boli uvedené na trh v prvom polroku 2024.</w:t>
      </w:r>
      <w:r w:rsidRPr="00707A1E">
        <w:rPr>
          <w:rFonts w:cs="Segoe UI"/>
          <w:szCs w:val="22"/>
          <w:lang w:val="sk-SK"/>
        </w:rPr>
        <w:t xml:space="preserve"> </w:t>
      </w:r>
      <w:r w:rsidRPr="005C3023">
        <w:rPr>
          <w:rFonts w:cs="Segoe UI"/>
          <w:szCs w:val="22"/>
          <w:lang w:val="sk-SK" w:bidi="bo-CN"/>
        </w:rPr>
        <w:t>V roku 2025 sa uvádzanie nových výrobkov sústreďuje najmä do jeho druhej polovice.</w:t>
      </w:r>
      <w:r w:rsidRPr="00707A1E">
        <w:rPr>
          <w:rFonts w:cs="Segoe UI"/>
          <w:szCs w:val="22"/>
          <w:lang w:val="sk-SK"/>
        </w:rPr>
        <w:t xml:space="preserve"> </w:t>
      </w:r>
      <w:r w:rsidRPr="00D4588E">
        <w:rPr>
          <w:rFonts w:cs="Segoe UI"/>
          <w:szCs w:val="22"/>
          <w:lang w:val="sk-SK" w:bidi="bo-CN"/>
        </w:rPr>
        <w:t xml:space="preserve">Okrem toho, k očakávanému horšiemu medziročnému vývoju organického rastu obratu a objemu predaja v 1. štvrťroku prispejú aj jednorazové prevádzkové </w:t>
      </w:r>
      <w:r w:rsidRPr="00D4588E">
        <w:rPr>
          <w:rFonts w:cs="Segoe UI"/>
          <w:szCs w:val="22"/>
          <w:lang w:val="sk-SK" w:bidi="bo-CN"/>
        </w:rPr>
        <w:lastRenderedPageBreak/>
        <w:t>vplyvy týkajúce sa nášho dodávateľského reťazca v súvislosti s dokončením zavádzania tzv. 1-1-1 prístupu aj postupného nasadzovania propagačných kampaní.</w:t>
      </w:r>
      <w:r w:rsidRPr="00707A1E">
        <w:rPr>
          <w:rFonts w:cs="Segoe UI"/>
          <w:szCs w:val="22"/>
          <w:lang w:val="sk-SK"/>
        </w:rPr>
        <w:t xml:space="preserve"> </w:t>
      </w:r>
      <w:r w:rsidRPr="00D4588E">
        <w:rPr>
          <w:rFonts w:cs="Segoe UI"/>
          <w:szCs w:val="22"/>
          <w:lang w:val="sk-SK" w:bidi="bo-CN"/>
        </w:rPr>
        <w:t xml:space="preserve">Organický rast obratu v 1. štvrťroku sa odhaduje na úrovni -2 až -4 percent pri </w:t>
      </w:r>
      <w:r>
        <w:rPr>
          <w:rFonts w:cs="Segoe UI"/>
          <w:szCs w:val="22"/>
          <w:lang w:val="sk-SK" w:bidi="bo-CN"/>
        </w:rPr>
        <w:t>očakávanom</w:t>
      </w:r>
      <w:r w:rsidRPr="00D4588E">
        <w:rPr>
          <w:rFonts w:cs="Segoe UI"/>
          <w:szCs w:val="22"/>
          <w:lang w:val="sk-SK" w:bidi="bo-CN"/>
        </w:rPr>
        <w:t xml:space="preserve"> </w:t>
      </w:r>
      <w:r>
        <w:rPr>
          <w:rFonts w:cs="Segoe UI"/>
          <w:szCs w:val="22"/>
          <w:lang w:val="sk-SK" w:bidi="bo-CN"/>
        </w:rPr>
        <w:t>pozitívnom cenovom vývoji</w:t>
      </w:r>
      <w:r w:rsidRPr="00D4588E">
        <w:rPr>
          <w:rFonts w:cs="Segoe UI"/>
          <w:szCs w:val="22"/>
          <w:lang w:val="sk-SK" w:bidi="bo-CN"/>
        </w:rPr>
        <w:t>.</w:t>
      </w:r>
      <w:r w:rsidRPr="00707A1E">
        <w:rPr>
          <w:rFonts w:cs="Segoe UI"/>
          <w:szCs w:val="22"/>
          <w:lang w:val="sk-SK"/>
        </w:rPr>
        <w:t xml:space="preserve"> </w:t>
      </w:r>
      <w:r w:rsidRPr="00D4588E">
        <w:rPr>
          <w:rFonts w:cs="Segoe UI"/>
          <w:szCs w:val="22"/>
          <w:lang w:val="sk-SK" w:bidi="bo-CN"/>
        </w:rPr>
        <w:t>Za celý rok 2025 by mal celkový organický rast obratu dosiahnuť kladné hodnoty, k čomu by mal prispieť tak rast objemu predaja, ako aj cien.</w:t>
      </w:r>
    </w:p>
    <w:p w14:paraId="1B979B75" w14:textId="77777777" w:rsidR="008032DA" w:rsidRPr="00D913BF" w:rsidRDefault="008032DA" w:rsidP="008032DA">
      <w:pPr>
        <w:spacing w:before="100" w:beforeAutospacing="1" w:after="100" w:afterAutospacing="1"/>
        <w:rPr>
          <w:rFonts w:cs="Segoe UI"/>
          <w:szCs w:val="22"/>
          <w:lang w:val="sk-SK"/>
        </w:rPr>
      </w:pPr>
      <w:bookmarkStart w:id="4" w:name="_Hlk192504294"/>
      <w:r w:rsidRPr="00D4588E">
        <w:rPr>
          <w:rFonts w:cs="Segoe UI"/>
          <w:szCs w:val="22"/>
          <w:lang w:val="sk-SK" w:bidi="bo-CN"/>
        </w:rPr>
        <w:t>Za celý rok 2025 sa očakáva nárast marže aj posilnenie ziskovosti v porovnaní s predchádzajúcim rokom v obidvoch obchodných divíziách, a teda aj na úrovni celej skupiny.</w:t>
      </w:r>
      <w:r w:rsidRPr="00707A1E">
        <w:rPr>
          <w:rFonts w:cs="Segoe UI"/>
          <w:szCs w:val="22"/>
          <w:lang w:val="sk-SK"/>
        </w:rPr>
        <w:t xml:space="preserve"> </w:t>
      </w:r>
      <w:r w:rsidRPr="00D4588E">
        <w:rPr>
          <w:rFonts w:cs="Segoe UI"/>
          <w:szCs w:val="22"/>
          <w:lang w:val="sk-SK" w:bidi="bo-CN"/>
        </w:rPr>
        <w:t xml:space="preserve">Doterajší vývoj za prvé dva mesiace </w:t>
      </w:r>
      <w:r>
        <w:rPr>
          <w:rFonts w:cs="Segoe UI"/>
          <w:szCs w:val="22"/>
          <w:lang w:val="sk-SK" w:bidi="bo-CN"/>
        </w:rPr>
        <w:t>finančného</w:t>
      </w:r>
      <w:r w:rsidRPr="00D4588E">
        <w:rPr>
          <w:rFonts w:cs="Segoe UI"/>
          <w:szCs w:val="22"/>
          <w:lang w:val="sk-SK" w:bidi="bo-CN"/>
        </w:rPr>
        <w:t xml:space="preserve"> roku 2025 ukazuje, že spoločnosť Henkel a obidve jej obchodné divízie sú na dobrej ceste.</w:t>
      </w:r>
      <w:r w:rsidRPr="00707A1E">
        <w:rPr>
          <w:rFonts w:cs="Segoe UI"/>
          <w:szCs w:val="22"/>
          <w:lang w:val="sk-SK"/>
        </w:rPr>
        <w:t xml:space="preserve"> </w:t>
      </w:r>
    </w:p>
    <w:bookmarkEnd w:id="4"/>
    <w:p w14:paraId="5BA36CED" w14:textId="77777777" w:rsidR="008032DA" w:rsidRPr="00707A1E" w:rsidRDefault="008032DA" w:rsidP="008032DA">
      <w:pPr>
        <w:spacing w:before="100" w:beforeAutospacing="1" w:after="100" w:afterAutospacing="1"/>
        <w:rPr>
          <w:rFonts w:cs="Segoe UI"/>
          <w:b/>
          <w:bCs/>
          <w:szCs w:val="22"/>
          <w:lang w:val="sk-SK"/>
        </w:rPr>
      </w:pPr>
      <w:r w:rsidRPr="00D4588E">
        <w:rPr>
          <w:rFonts w:cs="Segoe UI"/>
          <w:b/>
          <w:bCs/>
          <w:szCs w:val="22"/>
          <w:lang w:val="sk-SK" w:eastAsia="de-DE" w:bidi="bo-CN"/>
        </w:rPr>
        <w:t>Obrat a výnosy na úrovni skupiny za finančný rok 2024</w:t>
      </w:r>
    </w:p>
    <w:p w14:paraId="27969AC3" w14:textId="77777777" w:rsidR="008032DA" w:rsidRPr="00707A1E" w:rsidRDefault="008032DA" w:rsidP="008032DA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D4588E">
        <w:rPr>
          <w:rFonts w:cs="Segoe UI"/>
          <w:b/>
          <w:bCs/>
          <w:szCs w:val="22"/>
          <w:lang w:val="sk-SK" w:bidi="bo-CN"/>
        </w:rPr>
        <w:t xml:space="preserve">Obrat </w:t>
      </w:r>
      <w:r w:rsidRPr="00D4588E">
        <w:rPr>
          <w:rFonts w:cs="Segoe UI"/>
          <w:szCs w:val="22"/>
          <w:lang w:val="sk-SK" w:bidi="bo-CN"/>
        </w:rPr>
        <w:t>na úrovni skupiny Henkel dosiahol vo finančnom roku 2024 hodnotu 21 586 miliárd euro, čo v nominálnom vyjadrení predstavuje medziročné zlepšenie o 0,3 percenta.</w:t>
      </w:r>
      <w:r w:rsidRPr="00707A1E">
        <w:rPr>
          <w:rFonts w:cs="Segoe UI"/>
          <w:szCs w:val="22"/>
          <w:lang w:val="sk-SK"/>
        </w:rPr>
        <w:t xml:space="preserve"> </w:t>
      </w:r>
      <w:r w:rsidRPr="00D4588E">
        <w:rPr>
          <w:rFonts w:cs="Segoe UI"/>
          <w:szCs w:val="22"/>
          <w:lang w:val="sk-SK" w:bidi="bo-CN"/>
        </w:rPr>
        <w:t>Negatívny vplyv kurzového vývoja na obrat predstavoval 1,8 percenta</w:t>
      </w:r>
      <w:r>
        <w:rPr>
          <w:rFonts w:cs="Segoe UI"/>
          <w:szCs w:val="22"/>
          <w:lang w:val="sk-SK" w:bidi="bo-CN"/>
        </w:rPr>
        <w:t>,</w:t>
      </w:r>
      <w:r w:rsidRPr="00707A1E">
        <w:rPr>
          <w:rFonts w:cs="Segoe UI"/>
          <w:szCs w:val="22"/>
          <w:lang w:val="sk-SK"/>
        </w:rPr>
        <w:t xml:space="preserve"> </w:t>
      </w:r>
      <w:r w:rsidRPr="00D4588E">
        <w:rPr>
          <w:rFonts w:cs="Segoe UI"/>
          <w:szCs w:val="22"/>
          <w:lang w:val="sk-SK" w:bidi="bo-CN"/>
        </w:rPr>
        <w:t>pričom po očistení o tieto kurzové vplyvy dosiahol obrat rast vo výške 2,1 percenta.</w:t>
      </w:r>
      <w:r w:rsidRPr="00707A1E">
        <w:rPr>
          <w:rFonts w:cs="Segoe UI"/>
          <w:szCs w:val="22"/>
          <w:lang w:val="sk-SK"/>
        </w:rPr>
        <w:t xml:space="preserve"> </w:t>
      </w:r>
      <w:r w:rsidRPr="00D4588E">
        <w:rPr>
          <w:rFonts w:cs="Segoe UI"/>
          <w:szCs w:val="22"/>
          <w:lang w:val="sk-SK" w:bidi="bo-CN"/>
        </w:rPr>
        <w:t xml:space="preserve">Akvizície a odpredaje mali na obrat mierne negatívny vplyv </w:t>
      </w:r>
      <w:r>
        <w:rPr>
          <w:rFonts w:cs="Segoe UI"/>
          <w:szCs w:val="22"/>
          <w:lang w:val="sk-SK" w:bidi="bo-CN"/>
        </w:rPr>
        <w:t>vo výške</w:t>
      </w:r>
      <w:r w:rsidRPr="00D4588E">
        <w:rPr>
          <w:rFonts w:cs="Segoe UI"/>
          <w:szCs w:val="22"/>
          <w:lang w:val="sk-SK" w:bidi="bo-CN"/>
        </w:rPr>
        <w:t xml:space="preserve"> 0,4 percenta, ktorý bol predovšetkým výsledkom ukončenia obchodných a podnikateľských aktivít v Ruskej federácii v roku 2023.</w:t>
      </w:r>
      <w:r w:rsidRPr="00707A1E">
        <w:rPr>
          <w:rFonts w:cs="Segoe UI"/>
          <w:szCs w:val="22"/>
          <w:lang w:val="sk-SK"/>
        </w:rPr>
        <w:t xml:space="preserve"> </w:t>
      </w:r>
      <w:r w:rsidRPr="006E670D">
        <w:rPr>
          <w:rFonts w:cs="Segoe UI"/>
          <w:b/>
          <w:bCs/>
          <w:szCs w:val="22"/>
          <w:lang w:val="sk-SK" w:bidi="bo-CN"/>
        </w:rPr>
        <w:t xml:space="preserve">Organický rast obratu, </w:t>
      </w:r>
      <w:r w:rsidRPr="006E670D">
        <w:rPr>
          <w:rFonts w:cs="Segoe UI"/>
          <w:szCs w:val="22"/>
          <w:lang w:val="sk-SK" w:bidi="bo-CN"/>
        </w:rPr>
        <w:t xml:space="preserve">t.j. po </w:t>
      </w:r>
      <w:r>
        <w:rPr>
          <w:rFonts w:cs="Segoe UI"/>
          <w:szCs w:val="22"/>
          <w:lang w:val="sk-SK" w:bidi="bo-CN"/>
        </w:rPr>
        <w:t xml:space="preserve">jeho </w:t>
      </w:r>
      <w:r w:rsidRPr="006E670D">
        <w:rPr>
          <w:rFonts w:cs="Segoe UI"/>
          <w:szCs w:val="22"/>
          <w:lang w:val="sk-SK" w:bidi="bo-CN"/>
        </w:rPr>
        <w:t>úprave o kurzové vplyvy a vplyv akvizícií/odpredajov, dosiahol kladný vývoj na úrovni 2,6 percenta.</w:t>
      </w:r>
      <w:r w:rsidRPr="00707A1E">
        <w:rPr>
          <w:rFonts w:cs="Segoe UI"/>
          <w:szCs w:val="22"/>
          <w:lang w:val="sk-SK"/>
        </w:rPr>
        <w:t xml:space="preserve"> </w:t>
      </w:r>
      <w:r w:rsidRPr="006E670D">
        <w:rPr>
          <w:rFonts w:cs="Segoe UI"/>
          <w:szCs w:val="22"/>
          <w:lang w:val="sk-SK" w:bidi="bo-CN"/>
        </w:rPr>
        <w:t>Prispel k tomu pozitívny vývoj tak v cenovej oblasti, ako aj v objeme predaja.</w:t>
      </w:r>
    </w:p>
    <w:p w14:paraId="61D0271B" w14:textId="77777777" w:rsidR="008032DA" w:rsidRPr="00707A1E" w:rsidRDefault="008032DA" w:rsidP="008032DA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6E670D">
        <w:rPr>
          <w:rFonts w:cs="Segoe UI"/>
          <w:szCs w:val="22"/>
          <w:lang w:val="sk-SK" w:bidi="bo-CN"/>
        </w:rPr>
        <w:t xml:space="preserve">Obchodná divízia </w:t>
      </w:r>
      <w:r w:rsidRPr="006E670D">
        <w:rPr>
          <w:rFonts w:cs="Segoe UI"/>
          <w:b/>
          <w:bCs/>
          <w:szCs w:val="22"/>
          <w:lang w:val="sk-SK" w:bidi="bo-CN"/>
        </w:rPr>
        <w:t>Adhesive</w:t>
      </w:r>
      <w:r w:rsidRPr="006E670D">
        <w:rPr>
          <w:rFonts w:cs="Segoe UI"/>
          <w:szCs w:val="22"/>
          <w:lang w:val="sk-SK" w:bidi="bo-CN"/>
        </w:rPr>
        <w:t xml:space="preserve"> </w:t>
      </w:r>
      <w:r w:rsidRPr="006E670D">
        <w:rPr>
          <w:rFonts w:cs="Segoe UI"/>
          <w:b/>
          <w:bCs/>
          <w:szCs w:val="22"/>
          <w:lang w:val="sk-SK" w:bidi="bo-CN"/>
        </w:rPr>
        <w:t>Technologies</w:t>
      </w:r>
      <w:r w:rsidRPr="006E670D">
        <w:rPr>
          <w:rFonts w:cs="Segoe UI"/>
          <w:szCs w:val="22"/>
          <w:lang w:val="sk-SK" w:bidi="bo-CN"/>
        </w:rPr>
        <w:t xml:space="preserve"> zaznamenala kladný organicky rast obratu vo výške 2,4 percenta, ktorého hlavným zdrojom boli najmä segmenty mobility a elektroniky.</w:t>
      </w:r>
      <w:r w:rsidRPr="00707A1E">
        <w:rPr>
          <w:rFonts w:cs="Segoe UI"/>
          <w:szCs w:val="22"/>
          <w:lang w:val="sk-SK"/>
        </w:rPr>
        <w:t xml:space="preserve"> </w:t>
      </w:r>
      <w:r w:rsidRPr="006E670D">
        <w:rPr>
          <w:rFonts w:cs="Segoe UI"/>
          <w:szCs w:val="22"/>
          <w:lang w:val="sk-SK" w:bidi="bo-CN"/>
        </w:rPr>
        <w:t xml:space="preserve">K silnému organickému rastu obratu divízie </w:t>
      </w:r>
      <w:r w:rsidRPr="006E670D">
        <w:rPr>
          <w:rFonts w:cs="Segoe UI"/>
          <w:b/>
          <w:bCs/>
          <w:szCs w:val="22"/>
          <w:lang w:val="sk-SK" w:bidi="bo-CN"/>
        </w:rPr>
        <w:t>Consumer Brands</w:t>
      </w:r>
      <w:r w:rsidRPr="006E670D">
        <w:rPr>
          <w:rFonts w:cs="Segoe UI"/>
          <w:szCs w:val="22"/>
          <w:lang w:val="sk-SK" w:bidi="bo-CN"/>
        </w:rPr>
        <w:t xml:space="preserve"> na úrovni 3 percent prispeli predovšetkým výsledky </w:t>
      </w:r>
      <w:r>
        <w:rPr>
          <w:rFonts w:cs="Segoe UI"/>
          <w:szCs w:val="22"/>
          <w:lang w:val="sk-SK" w:bidi="bo-CN"/>
        </w:rPr>
        <w:t>v</w:t>
      </w:r>
      <w:r w:rsidRPr="006E670D">
        <w:rPr>
          <w:rFonts w:cs="Segoe UI"/>
          <w:szCs w:val="22"/>
          <w:lang w:val="sk-SK" w:bidi="bo-CN"/>
        </w:rPr>
        <w:t> segmente vlasovej kozmetiky.</w:t>
      </w:r>
    </w:p>
    <w:p w14:paraId="0920CCB3" w14:textId="77777777" w:rsidR="008032DA" w:rsidRPr="00707A1E" w:rsidRDefault="008032DA" w:rsidP="008032DA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6E670D">
        <w:rPr>
          <w:rFonts w:cs="Segoe UI"/>
          <w:b/>
          <w:bCs/>
          <w:szCs w:val="22"/>
          <w:lang w:val="sk-SK" w:bidi="bo-CN"/>
        </w:rPr>
        <w:t xml:space="preserve">Upravený prevádzkový zisk (upravený EBIT) </w:t>
      </w:r>
      <w:r w:rsidRPr="006E670D">
        <w:rPr>
          <w:rFonts w:cs="Segoe UI"/>
          <w:szCs w:val="22"/>
          <w:lang w:val="sk-SK" w:bidi="bo-CN"/>
        </w:rPr>
        <w:t xml:space="preserve">sa výrazne zvýšil o 20,9 percenta na úroveň </w:t>
      </w:r>
      <w:r>
        <w:rPr>
          <w:rFonts w:cs="Segoe UI"/>
          <w:szCs w:val="22"/>
          <w:lang w:val="sk-SK" w:bidi="bo-CN"/>
        </w:rPr>
        <w:t>3</w:t>
      </w:r>
      <w:r w:rsidRPr="006E670D">
        <w:rPr>
          <w:rFonts w:cs="Segoe UI"/>
          <w:szCs w:val="22"/>
          <w:lang w:val="sk-SK" w:bidi="bo-CN"/>
        </w:rPr>
        <w:t> 089 miliónov eur (predchádzajúci rok: 2 556 miliónov eur).</w:t>
      </w:r>
    </w:p>
    <w:p w14:paraId="6A2F5261" w14:textId="77777777" w:rsidR="008032DA" w:rsidRPr="00707A1E" w:rsidRDefault="008032DA" w:rsidP="008032DA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6E670D">
        <w:rPr>
          <w:rFonts w:cs="Segoe UI"/>
          <w:b/>
          <w:bCs/>
          <w:szCs w:val="22"/>
          <w:lang w:val="sk-SK" w:bidi="bo-CN"/>
        </w:rPr>
        <w:t xml:space="preserve">Upravená výnosnosť predaja (upravená marža EBIT) </w:t>
      </w:r>
      <w:r w:rsidRPr="006E670D">
        <w:rPr>
          <w:rFonts w:cs="Segoe UI"/>
          <w:szCs w:val="22"/>
          <w:lang w:val="sk-SK" w:bidi="bo-CN"/>
        </w:rPr>
        <w:t>na úrovni 14,3 percenta bola vo finančnom roku 2024 tiež medziročne výrazne vyššia (2023: 11,9 percenta).</w:t>
      </w:r>
    </w:p>
    <w:p w14:paraId="0611F424" w14:textId="77777777" w:rsidR="008032DA" w:rsidRPr="00707A1E" w:rsidRDefault="008032DA" w:rsidP="008032DA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6E670D">
        <w:rPr>
          <w:rFonts w:cs="Segoe UI"/>
          <w:b/>
          <w:bCs/>
          <w:szCs w:val="22"/>
          <w:lang w:val="sk-SK" w:bidi="bo-CN"/>
        </w:rPr>
        <w:lastRenderedPageBreak/>
        <w:t xml:space="preserve">Upravený výnos na prioritnú akciu </w:t>
      </w:r>
      <w:r w:rsidRPr="006E670D">
        <w:rPr>
          <w:rFonts w:cs="Segoe UI"/>
          <w:szCs w:val="22"/>
          <w:lang w:val="sk-SK" w:bidi="bo-CN"/>
        </w:rPr>
        <w:t xml:space="preserve">sa </w:t>
      </w:r>
      <w:r>
        <w:rPr>
          <w:rFonts w:cs="Segoe UI"/>
          <w:szCs w:val="22"/>
          <w:lang w:val="sk-SK" w:bidi="bo-CN"/>
        </w:rPr>
        <w:t xml:space="preserve">výrazne </w:t>
      </w:r>
      <w:r w:rsidRPr="006E670D">
        <w:rPr>
          <w:rFonts w:cs="Segoe UI"/>
          <w:szCs w:val="22"/>
          <w:lang w:val="sk-SK" w:bidi="bo-CN"/>
        </w:rPr>
        <w:t>zvýšil o 23,2 percenta</w:t>
      </w:r>
      <w:r>
        <w:rPr>
          <w:rFonts w:cs="Segoe UI"/>
          <w:szCs w:val="22"/>
          <w:lang w:val="sk-SK" w:bidi="bo-CN"/>
        </w:rPr>
        <w:t xml:space="preserve"> </w:t>
      </w:r>
      <w:r w:rsidRPr="006E670D">
        <w:rPr>
          <w:rFonts w:cs="Segoe UI"/>
          <w:szCs w:val="22"/>
          <w:lang w:val="sk-SK" w:bidi="bo-CN"/>
        </w:rPr>
        <w:t>na hodnotu 5,36 eura (predchádzajúci rok: 4,35 eura).</w:t>
      </w:r>
      <w:r w:rsidRPr="00707A1E">
        <w:rPr>
          <w:rFonts w:cs="Segoe UI"/>
          <w:szCs w:val="22"/>
          <w:lang w:val="sk-SK"/>
        </w:rPr>
        <w:t xml:space="preserve"> </w:t>
      </w:r>
      <w:r w:rsidRPr="006E670D">
        <w:rPr>
          <w:rFonts w:cs="Segoe UI"/>
          <w:szCs w:val="22"/>
          <w:lang w:val="sk-SK" w:bidi="bo-CN"/>
        </w:rPr>
        <w:t>Pri konštantných kurzových sadzbách predstavovalo zvýšenie upraveného výnosu na prioritnú akciu 25,1 percenta.</w:t>
      </w:r>
    </w:p>
    <w:p w14:paraId="333C1158" w14:textId="77777777" w:rsidR="008032DA" w:rsidRPr="00707A1E" w:rsidRDefault="008032DA" w:rsidP="008032DA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93170A">
        <w:rPr>
          <w:rFonts w:cs="Segoe UI"/>
          <w:szCs w:val="22"/>
          <w:lang w:val="sk-SK" w:bidi="bo-CN"/>
        </w:rPr>
        <w:t xml:space="preserve">Pomer </w:t>
      </w:r>
      <w:r w:rsidRPr="0093170A">
        <w:rPr>
          <w:rFonts w:cs="Segoe UI"/>
          <w:b/>
          <w:bCs/>
          <w:szCs w:val="22"/>
          <w:lang w:val="sk-SK" w:bidi="bo-CN"/>
        </w:rPr>
        <w:t xml:space="preserve">čistého prevádzkového kapitálu </w:t>
      </w:r>
      <w:r w:rsidRPr="0093170A">
        <w:rPr>
          <w:rFonts w:cs="Segoe UI"/>
          <w:szCs w:val="22"/>
          <w:lang w:val="sk-SK" w:bidi="bo-CN"/>
        </w:rPr>
        <w:t>k obratu dosiahol 3 percentá, čo medziročne predstavuje mier</w:t>
      </w:r>
      <w:r>
        <w:rPr>
          <w:rFonts w:cs="Segoe UI"/>
          <w:szCs w:val="22"/>
          <w:lang w:val="sk-SK" w:bidi="bo-CN"/>
        </w:rPr>
        <w:t>ne</w:t>
      </w:r>
      <w:r w:rsidRPr="0093170A">
        <w:rPr>
          <w:rFonts w:cs="Segoe UI"/>
          <w:szCs w:val="22"/>
          <w:lang w:val="sk-SK" w:bidi="bo-CN"/>
        </w:rPr>
        <w:t xml:space="preserve"> zlepšenie (2023: 2,6 percenta).</w:t>
      </w:r>
    </w:p>
    <w:p w14:paraId="0F7D199A" w14:textId="77777777" w:rsidR="008032DA" w:rsidRPr="00D913BF" w:rsidRDefault="008032DA" w:rsidP="008032DA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863E6B">
        <w:rPr>
          <w:rFonts w:cs="Segoe UI"/>
          <w:b/>
          <w:bCs/>
          <w:szCs w:val="22"/>
          <w:lang w:val="sk-SK" w:bidi="bo-CN"/>
        </w:rPr>
        <w:t>Voľný cash flow</w:t>
      </w:r>
      <w:r w:rsidRPr="00863E6B">
        <w:rPr>
          <w:rFonts w:cs="Segoe UI"/>
          <w:szCs w:val="22"/>
          <w:lang w:val="sk-SK" w:bidi="bo-CN"/>
        </w:rPr>
        <w:t xml:space="preserve"> </w:t>
      </w:r>
      <w:r>
        <w:rPr>
          <w:rFonts w:cs="Segoe UI"/>
          <w:szCs w:val="22"/>
          <w:lang w:val="sk-SK" w:bidi="bo-CN"/>
        </w:rPr>
        <w:t>sa medziročne znížil na</w:t>
      </w:r>
      <w:r w:rsidRPr="00863E6B">
        <w:rPr>
          <w:rFonts w:cs="Segoe UI"/>
          <w:szCs w:val="22"/>
          <w:lang w:val="sk-SK" w:bidi="bo-CN"/>
        </w:rPr>
        <w:t xml:space="preserve"> celkovú hodnotu 2 362 miliónov eur (2023: 2 603 miliónov eur), pričom jeho hodnota v roku 2023 bola pozitívne ovplyvnená normalizáciou čistého prevádzkového kapitálu.</w:t>
      </w:r>
      <w:r w:rsidRPr="00707A1E">
        <w:rPr>
          <w:rFonts w:cs="Segoe UI"/>
          <w:szCs w:val="22"/>
          <w:lang w:val="sk-SK"/>
        </w:rPr>
        <w:t xml:space="preserve"> </w:t>
      </w:r>
    </w:p>
    <w:p w14:paraId="752E0C0E" w14:textId="77777777" w:rsidR="008032DA" w:rsidRDefault="008032DA" w:rsidP="008032DA">
      <w:pPr>
        <w:spacing w:before="100" w:beforeAutospacing="1" w:after="100" w:afterAutospacing="1"/>
        <w:rPr>
          <w:rFonts w:cs="Segoe UI"/>
          <w:szCs w:val="22"/>
          <w:lang w:val="sk-SK" w:bidi="bo-CN"/>
        </w:rPr>
      </w:pPr>
      <w:r w:rsidRPr="006F394C">
        <w:rPr>
          <w:rFonts w:cs="Segoe UI"/>
          <w:b/>
          <w:bCs/>
          <w:szCs w:val="22"/>
          <w:lang w:val="sk-SK" w:bidi="bo-CN"/>
        </w:rPr>
        <w:t>Čistá finančná pozícia</w:t>
      </w:r>
      <w:r w:rsidRPr="006F394C">
        <w:rPr>
          <w:rFonts w:cs="Segoe UI"/>
          <w:szCs w:val="22"/>
          <w:lang w:val="sk-SK" w:bidi="bo-CN"/>
        </w:rPr>
        <w:t xml:space="preserve">, ktorá dosiahla hodnotu -93 miliónov eur, mierne zaostala za úrovňou </w:t>
      </w:r>
      <w:r>
        <w:rPr>
          <w:rFonts w:cs="Segoe UI"/>
          <w:szCs w:val="22"/>
          <w:lang w:val="sk-SK" w:bidi="bo-CN"/>
        </w:rPr>
        <w:t xml:space="preserve">z </w:t>
      </w:r>
      <w:r w:rsidRPr="006F394C">
        <w:rPr>
          <w:rFonts w:cs="Segoe UI"/>
          <w:szCs w:val="22"/>
          <w:lang w:val="sk-SK" w:bidi="bo-CN"/>
        </w:rPr>
        <w:t>predchádzajúceho roka najmä v dôsledku nákladov vynaložených na akvizície (31. december 2023: 12 miliónov eur).</w:t>
      </w:r>
    </w:p>
    <w:p w14:paraId="1F987D4A" w14:textId="77777777" w:rsidR="008032DA" w:rsidRPr="00707A1E" w:rsidRDefault="008032DA" w:rsidP="008032DA">
      <w:pPr>
        <w:spacing w:before="100" w:beforeAutospacing="1" w:after="100" w:afterAutospacing="1"/>
        <w:rPr>
          <w:rFonts w:cs="Segoe UI"/>
          <w:lang w:val="sk-SK"/>
        </w:rPr>
      </w:pPr>
      <w:r w:rsidRPr="0096513D">
        <w:rPr>
          <w:rFonts w:cs="Segoe UI"/>
          <w:lang w:val="sk-SK" w:bidi="bo-CN"/>
        </w:rPr>
        <w:t xml:space="preserve">Predstavenstvo, dozorná rada a výbor akcionárov predložia výročnému valnému zhromaždeniu, ktoré sa bude konať 28. apríla 2025, návrh na zvýšenie </w:t>
      </w:r>
      <w:r w:rsidRPr="0096513D">
        <w:rPr>
          <w:rFonts w:cs="Segoe UI"/>
          <w:b/>
          <w:bCs/>
          <w:lang w:val="sk-SK" w:bidi="bo-CN"/>
        </w:rPr>
        <w:t>dividend</w:t>
      </w:r>
      <w:r w:rsidRPr="0096513D">
        <w:rPr>
          <w:rFonts w:cs="Segoe UI"/>
          <w:lang w:val="sk-SK" w:bidi="bo-CN"/>
        </w:rPr>
        <w:t xml:space="preserve"> o 10,3 percenta v porovnaní s predchádzajúcim rokom, čo znamená 2,04 eura na prioritnú akciu a 2,02 eura na kmeňovú akciu (+10,4 percenta).</w:t>
      </w:r>
      <w:r w:rsidRPr="00707A1E">
        <w:rPr>
          <w:rFonts w:cs="Segoe UI"/>
          <w:lang w:val="sk-SK"/>
        </w:rPr>
        <w:t xml:space="preserve"> </w:t>
      </w:r>
      <w:r w:rsidRPr="0096513D">
        <w:rPr>
          <w:rFonts w:cs="Segoe UI"/>
          <w:lang w:val="sk-SK" w:bidi="bo-CN"/>
        </w:rPr>
        <w:t>Podiel vyplácaných dividend teda predstavuje 37,9 percenta</w:t>
      </w:r>
      <w:r>
        <w:rPr>
          <w:rFonts w:cs="Segoe UI"/>
          <w:lang w:val="sk-SK" w:bidi="bo-CN"/>
        </w:rPr>
        <w:t xml:space="preserve"> a </w:t>
      </w:r>
      <w:r w:rsidRPr="0096513D">
        <w:rPr>
          <w:rFonts w:cs="Segoe UI"/>
          <w:lang w:val="sk-SK" w:bidi="bo-CN"/>
        </w:rPr>
        <w:t>je v súlade s cieľovým rozpätím 30-40 percent.</w:t>
      </w:r>
      <w:r w:rsidRPr="00707A1E">
        <w:rPr>
          <w:rFonts w:cs="Segoe UI"/>
          <w:lang w:val="sk-SK"/>
        </w:rPr>
        <w:t xml:space="preserve"> </w:t>
      </w:r>
      <w:r w:rsidRPr="00DC4043">
        <w:rPr>
          <w:rFonts w:cs="Segoe UI"/>
          <w:lang w:val="sk-SK" w:bidi="bo-CN"/>
        </w:rPr>
        <w:t>Zvýšenie dividend je možné vďaka veľmi dobrým finančným výsledkom v minulom finančnom roku a silnej finančnej základni skupiny Henkel.</w:t>
      </w:r>
    </w:p>
    <w:p w14:paraId="239B381F" w14:textId="77777777" w:rsidR="008032DA" w:rsidRPr="00707A1E" w:rsidRDefault="008032DA" w:rsidP="008032DA">
      <w:pPr>
        <w:spacing w:before="100" w:beforeAutospacing="1" w:after="100" w:afterAutospacing="1"/>
        <w:rPr>
          <w:rFonts w:cs="Segoe UI"/>
          <w:b/>
          <w:bCs/>
          <w:szCs w:val="22"/>
          <w:lang w:val="sk-SK" w:eastAsia="de-DE"/>
        </w:rPr>
      </w:pPr>
      <w:r w:rsidRPr="00DC4043">
        <w:rPr>
          <w:rFonts w:cs="Segoe UI"/>
          <w:b/>
          <w:bCs/>
          <w:szCs w:val="22"/>
          <w:lang w:val="sk-SK" w:eastAsia="de-DE" w:bidi="bo-CN"/>
        </w:rPr>
        <w:t>Výsledky obchodných divízií za finančný rok 2024</w:t>
      </w:r>
    </w:p>
    <w:p w14:paraId="14C4BE87" w14:textId="77777777" w:rsidR="008032DA" w:rsidRPr="00707A1E" w:rsidRDefault="008032DA" w:rsidP="008032DA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DC4043">
        <w:rPr>
          <w:rFonts w:cs="Segoe UI"/>
          <w:b/>
          <w:bCs/>
          <w:szCs w:val="22"/>
          <w:lang w:val="sk-SK" w:bidi="bo-CN"/>
        </w:rPr>
        <w:t xml:space="preserve">Obrat </w:t>
      </w:r>
      <w:r w:rsidRPr="00DC4043">
        <w:rPr>
          <w:rFonts w:cs="Segoe UI"/>
          <w:szCs w:val="22"/>
          <w:lang w:val="sk-SK" w:bidi="bo-CN"/>
        </w:rPr>
        <w:t xml:space="preserve">divízie </w:t>
      </w:r>
      <w:r w:rsidRPr="00DC4043">
        <w:rPr>
          <w:rFonts w:cs="Segoe UI"/>
          <w:b/>
          <w:bCs/>
          <w:szCs w:val="22"/>
          <w:lang w:val="sk-SK" w:bidi="bo-CN"/>
        </w:rPr>
        <w:t xml:space="preserve">Adhesive Technologies </w:t>
      </w:r>
      <w:r w:rsidRPr="00DC4043">
        <w:rPr>
          <w:rFonts w:cs="Segoe UI"/>
          <w:szCs w:val="22"/>
          <w:lang w:val="sk-SK" w:bidi="bo-CN"/>
        </w:rPr>
        <w:t xml:space="preserve">dosiahol vo finančnom roku 2024 výšku 10 970 miliónov eur, čo v nominálnom vyjadrení predstavuje medziročný </w:t>
      </w:r>
      <w:r>
        <w:rPr>
          <w:rFonts w:cs="Segoe UI"/>
          <w:szCs w:val="22"/>
          <w:lang w:val="sk-SK" w:bidi="bo-CN"/>
        </w:rPr>
        <w:t>ná</w:t>
      </w:r>
      <w:r w:rsidRPr="00DC4043">
        <w:rPr>
          <w:rFonts w:cs="Segoe UI"/>
          <w:szCs w:val="22"/>
          <w:lang w:val="sk-SK" w:bidi="bo-CN"/>
        </w:rPr>
        <w:t>rast o 1,7 percenta.</w:t>
      </w:r>
      <w:r w:rsidRPr="00707A1E">
        <w:rPr>
          <w:rFonts w:cs="Segoe UI"/>
          <w:szCs w:val="22"/>
          <w:lang w:val="sk-SK"/>
        </w:rPr>
        <w:t xml:space="preserve"> </w:t>
      </w:r>
      <w:r w:rsidRPr="00DC4043">
        <w:rPr>
          <w:rFonts w:cs="Segoe UI"/>
          <w:szCs w:val="22"/>
          <w:lang w:val="sk-SK" w:bidi="bo-CN"/>
        </w:rPr>
        <w:t>Negatívny príspevok kurzových vplyvov k vývoju obratu predstavoval 1,8 percenta, zatiaľ čo akvizície/odpredaje prispeli k jeho zlepšeniu o 1,1 percenta.</w:t>
      </w:r>
      <w:r w:rsidRPr="00707A1E">
        <w:rPr>
          <w:rFonts w:cs="Segoe UI"/>
          <w:szCs w:val="22"/>
          <w:lang w:val="sk-SK"/>
        </w:rPr>
        <w:t xml:space="preserve"> </w:t>
      </w:r>
      <w:r w:rsidRPr="00DC4043">
        <w:rPr>
          <w:rFonts w:cs="Segoe UI"/>
          <w:b/>
          <w:bCs/>
          <w:szCs w:val="22"/>
          <w:lang w:val="sk-SK" w:bidi="bo-CN"/>
        </w:rPr>
        <w:t xml:space="preserve">Organicky </w:t>
      </w:r>
      <w:r w:rsidRPr="00DC4043">
        <w:rPr>
          <w:rFonts w:cs="Segoe UI"/>
          <w:szCs w:val="22"/>
          <w:lang w:val="sk-SK" w:bidi="bo-CN"/>
        </w:rPr>
        <w:t>sa obrat zvýšil o 2,4 percenta.</w:t>
      </w:r>
      <w:r w:rsidRPr="00707A1E">
        <w:rPr>
          <w:rFonts w:cs="Segoe UI"/>
          <w:szCs w:val="22"/>
          <w:lang w:val="sk-SK"/>
        </w:rPr>
        <w:t xml:space="preserve"> </w:t>
      </w:r>
      <w:r w:rsidRPr="00DC4043">
        <w:rPr>
          <w:rFonts w:cs="Segoe UI"/>
          <w:szCs w:val="22"/>
          <w:lang w:val="sk-SK" w:bidi="bo-CN"/>
        </w:rPr>
        <w:t>Hlavným faktorom, ktorý pozitívne prispel k rastu obratu, bol silný medziročný rast objemu predaja v druhom polroku, ktorý ťahal najmä zvýšený dopyt na niektorých kľúčových koncových trhoch.</w:t>
      </w:r>
      <w:r w:rsidRPr="00707A1E">
        <w:rPr>
          <w:rFonts w:cs="Segoe UI"/>
          <w:szCs w:val="22"/>
          <w:lang w:val="sk-SK"/>
        </w:rPr>
        <w:t xml:space="preserve"> </w:t>
      </w:r>
      <w:r w:rsidRPr="00DC4043">
        <w:rPr>
          <w:rFonts w:cs="Segoe UI"/>
          <w:szCs w:val="22"/>
          <w:lang w:val="sk-SK" w:bidi="bo-CN"/>
        </w:rPr>
        <w:t>Ceny sa v medziročnom porovnaní nezmenili.</w:t>
      </w:r>
      <w:r w:rsidRPr="00707A1E">
        <w:rPr>
          <w:rFonts w:cs="Segoe UI"/>
          <w:szCs w:val="22"/>
          <w:lang w:val="sk-SK"/>
        </w:rPr>
        <w:t xml:space="preserve"> </w:t>
      </w:r>
      <w:r w:rsidRPr="00DC4043">
        <w:rPr>
          <w:rFonts w:cs="Segoe UI"/>
          <w:b/>
          <w:bCs/>
          <w:szCs w:val="22"/>
          <w:lang w:val="sk-SK" w:bidi="bo-CN"/>
        </w:rPr>
        <w:t xml:space="preserve">Upravený prevádzkový zisk </w:t>
      </w:r>
      <w:r w:rsidRPr="00DC4043">
        <w:rPr>
          <w:rFonts w:cs="Segoe UI"/>
          <w:szCs w:val="22"/>
          <w:lang w:val="sk-SK" w:bidi="bo-CN"/>
        </w:rPr>
        <w:t>vo výške 1 817 miliónov eur dosiahol medziročne dvojciferný percentuálny rast a pre túto obchodnú divíziu predstavuje novú rekordnú hodnotu.</w:t>
      </w:r>
      <w:r w:rsidRPr="00707A1E">
        <w:rPr>
          <w:rFonts w:cs="Segoe UI"/>
          <w:szCs w:val="22"/>
          <w:lang w:val="sk-SK"/>
        </w:rPr>
        <w:t xml:space="preserve"> </w:t>
      </w:r>
      <w:r w:rsidRPr="00DC4043">
        <w:rPr>
          <w:rFonts w:cs="Segoe UI"/>
          <w:b/>
          <w:bCs/>
          <w:szCs w:val="22"/>
          <w:lang w:val="sk-SK" w:bidi="bo-CN"/>
        </w:rPr>
        <w:t>Upravená výnosnosť predaja</w:t>
      </w:r>
      <w:r w:rsidRPr="00DC4043">
        <w:rPr>
          <w:rFonts w:cs="Segoe UI"/>
          <w:szCs w:val="22"/>
          <w:lang w:val="sk-SK" w:bidi="bo-CN"/>
        </w:rPr>
        <w:t xml:space="preserve"> sa medziročne zvýšila o 190 bázických bodov na úroveň 16,6 percenta.</w:t>
      </w:r>
    </w:p>
    <w:p w14:paraId="2B5DF627" w14:textId="77777777" w:rsidR="008032DA" w:rsidRPr="00707A1E" w:rsidRDefault="008032DA" w:rsidP="008032DA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17365C">
        <w:rPr>
          <w:rFonts w:cs="Segoe UI"/>
          <w:b/>
          <w:bCs/>
          <w:szCs w:val="22"/>
          <w:lang w:val="sk-SK" w:bidi="bo-CN"/>
        </w:rPr>
        <w:lastRenderedPageBreak/>
        <w:t xml:space="preserve">Obrat </w:t>
      </w:r>
      <w:r w:rsidRPr="0017365C">
        <w:rPr>
          <w:rFonts w:cs="Segoe UI"/>
          <w:szCs w:val="22"/>
          <w:lang w:val="sk-SK" w:bidi="bo-CN"/>
        </w:rPr>
        <w:t>obchodnej divízie</w:t>
      </w:r>
      <w:r w:rsidRPr="0017365C">
        <w:rPr>
          <w:rFonts w:cs="Segoe UI"/>
          <w:b/>
          <w:bCs/>
          <w:szCs w:val="22"/>
          <w:lang w:val="sk-SK" w:bidi="bo-CN"/>
        </w:rPr>
        <w:t xml:space="preserve"> Consumer Brands </w:t>
      </w:r>
      <w:r w:rsidRPr="0017365C">
        <w:rPr>
          <w:rFonts w:cs="Segoe UI"/>
          <w:szCs w:val="22"/>
          <w:lang w:val="sk-SK" w:bidi="bo-CN"/>
        </w:rPr>
        <w:t>dosiahol celkovú výšku 10 467 miliónov eur a v porovnaní s predchádzajúcim rokom sa nominálne znížil o 0,9 percenta.</w:t>
      </w:r>
      <w:r w:rsidRPr="00707A1E">
        <w:rPr>
          <w:rFonts w:cs="Segoe UI"/>
          <w:szCs w:val="22"/>
          <w:lang w:val="sk-SK"/>
        </w:rPr>
        <w:t xml:space="preserve"> </w:t>
      </w:r>
      <w:r w:rsidRPr="0017365C">
        <w:rPr>
          <w:rFonts w:cs="Segoe UI"/>
          <w:szCs w:val="22"/>
          <w:lang w:val="sk-SK" w:bidi="bo-CN"/>
        </w:rPr>
        <w:t xml:space="preserve">Kurzové vplyvy znížili obrat </w:t>
      </w:r>
      <w:r>
        <w:rPr>
          <w:rFonts w:cs="Segoe UI"/>
          <w:szCs w:val="22"/>
          <w:lang w:val="sk-SK" w:bidi="bo-CN"/>
        </w:rPr>
        <w:t xml:space="preserve">o </w:t>
      </w:r>
      <w:r w:rsidRPr="0017365C">
        <w:rPr>
          <w:rFonts w:cs="Segoe UI"/>
          <w:szCs w:val="22"/>
          <w:lang w:val="sk-SK" w:bidi="bo-CN"/>
        </w:rPr>
        <w:t>1,8 percenta</w:t>
      </w:r>
      <w:r w:rsidRPr="00707A1E">
        <w:rPr>
          <w:rFonts w:cs="Segoe UI"/>
          <w:szCs w:val="22"/>
          <w:lang w:val="sk-SK"/>
        </w:rPr>
        <w:t xml:space="preserve"> </w:t>
      </w:r>
      <w:r w:rsidRPr="0017365C">
        <w:rPr>
          <w:rFonts w:cs="Segoe UI"/>
          <w:szCs w:val="22"/>
          <w:lang w:val="sk-SK" w:bidi="bo-CN"/>
        </w:rPr>
        <w:t>a akvizície a odpredaje mali na obrat mierne negatívny vplyv na úrovni 2,0 percenta, ktorého hlavnou príčinou bolo ukončenie obchodných a podnikateľských aktivít v Ruskej federácii v roku 2023.</w:t>
      </w:r>
      <w:r w:rsidRPr="00707A1E">
        <w:rPr>
          <w:rFonts w:cs="Segoe UI"/>
          <w:szCs w:val="22"/>
          <w:lang w:val="sk-SK"/>
        </w:rPr>
        <w:t xml:space="preserve"> </w:t>
      </w:r>
      <w:r w:rsidRPr="0017365C">
        <w:rPr>
          <w:rFonts w:cs="Segoe UI"/>
          <w:b/>
          <w:bCs/>
          <w:szCs w:val="22"/>
          <w:lang w:val="sk-SK" w:bidi="bo-CN"/>
        </w:rPr>
        <w:t xml:space="preserve">Organicky </w:t>
      </w:r>
      <w:r w:rsidRPr="0017365C">
        <w:rPr>
          <w:rFonts w:cs="Segoe UI"/>
          <w:szCs w:val="22"/>
          <w:lang w:val="sk-SK" w:bidi="bo-CN"/>
        </w:rPr>
        <w:t>sa obrat zvýšil o</w:t>
      </w:r>
      <w:r>
        <w:rPr>
          <w:rFonts w:cs="Segoe UI"/>
          <w:szCs w:val="22"/>
          <w:lang w:val="sk-SK" w:bidi="bo-CN"/>
        </w:rPr>
        <w:t> </w:t>
      </w:r>
      <w:r w:rsidRPr="0017365C">
        <w:rPr>
          <w:rFonts w:cs="Segoe UI"/>
          <w:szCs w:val="22"/>
          <w:lang w:val="sk-SK" w:bidi="bo-CN"/>
        </w:rPr>
        <w:t>3</w:t>
      </w:r>
      <w:r>
        <w:rPr>
          <w:rFonts w:cs="Segoe UI"/>
          <w:szCs w:val="22"/>
          <w:lang w:val="sk-SK" w:bidi="bo-CN"/>
        </w:rPr>
        <w:t xml:space="preserve"> </w:t>
      </w:r>
      <w:r w:rsidRPr="0017365C">
        <w:rPr>
          <w:rFonts w:cs="Segoe UI"/>
          <w:szCs w:val="22"/>
          <w:lang w:val="sk-SK" w:bidi="bo-CN"/>
        </w:rPr>
        <w:t>percent</w:t>
      </w:r>
      <w:r>
        <w:rPr>
          <w:rFonts w:cs="Segoe UI"/>
          <w:szCs w:val="22"/>
          <w:lang w:val="sk-SK" w:bidi="bo-CN"/>
        </w:rPr>
        <w:t>á</w:t>
      </w:r>
      <w:r w:rsidRPr="0017365C">
        <w:rPr>
          <w:rFonts w:cs="Segoe UI"/>
          <w:szCs w:val="22"/>
          <w:lang w:val="sk-SK" w:bidi="bo-CN"/>
        </w:rPr>
        <w:t>.</w:t>
      </w:r>
      <w:r w:rsidRPr="00707A1E">
        <w:rPr>
          <w:rFonts w:cs="Segoe UI"/>
          <w:szCs w:val="22"/>
          <w:lang w:val="sk-SK"/>
        </w:rPr>
        <w:t xml:space="preserve"> </w:t>
      </w:r>
      <w:r w:rsidRPr="0017365C">
        <w:rPr>
          <w:rFonts w:cs="Segoe UI"/>
          <w:szCs w:val="22"/>
          <w:lang w:val="sk-SK" w:bidi="bo-CN"/>
        </w:rPr>
        <w:t>Obrat rástol najmä vďaka výraznému zvyšovaniu cien, kým objem predaja klesol najmä v dôsledku pokračujúceho zavádzania opatrení na optimalizáciu portfólia.</w:t>
      </w:r>
      <w:r w:rsidRPr="00707A1E">
        <w:rPr>
          <w:rFonts w:cs="Segoe UI"/>
          <w:szCs w:val="22"/>
          <w:lang w:val="sk-SK"/>
        </w:rPr>
        <w:t xml:space="preserve"> </w:t>
      </w:r>
      <w:r w:rsidRPr="0017365C">
        <w:rPr>
          <w:rFonts w:cs="Segoe UI"/>
          <w:b/>
          <w:bCs/>
          <w:szCs w:val="22"/>
          <w:lang w:val="sk-SK" w:bidi="bo-CN"/>
        </w:rPr>
        <w:t>Upravený prevádzkový zisk</w:t>
      </w:r>
      <w:r w:rsidRPr="0017365C">
        <w:rPr>
          <w:rFonts w:cs="Segoe UI"/>
          <w:szCs w:val="22"/>
          <w:lang w:val="sk-SK" w:bidi="bo-CN"/>
        </w:rPr>
        <w:t xml:space="preserve"> vo výške 1 419 miliónov eur bol výrazne vyšší než v predchádzajúcom roku (1 115 miliónov eur).</w:t>
      </w:r>
      <w:r w:rsidRPr="00707A1E">
        <w:rPr>
          <w:rFonts w:cs="Segoe UI"/>
          <w:szCs w:val="22"/>
          <w:lang w:val="sk-SK"/>
        </w:rPr>
        <w:t xml:space="preserve"> </w:t>
      </w:r>
      <w:r w:rsidRPr="00F546AE">
        <w:rPr>
          <w:rFonts w:cs="Segoe UI"/>
          <w:b/>
          <w:bCs/>
          <w:szCs w:val="22"/>
          <w:lang w:val="sk-SK" w:bidi="bo-CN"/>
        </w:rPr>
        <w:t>Upravená výnosnosť predaja</w:t>
      </w:r>
      <w:r w:rsidRPr="00F546AE">
        <w:rPr>
          <w:rFonts w:cs="Segoe UI"/>
          <w:szCs w:val="22"/>
          <w:lang w:val="sk-SK" w:bidi="bo-CN"/>
        </w:rPr>
        <w:t xml:space="preserve"> sa v porovnaní s predchádzajúcim rokom výrazne zvýšila o 300 bázických bodov a dosiahla úroveň 13,6 percenta.</w:t>
      </w:r>
    </w:p>
    <w:p w14:paraId="29BF6FE5" w14:textId="77777777" w:rsidR="008032DA" w:rsidRPr="00707A1E" w:rsidRDefault="008032DA" w:rsidP="008032DA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F546AE">
        <w:rPr>
          <w:rFonts w:cs="Segoe UI"/>
          <w:b/>
          <w:szCs w:val="22"/>
          <w:lang w:val="sk-SK" w:bidi="bo-CN"/>
        </w:rPr>
        <w:t>Zásadný pokrok v transformácii</w:t>
      </w:r>
    </w:p>
    <w:p w14:paraId="303476C4" w14:textId="77777777" w:rsidR="008032DA" w:rsidRDefault="008032DA" w:rsidP="008032DA">
      <w:pPr>
        <w:spacing w:before="100" w:beforeAutospacing="1" w:after="100" w:afterAutospacing="1"/>
        <w:rPr>
          <w:rFonts w:cs="Segoe UI"/>
          <w:b/>
          <w:bCs/>
          <w:i/>
          <w:iCs/>
          <w:szCs w:val="22"/>
          <w:lang w:val="sk-SK" w:eastAsia="de-DE"/>
        </w:rPr>
      </w:pPr>
      <w:r w:rsidRPr="00BB597C">
        <w:rPr>
          <w:rFonts w:cs="Segoe UI"/>
          <w:bCs/>
          <w:szCs w:val="22"/>
          <w:lang w:val="sk-SK" w:bidi="bo-CN"/>
        </w:rPr>
        <w:t>Spoločnosť Henkel v ostatných rokoch prechádza zásadnými zmenami v mnohých oblastiach svojho pôsobenia a dôsledne implementuje strategickú agendu zameranú na podporu zmysluplného rastu.</w:t>
      </w:r>
      <w:r w:rsidRPr="00707A1E">
        <w:rPr>
          <w:rFonts w:cs="Segoe UI"/>
          <w:bCs/>
          <w:szCs w:val="22"/>
          <w:lang w:val="sk-SK"/>
        </w:rPr>
        <w:t xml:space="preserve"> </w:t>
      </w:r>
      <w:r w:rsidRPr="00BB597C">
        <w:rPr>
          <w:rFonts w:cs="Segoe UI"/>
          <w:bCs/>
          <w:szCs w:val="22"/>
          <w:lang w:val="sk-SK" w:bidi="bo-CN"/>
        </w:rPr>
        <w:t>Kľúčovými faktormi dlhodobého a udržateľného úspechu v podnikaní sú ochota a odhodlanie pokračovať v transformácii.</w:t>
      </w:r>
      <w:r w:rsidRPr="00707A1E">
        <w:rPr>
          <w:rFonts w:cs="Segoe UI"/>
          <w:bCs/>
          <w:szCs w:val="22"/>
          <w:lang w:val="sk-SK"/>
        </w:rPr>
        <w:t xml:space="preserve"> </w:t>
      </w:r>
      <w:r w:rsidRPr="00BB597C">
        <w:rPr>
          <w:rFonts w:cs="Segoe UI"/>
          <w:bCs/>
          <w:szCs w:val="22"/>
          <w:lang w:val="sk-SK" w:bidi="bo-CN"/>
        </w:rPr>
        <w:t>Cieľom je dosiahnuť trvalo udržateľné zlepšenie hospodárskych výsledkov,</w:t>
      </w:r>
      <w:r w:rsidRPr="00707A1E">
        <w:rPr>
          <w:rFonts w:cs="Segoe UI"/>
          <w:bCs/>
          <w:szCs w:val="22"/>
          <w:lang w:val="sk-SK"/>
        </w:rPr>
        <w:t xml:space="preserve"> </w:t>
      </w:r>
      <w:r w:rsidRPr="00BB597C">
        <w:rPr>
          <w:rFonts w:cs="Segoe UI"/>
          <w:bCs/>
          <w:szCs w:val="22"/>
          <w:lang w:val="sk-SK" w:bidi="bo-CN"/>
        </w:rPr>
        <w:t>na ktorého naplnenie sú nevyhnutné neustále zmeny a ďalší rozvoj spoločnosti.</w:t>
      </w:r>
      <w:r w:rsidRPr="00707A1E">
        <w:rPr>
          <w:rFonts w:cs="Segoe UI"/>
          <w:bCs/>
          <w:szCs w:val="22"/>
          <w:lang w:val="sk-SK"/>
        </w:rPr>
        <w:t xml:space="preserve"> </w:t>
      </w:r>
      <w:r w:rsidRPr="00BB597C">
        <w:rPr>
          <w:rFonts w:cs="Segoe UI"/>
          <w:bCs/>
          <w:szCs w:val="22"/>
          <w:lang w:val="sk-SK" w:bidi="bo-CN"/>
        </w:rPr>
        <w:t>A táto transformácia prebieha vo všetkých oblastiach.</w:t>
      </w:r>
      <w:r w:rsidRPr="00707A1E">
        <w:rPr>
          <w:rFonts w:cs="Segoe UI"/>
          <w:b/>
          <w:bCs/>
          <w:i/>
          <w:iCs/>
          <w:szCs w:val="22"/>
          <w:lang w:val="sk-SK" w:eastAsia="de-DE"/>
        </w:rPr>
        <w:t xml:space="preserve"> </w:t>
      </w:r>
    </w:p>
    <w:p w14:paraId="576149C2" w14:textId="77777777" w:rsidR="008032DA" w:rsidRPr="00707A1E" w:rsidRDefault="008032DA" w:rsidP="008032DA">
      <w:pPr>
        <w:spacing w:before="100" w:beforeAutospacing="1" w:after="100" w:afterAutospacing="1"/>
        <w:jc w:val="left"/>
        <w:rPr>
          <w:rFonts w:cs="Segoe UI"/>
          <w:b/>
          <w:bCs/>
          <w:szCs w:val="22"/>
          <w:lang w:val="sk-SK" w:eastAsia="de-DE"/>
        </w:rPr>
      </w:pPr>
      <w:r w:rsidRPr="00D913BF">
        <w:rPr>
          <w:rFonts w:cs="Segoe UI"/>
          <w:b/>
          <w:bCs/>
          <w:szCs w:val="22"/>
          <w:lang w:val="sk-SK" w:eastAsia="de-DE"/>
        </w:rPr>
        <w:t xml:space="preserve">Consumer Brands: </w:t>
      </w:r>
      <w:r>
        <w:rPr>
          <w:rFonts w:cs="Segoe UI"/>
          <w:b/>
          <w:bCs/>
          <w:szCs w:val="22"/>
          <w:lang w:val="sk-SK" w:eastAsia="de-DE" w:bidi="bo-CN"/>
        </w:rPr>
        <w:t>Zlučovanie</w:t>
      </w:r>
      <w:r w:rsidRPr="007710E3">
        <w:rPr>
          <w:rFonts w:cs="Segoe UI"/>
          <w:b/>
          <w:bCs/>
          <w:szCs w:val="22"/>
          <w:lang w:val="sk-SK" w:eastAsia="de-DE" w:bidi="bo-CN"/>
        </w:rPr>
        <w:t xml:space="preserve"> pokračuje rýchlejšie, než bolo plánované</w:t>
      </w:r>
    </w:p>
    <w:p w14:paraId="4A578E16" w14:textId="77777777" w:rsidR="008032DA" w:rsidRPr="00707A1E" w:rsidRDefault="008032DA" w:rsidP="008032DA">
      <w:pPr>
        <w:spacing w:before="100" w:beforeAutospacing="1" w:after="100" w:afterAutospacing="1"/>
        <w:rPr>
          <w:rFonts w:cs="Segoe UI"/>
          <w:szCs w:val="22"/>
          <w:lang w:val="sk-SK" w:eastAsia="de-DE"/>
        </w:rPr>
      </w:pPr>
      <w:r w:rsidRPr="007710E3">
        <w:rPr>
          <w:rFonts w:cs="Segoe UI"/>
          <w:szCs w:val="22"/>
          <w:lang w:val="sk-SK" w:eastAsia="de-DE" w:bidi="bo-CN"/>
        </w:rPr>
        <w:t xml:space="preserve">Pravdepodobne najvýznamnejšou zmenou v novodobej histórii spoločnosti Henkel je zlúčenie jej spotrebiteľských divízií do jednej obchodnej divízie </w:t>
      </w:r>
      <w:r w:rsidRPr="007710E3">
        <w:rPr>
          <w:rFonts w:cs="Segoe UI"/>
          <w:b/>
          <w:bCs/>
          <w:szCs w:val="22"/>
          <w:lang w:val="sk-SK" w:eastAsia="de-DE" w:bidi="bo-CN"/>
        </w:rPr>
        <w:t>Consumer Brands,</w:t>
      </w:r>
      <w:r w:rsidRPr="007710E3">
        <w:rPr>
          <w:rFonts w:cs="Segoe UI"/>
          <w:szCs w:val="22"/>
          <w:lang w:val="sk-SK" w:eastAsia="de-DE" w:bidi="bo-CN"/>
        </w:rPr>
        <w:t xml:space="preserve"> ktorej vznik bol oznámený na začiatku roka 2022.</w:t>
      </w:r>
      <w:r w:rsidRPr="00707A1E">
        <w:rPr>
          <w:rFonts w:cs="Segoe UI"/>
          <w:szCs w:val="22"/>
          <w:lang w:val="sk-SK" w:eastAsia="de-DE"/>
        </w:rPr>
        <w:t xml:space="preserve"> </w:t>
      </w:r>
      <w:r w:rsidRPr="007710E3">
        <w:rPr>
          <w:rFonts w:cs="Segoe UI"/>
          <w:szCs w:val="22"/>
          <w:lang w:val="sk-SK" w:eastAsia="de-DE" w:bidi="bo-CN"/>
        </w:rPr>
        <w:t>Odvtedy sa toho veľa udialo.</w:t>
      </w:r>
      <w:r w:rsidRPr="00707A1E">
        <w:rPr>
          <w:rFonts w:cs="Segoe UI"/>
          <w:szCs w:val="22"/>
          <w:lang w:val="sk-SK" w:eastAsia="de-DE"/>
        </w:rPr>
        <w:t xml:space="preserve"> </w:t>
      </w:r>
      <w:r w:rsidRPr="007710E3">
        <w:rPr>
          <w:rFonts w:cs="Segoe UI"/>
          <w:szCs w:val="22"/>
          <w:lang w:val="sk-SK" w:eastAsia="de-DE" w:bidi="bo-CN"/>
        </w:rPr>
        <w:t xml:space="preserve">Obchodná divízia s novou organizačnou štruktúrou funguje od prvých mesiacov roku 2023 a už v prvom roku jej </w:t>
      </w:r>
      <w:r>
        <w:rPr>
          <w:rFonts w:cs="Segoe UI"/>
          <w:szCs w:val="22"/>
          <w:lang w:val="sk-SK" w:eastAsia="de-DE" w:bidi="bo-CN"/>
        </w:rPr>
        <w:t>existencie</w:t>
      </w:r>
      <w:r w:rsidRPr="007710E3">
        <w:rPr>
          <w:rFonts w:cs="Segoe UI"/>
          <w:szCs w:val="22"/>
          <w:lang w:val="sk-SK" w:eastAsia="de-DE" w:bidi="bo-CN"/>
        </w:rPr>
        <w:t xml:space="preserve"> sa prejavil jej pozitívny prínos.</w:t>
      </w:r>
      <w:r w:rsidRPr="00707A1E">
        <w:rPr>
          <w:rFonts w:cs="Segoe UI"/>
          <w:szCs w:val="22"/>
          <w:lang w:val="sk-SK" w:eastAsia="de-DE"/>
        </w:rPr>
        <w:t xml:space="preserve"> </w:t>
      </w:r>
      <w:r w:rsidRPr="007710E3">
        <w:rPr>
          <w:rFonts w:cs="Segoe UI"/>
          <w:szCs w:val="22"/>
          <w:lang w:val="sk-SK" w:eastAsia="de-DE" w:bidi="bo-CN"/>
        </w:rPr>
        <w:t>Uplynulý finančný rok 2024 len potvrdil správnosť nášho rozhodnutia spojiť predtým samostatné spotrebiteľské divízie do jednej platformy.</w:t>
      </w:r>
    </w:p>
    <w:p w14:paraId="4D33287C" w14:textId="77777777" w:rsidR="008032DA" w:rsidRPr="00707A1E" w:rsidRDefault="008032DA" w:rsidP="008032DA">
      <w:pPr>
        <w:spacing w:before="100" w:beforeAutospacing="1" w:after="100" w:afterAutospacing="1"/>
        <w:rPr>
          <w:lang w:val="sk-SK"/>
        </w:rPr>
      </w:pPr>
      <w:r w:rsidRPr="00055631">
        <w:rPr>
          <w:lang w:val="sk-SK" w:bidi="bo-CN"/>
        </w:rPr>
        <w:t>Integrácia v rámci obchodnej divízie Consumer Brands postupuje podstatne rýchlejšie, než sme pôvodne plánovali, a to tak v oblasti integrácie pracovných tímov a reštrukturalizácie portfólia, ako aj v dosahovaní synergií.</w:t>
      </w:r>
      <w:r w:rsidRPr="00707A1E">
        <w:rPr>
          <w:lang w:val="sk-SK"/>
        </w:rPr>
        <w:t xml:space="preserve"> </w:t>
      </w:r>
      <w:r w:rsidRPr="00055631">
        <w:rPr>
          <w:lang w:val="sk-SK" w:bidi="bo-CN"/>
        </w:rPr>
        <w:t>Prvá fáza integračného procesu, ktorá pozostávala predovšetkým zo zlučovania obchodných a marketingových tímov, bola ukončená v roku 2024.</w:t>
      </w:r>
      <w:r w:rsidRPr="00707A1E">
        <w:rPr>
          <w:lang w:val="sk-SK"/>
        </w:rPr>
        <w:t xml:space="preserve"> </w:t>
      </w:r>
      <w:r w:rsidRPr="00055631">
        <w:rPr>
          <w:lang w:val="sk-SK" w:bidi="bo-CN"/>
        </w:rPr>
        <w:t xml:space="preserve">V rámci druhej fázy, ktorá prebieha od roku 2023, sa očakáva úplná realizácia úspor vyplývajúcich zo </w:t>
      </w:r>
      <w:r w:rsidRPr="00055631">
        <w:rPr>
          <w:lang w:val="sk-SK" w:bidi="bo-CN"/>
        </w:rPr>
        <w:lastRenderedPageBreak/>
        <w:t>skvalitnenia dodávateľského reťazca, t.j. výrobných a dodávateľsko-odberateľských procesov, do konca roku 2025.</w:t>
      </w:r>
    </w:p>
    <w:p w14:paraId="5C327685" w14:textId="77777777" w:rsidR="008032DA" w:rsidRPr="00D913BF" w:rsidRDefault="008032DA" w:rsidP="008032DA">
      <w:pPr>
        <w:spacing w:before="100" w:beforeAutospacing="1" w:after="100" w:afterAutospacing="1"/>
        <w:rPr>
          <w:rFonts w:cs="Segoe UI"/>
          <w:szCs w:val="22"/>
          <w:lang w:val="sk-SK" w:eastAsia="de-DE"/>
        </w:rPr>
      </w:pPr>
      <w:r w:rsidRPr="00055631">
        <w:rPr>
          <w:rFonts w:cs="Segoe UI"/>
          <w:szCs w:val="22"/>
          <w:lang w:val="sk-SK" w:eastAsia="de-DE" w:bidi="bo-CN"/>
        </w:rPr>
        <w:t>Divízia Consumer Brands sa okrem toho naďalej zameriava na podporu silných značiek a rozvoj obchodných segmentov s vysokou hrubou maržou aj na posilnenie vedúcej pozície na trhoch a v rámci produktových kategórií.</w:t>
      </w:r>
      <w:r w:rsidRPr="00707A1E">
        <w:rPr>
          <w:lang w:val="sk-SK"/>
        </w:rPr>
        <w:t xml:space="preserve"> </w:t>
      </w:r>
      <w:r w:rsidRPr="00055631">
        <w:rPr>
          <w:rFonts w:cs="Segoe UI"/>
          <w:szCs w:val="22"/>
          <w:lang w:val="sk-SK" w:eastAsia="de-DE" w:bidi="bo-CN"/>
        </w:rPr>
        <w:t>Tento prístup zameraný na podporu rastu a ziskových značiek už prináša pozitívne výsledky.</w:t>
      </w:r>
      <w:r w:rsidRPr="00707A1E">
        <w:rPr>
          <w:rFonts w:cs="Segoe UI"/>
          <w:szCs w:val="22"/>
          <w:lang w:val="sk-SK" w:eastAsia="de-DE"/>
        </w:rPr>
        <w:t xml:space="preserve"> </w:t>
      </w:r>
      <w:r w:rsidRPr="00055631">
        <w:rPr>
          <w:rFonts w:cs="Segoe UI"/>
          <w:szCs w:val="22"/>
          <w:lang w:val="sk-SK" w:eastAsia="de-DE" w:bidi="bo-CN"/>
        </w:rPr>
        <w:t>Desať najsilnejších značiek divízie Consumer Brands dosiahl</w:t>
      </w:r>
      <w:r>
        <w:rPr>
          <w:rFonts w:cs="Segoe UI"/>
          <w:szCs w:val="22"/>
          <w:lang w:val="sk-SK" w:eastAsia="de-DE" w:bidi="bo-CN"/>
        </w:rPr>
        <w:t>o</w:t>
      </w:r>
      <w:r w:rsidRPr="00055631">
        <w:rPr>
          <w:rFonts w:cs="Segoe UI"/>
          <w:szCs w:val="22"/>
          <w:lang w:val="sk-SK" w:eastAsia="de-DE" w:bidi="bo-CN"/>
        </w:rPr>
        <w:t xml:space="preserve"> v roku 2024 veľmi silný organický rast aj zvýšený objem predaja a spoločne </w:t>
      </w:r>
      <w:r>
        <w:rPr>
          <w:rFonts w:cs="Segoe UI"/>
          <w:szCs w:val="22"/>
          <w:lang w:val="sk-SK" w:eastAsia="de-DE" w:bidi="bo-CN"/>
        </w:rPr>
        <w:t>vygenerovali</w:t>
      </w:r>
      <w:r w:rsidRPr="00055631">
        <w:rPr>
          <w:rFonts w:cs="Segoe UI"/>
          <w:szCs w:val="22"/>
          <w:lang w:val="sk-SK" w:eastAsia="de-DE" w:bidi="bo-CN"/>
        </w:rPr>
        <w:t xml:space="preserve"> viac než polovicu jej výnosov.</w:t>
      </w:r>
      <w:r w:rsidRPr="00707A1E">
        <w:rPr>
          <w:rFonts w:cs="Segoe UI"/>
          <w:szCs w:val="22"/>
          <w:lang w:val="sk-SK" w:eastAsia="de-DE"/>
        </w:rPr>
        <w:t xml:space="preserve"> </w:t>
      </w:r>
    </w:p>
    <w:p w14:paraId="04A42479" w14:textId="77777777" w:rsidR="008032DA" w:rsidRPr="00707A1E" w:rsidRDefault="008032DA" w:rsidP="008032DA">
      <w:pPr>
        <w:spacing w:before="100" w:beforeAutospacing="1" w:after="100" w:afterAutospacing="1"/>
        <w:rPr>
          <w:rFonts w:cs="Segoe UI"/>
          <w:b/>
          <w:bCs/>
          <w:szCs w:val="22"/>
          <w:lang w:val="sk-SK" w:eastAsia="de-DE"/>
        </w:rPr>
      </w:pPr>
      <w:r w:rsidRPr="00055631">
        <w:rPr>
          <w:rFonts w:cs="Segoe UI"/>
          <w:b/>
          <w:bCs/>
          <w:szCs w:val="22"/>
          <w:lang w:val="sk-SK" w:eastAsia="de-DE" w:bidi="bo-CN"/>
        </w:rPr>
        <w:t>Ďalší rozvoj obchodnej divízie Adhesive Technologies</w:t>
      </w:r>
    </w:p>
    <w:p w14:paraId="2817DA86" w14:textId="55456B1E" w:rsidR="008032DA" w:rsidRPr="00707A1E" w:rsidRDefault="008032DA" w:rsidP="008032DA">
      <w:pPr>
        <w:spacing w:before="100" w:beforeAutospacing="1" w:after="100" w:afterAutospacing="1"/>
        <w:rPr>
          <w:rFonts w:cs="Segoe UI"/>
          <w:szCs w:val="22"/>
          <w:lang w:val="sk-SK" w:eastAsia="de-DE"/>
        </w:rPr>
      </w:pPr>
      <w:r w:rsidRPr="00055631">
        <w:rPr>
          <w:rFonts w:cs="Segoe UI"/>
          <w:szCs w:val="22"/>
          <w:lang w:val="sk-SK" w:eastAsia="de-DE" w:bidi="bo-CN"/>
        </w:rPr>
        <w:t xml:space="preserve">Aj obchodná divízia </w:t>
      </w:r>
      <w:r w:rsidRPr="00055631">
        <w:rPr>
          <w:rFonts w:cs="Segoe UI"/>
          <w:b/>
          <w:bCs/>
          <w:szCs w:val="22"/>
          <w:lang w:val="sk-SK" w:eastAsia="de-DE" w:bidi="bo-CN"/>
        </w:rPr>
        <w:t>Adhesive Technologies</w:t>
      </w:r>
      <w:r w:rsidRPr="00055631">
        <w:rPr>
          <w:rFonts w:cs="Segoe UI"/>
          <w:szCs w:val="22"/>
          <w:lang w:val="sk-SK" w:eastAsia="de-DE" w:bidi="bo-CN"/>
        </w:rPr>
        <w:t xml:space="preserve"> zaznamenala v uplynulom roku významný pokrok, podporený celkovo silnými obchodnými výsledkami.</w:t>
      </w:r>
      <w:r w:rsidRPr="00707A1E">
        <w:rPr>
          <w:rFonts w:cs="Segoe UI"/>
          <w:szCs w:val="22"/>
          <w:lang w:val="sk-SK" w:eastAsia="de-DE"/>
        </w:rPr>
        <w:t xml:space="preserve"> </w:t>
      </w:r>
      <w:r w:rsidRPr="00D66AB2">
        <w:rPr>
          <w:rFonts w:cs="Segoe UI"/>
          <w:szCs w:val="22"/>
          <w:lang w:val="sk-SK" w:eastAsia="de-DE" w:bidi="bo-CN"/>
        </w:rPr>
        <w:t xml:space="preserve">Jej portfólio zahŕňa približne 20 000 výrobkov a riešení, ktoré poskytuje viac než 100 000 zákazníkom vo viac </w:t>
      </w:r>
      <w:r>
        <w:rPr>
          <w:rFonts w:cs="Segoe UI"/>
          <w:szCs w:val="22"/>
          <w:lang w:val="sk-SK" w:eastAsia="de-DE" w:bidi="bo-CN"/>
        </w:rPr>
        <w:t>ako</w:t>
      </w:r>
      <w:r w:rsidRPr="00D66AB2">
        <w:rPr>
          <w:rFonts w:cs="Segoe UI"/>
          <w:szCs w:val="22"/>
          <w:lang w:val="sk-SK" w:eastAsia="de-DE" w:bidi="bo-CN"/>
        </w:rPr>
        <w:t xml:space="preserve"> 800 priemyselných odvetviach na celom svete.</w:t>
      </w:r>
      <w:r w:rsidRPr="00707A1E">
        <w:rPr>
          <w:rFonts w:cs="Segoe UI"/>
          <w:szCs w:val="22"/>
          <w:lang w:val="sk-SK" w:eastAsia="de-DE"/>
        </w:rPr>
        <w:t xml:space="preserve"> </w:t>
      </w:r>
      <w:r w:rsidRPr="00B52F3C">
        <w:rPr>
          <w:rFonts w:cs="Segoe UI"/>
          <w:szCs w:val="22"/>
          <w:lang w:val="sk-SK" w:eastAsia="de-DE" w:bidi="bo-CN"/>
        </w:rPr>
        <w:t xml:space="preserve">Šírka a hĺbka produktového portfólia v kombinácii s globálnou prítomnosťou a skúsenosťami s vývojom riešení orientovaných na zákazníka sú základným pilierom jedinečnej trhovej pozície spoločnosti Henkel, ktorá jej umožňuje ďalej expandovať a posilňovať </w:t>
      </w:r>
      <w:r>
        <w:rPr>
          <w:rFonts w:cs="Segoe UI"/>
          <w:szCs w:val="22"/>
          <w:lang w:val="sk-SK" w:eastAsia="de-DE" w:bidi="bo-CN"/>
        </w:rPr>
        <w:t>svoje</w:t>
      </w:r>
      <w:r w:rsidRPr="00B52F3C">
        <w:rPr>
          <w:rFonts w:cs="Segoe UI"/>
          <w:szCs w:val="22"/>
          <w:lang w:val="sk-SK" w:eastAsia="de-DE" w:bidi="bo-CN"/>
        </w:rPr>
        <w:t xml:space="preserve"> vedúce postave</w:t>
      </w:r>
      <w:r>
        <w:rPr>
          <w:rFonts w:cs="Segoe UI"/>
          <w:szCs w:val="22"/>
          <w:lang w:val="sk-SK" w:eastAsia="de-DE" w:bidi="bo-CN"/>
        </w:rPr>
        <w:t>nie</w:t>
      </w:r>
      <w:r w:rsidRPr="00B52F3C">
        <w:rPr>
          <w:rFonts w:cs="Segoe UI"/>
          <w:szCs w:val="22"/>
          <w:lang w:val="sk-SK" w:eastAsia="de-DE" w:bidi="bo-CN"/>
        </w:rPr>
        <w:t xml:space="preserve"> na svetových trhoch.</w:t>
      </w:r>
      <w:r w:rsidRPr="00707A1E">
        <w:rPr>
          <w:rFonts w:cs="Segoe UI"/>
          <w:szCs w:val="22"/>
          <w:lang w:val="sk-SK" w:eastAsia="de-DE"/>
        </w:rPr>
        <w:t xml:space="preserve"> </w:t>
      </w:r>
      <w:r w:rsidRPr="00B52F3C">
        <w:rPr>
          <w:rFonts w:cs="Segoe UI"/>
          <w:szCs w:val="22"/>
          <w:lang w:val="sk-SK" w:eastAsia="de-DE" w:bidi="bo-CN"/>
        </w:rPr>
        <w:t>V rámci svojich troch obchodných segmentov – mobilita a elektronický priemysel, obalový a spotrebný tovar a výrobky pre remeselníkov, stavebníctvo a profesionálov – sa divízia Adhesive Technologies zameriava na kľúčové trendy budúcnosti</w:t>
      </w:r>
      <w:r>
        <w:rPr>
          <w:rFonts w:cs="Segoe UI"/>
          <w:szCs w:val="22"/>
          <w:lang w:val="sk-SK" w:eastAsia="de-DE" w:bidi="bo-CN"/>
        </w:rPr>
        <w:t xml:space="preserve">, </w:t>
      </w:r>
      <w:r w:rsidRPr="00B52F3C">
        <w:rPr>
          <w:rFonts w:cs="Segoe UI"/>
          <w:szCs w:val="22"/>
          <w:lang w:val="sk-SK" w:eastAsia="de-DE" w:bidi="bo-CN"/>
        </w:rPr>
        <w:t>ku ktorým patria rozvoj e-mobility a konektivity, teda zvyšovanie interkonektivity systémov, ako aj trvalá udržateľnosť.</w:t>
      </w:r>
    </w:p>
    <w:p w14:paraId="140677CA" w14:textId="77777777" w:rsidR="008032DA" w:rsidRPr="00707A1E" w:rsidRDefault="008032DA" w:rsidP="008032DA">
      <w:pPr>
        <w:spacing w:before="100" w:beforeAutospacing="1" w:after="100" w:afterAutospacing="1"/>
        <w:rPr>
          <w:rFonts w:cs="Segoe UI"/>
          <w:szCs w:val="22"/>
          <w:lang w:val="sk-SK" w:eastAsia="de-DE"/>
        </w:rPr>
      </w:pPr>
      <w:r w:rsidRPr="00B52F3C">
        <w:rPr>
          <w:rFonts w:cs="Segoe UI"/>
          <w:szCs w:val="22"/>
          <w:lang w:val="sk-SK" w:eastAsia="de-DE" w:bidi="bo-CN"/>
        </w:rPr>
        <w:t>Zjednodušená štruktúra obchodných oblastí, čiastočne s novými líderskými tímami, a dôsledná orientácia na trendy zajtrajška opäť prispeli k jej úspešnému rozvoju aj v náročných trhových a ekonomických podmienkach roku 2024.</w:t>
      </w:r>
    </w:p>
    <w:p w14:paraId="211E20E4" w14:textId="77777777" w:rsidR="008032DA" w:rsidRPr="00DB60D8" w:rsidRDefault="008032DA" w:rsidP="008032DA">
      <w:pPr>
        <w:spacing w:before="100" w:beforeAutospacing="1" w:after="100" w:afterAutospacing="1" w:line="278" w:lineRule="auto"/>
        <w:rPr>
          <w:rFonts w:cs="Segoe UI"/>
          <w:b/>
          <w:bCs/>
          <w:szCs w:val="22"/>
          <w:lang w:val="sk-SK" w:eastAsia="de-DE"/>
        </w:rPr>
      </w:pPr>
      <w:r>
        <w:rPr>
          <w:rFonts w:cs="Segoe UI"/>
          <w:b/>
          <w:bCs/>
          <w:szCs w:val="22"/>
          <w:lang w:val="sk-SK" w:eastAsia="de-DE"/>
        </w:rPr>
        <w:t>Ďalší progres v rámci všetkých strategických prioritných oblastí</w:t>
      </w:r>
    </w:p>
    <w:p w14:paraId="1BE09263" w14:textId="77777777" w:rsidR="008032DA" w:rsidRPr="00DB60D8" w:rsidRDefault="008032DA" w:rsidP="008032DA">
      <w:pPr>
        <w:autoSpaceDE w:val="0"/>
        <w:autoSpaceDN w:val="0"/>
        <w:adjustRightInd w:val="0"/>
        <w:spacing w:before="100" w:beforeAutospacing="1" w:after="100" w:afterAutospacing="1" w:line="278" w:lineRule="auto"/>
        <w:rPr>
          <w:rFonts w:cs="Segoe UI"/>
          <w:bCs/>
          <w:szCs w:val="22"/>
          <w:lang w:val="sk-SK"/>
        </w:rPr>
      </w:pPr>
      <w:r>
        <w:rPr>
          <w:rFonts w:cs="Segoe UI"/>
          <w:bCs/>
          <w:szCs w:val="22"/>
          <w:lang w:val="sk-SK"/>
        </w:rPr>
        <w:t>Napriek náročným makroekonomickým a geopolitickým podmienkam spoločnosť Henkel pokračovala v konzistentnej implementácii svojej stratégie rastu v uplynulom finančnom roku a zaznamenala významný pokrok vo všetkých oblastiach.</w:t>
      </w:r>
      <w:r w:rsidRPr="00DB60D8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/>
        </w:rPr>
        <w:t xml:space="preserve">Spoločnosť ďalej rozvíjala svoje podnikateľské aktivity a portfólio značiek, zvýšila svoju konkurencieschopnosť v oblasti </w:t>
      </w:r>
      <w:r>
        <w:rPr>
          <w:rFonts w:cs="Segoe UI"/>
          <w:bCs/>
          <w:szCs w:val="22"/>
          <w:lang w:val="sk-SK"/>
        </w:rPr>
        <w:lastRenderedPageBreak/>
        <w:t xml:space="preserve">inovácií, trvalej udržateľnosti a digitalizácie, optimalizovala svoje prevádzkové modely a posilnila firemnú kultúru. </w:t>
      </w:r>
    </w:p>
    <w:p w14:paraId="2A4028D1" w14:textId="77777777" w:rsidR="008032DA" w:rsidRPr="00DB60D8" w:rsidRDefault="008032DA" w:rsidP="008032DA">
      <w:pPr>
        <w:autoSpaceDE w:val="0"/>
        <w:autoSpaceDN w:val="0"/>
        <w:adjustRightInd w:val="0"/>
        <w:spacing w:before="100" w:beforeAutospacing="1" w:after="100" w:afterAutospacing="1" w:line="278" w:lineRule="auto"/>
        <w:rPr>
          <w:rFonts w:cs="Segoe UI"/>
          <w:bCs/>
          <w:szCs w:val="22"/>
          <w:lang w:val="sk-SK"/>
        </w:rPr>
      </w:pPr>
      <w:r>
        <w:rPr>
          <w:rFonts w:cs="Segoe UI"/>
          <w:bCs/>
          <w:szCs w:val="22"/>
          <w:lang w:val="sk-SK"/>
        </w:rPr>
        <w:t xml:space="preserve">V rámci </w:t>
      </w:r>
      <w:r>
        <w:rPr>
          <w:rFonts w:cs="Segoe UI"/>
          <w:b/>
          <w:bCs/>
          <w:szCs w:val="22"/>
          <w:lang w:val="sk-SK"/>
        </w:rPr>
        <w:t>aktívneho riadenia svojho portfólia</w:t>
      </w:r>
      <w:r>
        <w:rPr>
          <w:rFonts w:cs="Segoe UI"/>
          <w:bCs/>
          <w:szCs w:val="22"/>
          <w:lang w:val="sk-SK"/>
        </w:rPr>
        <w:t xml:space="preserve"> spoločnosť Henkel pokračovala v jeho posilňovaní ukončením či odpredajom niektorých podnikateľských činností, ako aj prostredníctvom akvizícií.</w:t>
      </w:r>
      <w:r w:rsidRPr="00DB60D8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/>
        </w:rPr>
        <w:t>Opatrenia v oblasti portfólia bol zavŕšené predajom divízie Retailer Brands v Severnej Amerike začiatkom tohto roka.</w:t>
      </w:r>
      <w:r w:rsidRPr="00DB60D8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/>
        </w:rPr>
        <w:t>Uvedené opatrenia boli oznámené spolu so začiatkom fúzie spotrebiteľských divízií, ktoré dovtedy fungovali samostatne.</w:t>
      </w:r>
      <w:r w:rsidRPr="00DB60D8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/>
        </w:rPr>
        <w:t>V rámci obchodnej divízie Consumer Brands bol segment Retailer Brands považovaný za vedľajšiu činnosť vzhľadom na obmedzené možnosti synergie a budúce strategické postavenie vo vzťahu k integrovanej platforme Consumer Brands.</w:t>
      </w:r>
      <w:r w:rsidRPr="00DB60D8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/>
        </w:rPr>
        <w:t>Spolu s touto transakciou spoločnosť Henkel od začiatku roka 2022 odpredala resp. ukončila značky alebo činnosti s celkovým obratom, ktorý mierne presahoval jednu miliardu eur.</w:t>
      </w:r>
    </w:p>
    <w:p w14:paraId="668E4544" w14:textId="77777777" w:rsidR="008032DA" w:rsidRPr="00DB60D8" w:rsidRDefault="008032DA" w:rsidP="008032DA">
      <w:pPr>
        <w:autoSpaceDE w:val="0"/>
        <w:autoSpaceDN w:val="0"/>
        <w:adjustRightInd w:val="0"/>
        <w:spacing w:before="100" w:beforeAutospacing="1" w:after="100" w:afterAutospacing="1" w:line="278" w:lineRule="auto"/>
        <w:rPr>
          <w:rFonts w:cs="Segoe UI"/>
          <w:bCs/>
          <w:szCs w:val="22"/>
          <w:lang w:val="sk-SK"/>
        </w:rPr>
      </w:pPr>
      <w:r>
        <w:rPr>
          <w:rFonts w:cs="Segoe UI"/>
          <w:bCs/>
          <w:szCs w:val="22"/>
          <w:lang w:val="sk-SK"/>
        </w:rPr>
        <w:t xml:space="preserve">K aktívnemu riadeniu portfólia patrí aj jeho posilňovanie a rozširovanie prostredníctvom </w:t>
      </w:r>
      <w:r>
        <w:rPr>
          <w:rFonts w:cs="Segoe UI"/>
          <w:b/>
          <w:bCs/>
          <w:szCs w:val="22"/>
          <w:lang w:val="sk-SK"/>
        </w:rPr>
        <w:t>akvizícií</w:t>
      </w:r>
      <w:r>
        <w:rPr>
          <w:rFonts w:cs="Segoe UI"/>
          <w:bCs/>
          <w:szCs w:val="22"/>
          <w:lang w:val="sk-SK"/>
        </w:rPr>
        <w:t>: začiatkom roka 2024 spoločnosť Henkel prevzala známu značku vlasovej kozmetiky Vidal Sassoon na čínskom trhu.</w:t>
      </w:r>
      <w:r w:rsidRPr="00DB60D8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/>
        </w:rPr>
        <w:t>Táto akvizícia dokonale dopĺňa miestne portfólio divízie Consumer Brands v Číne v prémiovom segmente v rámci maloobchodu.</w:t>
      </w:r>
      <w:r w:rsidRPr="00DB60D8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/>
        </w:rPr>
        <w:t>Portfólio značky Vidal Sassoon sa svojimi šampónmi a kondicionérmi zaraďuje predovšetkým do segmentu prémiovej starostlivosti o vlasy, no ponúka aj produkty v kategórii stylingových vlasových prípravkov a vlasovej kozmetiky.</w:t>
      </w:r>
    </w:p>
    <w:p w14:paraId="6BA0C720" w14:textId="77777777" w:rsidR="008032DA" w:rsidRPr="00DB60D8" w:rsidRDefault="008032DA" w:rsidP="008032DA">
      <w:pPr>
        <w:autoSpaceDE w:val="0"/>
        <w:autoSpaceDN w:val="0"/>
        <w:adjustRightInd w:val="0"/>
        <w:spacing w:before="100" w:beforeAutospacing="1" w:after="100" w:afterAutospacing="1" w:line="278" w:lineRule="auto"/>
        <w:rPr>
          <w:rFonts w:cs="Segoe UI"/>
          <w:bCs/>
          <w:szCs w:val="22"/>
          <w:lang w:val="sk-SK"/>
        </w:rPr>
      </w:pPr>
      <w:r>
        <w:rPr>
          <w:rFonts w:cs="Segoe UI"/>
          <w:bCs/>
          <w:szCs w:val="22"/>
          <w:lang w:val="sk-SK"/>
        </w:rPr>
        <w:t>Spoločnosť Henkel investovala aj do akvizícií s cieľom rozšíriť svoje portfólio v rámci obchodnej divízie Adhesive Technologies, keď prevzala americkú spoločnosť Seal for Life Industries.</w:t>
      </w:r>
      <w:r w:rsidRPr="00DB60D8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/>
        </w:rPr>
        <w:t>Ide o dodávateľa ochranných povrchových náterov a tesniacich riešení pre infraštruktúru v odvetviach obnoviteľných zdrojov energie, plynárenského priemyslu a vodárenstva.</w:t>
      </w:r>
      <w:r w:rsidRPr="00DB60D8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/>
        </w:rPr>
        <w:t>Táto akvizícia dopĺňa kúpu spoločnosti Critica Infrastructure z roku 2023 ako špecializovaného dodávateľa riešení v oblasti údržby a opravy infraštruktúry a inžinierskych sietí.</w:t>
      </w:r>
      <w:r w:rsidRPr="00DB60D8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/>
        </w:rPr>
        <w:t>Týmito akvizíciami sme rozšírili naše existujúce portfólio v atraktívnom a sľubnom segmente údržby, opráv a generálnych opráv, čím sme zároveň vytvorili platformu pre ďalší rast.</w:t>
      </w:r>
    </w:p>
    <w:p w14:paraId="407CA551" w14:textId="77777777" w:rsidR="008032DA" w:rsidRPr="00DB60D8" w:rsidRDefault="008032DA" w:rsidP="008032DA">
      <w:pPr>
        <w:spacing w:before="100" w:beforeAutospacing="1" w:after="100" w:afterAutospacing="1" w:line="278" w:lineRule="auto"/>
        <w:rPr>
          <w:rFonts w:cs="Segoe UI"/>
          <w:bCs/>
          <w:szCs w:val="22"/>
          <w:lang w:val="sk-SK"/>
        </w:rPr>
      </w:pPr>
      <w:r>
        <w:rPr>
          <w:rFonts w:cs="Segoe UI"/>
          <w:bCs/>
          <w:szCs w:val="22"/>
          <w:lang w:val="sk-SK"/>
        </w:rPr>
        <w:t xml:space="preserve">V roku 2024 spoločnosť Henkel uviedla na trh množstvo </w:t>
      </w:r>
      <w:r>
        <w:rPr>
          <w:rFonts w:cs="Segoe UI"/>
          <w:b/>
          <w:bCs/>
          <w:szCs w:val="22"/>
          <w:lang w:val="sk-SK"/>
        </w:rPr>
        <w:t>inovácií</w:t>
      </w:r>
      <w:r>
        <w:rPr>
          <w:rFonts w:cs="Segoe UI"/>
          <w:bCs/>
          <w:szCs w:val="22"/>
          <w:lang w:val="sk-SK"/>
        </w:rPr>
        <w:t>, ktoré reagujú na dôležité trhové trendy a prinášajú pridanú hodnotou zákazníkom aj spotrebiteľom.</w:t>
      </w:r>
      <w:r w:rsidRPr="00DB60D8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/>
        </w:rPr>
        <w:t xml:space="preserve">V uplynulom roku bolo pre divíziu Adhesive Technologies v rámci jej centrály otvorené špičkové testovacie </w:t>
      </w:r>
      <w:r>
        <w:rPr>
          <w:rFonts w:cs="Segoe UI"/>
          <w:bCs/>
          <w:szCs w:val="22"/>
          <w:lang w:val="sk-SK"/>
        </w:rPr>
        <w:lastRenderedPageBreak/>
        <w:t>centrum pre batérie, ktoré je priamo prepojené s najväčším globálnym inovačným centrom, t. j. Inspiration Center Düsseldorf.</w:t>
      </w:r>
      <w:r w:rsidRPr="00DB60D8">
        <w:rPr>
          <w:rFonts w:cs="Segoe UI"/>
          <w:bCs/>
          <w:szCs w:val="22"/>
          <w:lang w:val="sk-SK"/>
        </w:rPr>
        <w:t xml:space="preserve"> </w:t>
      </w:r>
    </w:p>
    <w:p w14:paraId="6AF19DAD" w14:textId="77777777" w:rsidR="008032DA" w:rsidRPr="00DB60D8" w:rsidRDefault="008032DA" w:rsidP="008032DA">
      <w:pPr>
        <w:spacing w:before="100" w:beforeAutospacing="1" w:after="100" w:afterAutospacing="1" w:line="278" w:lineRule="auto"/>
        <w:rPr>
          <w:rFonts w:cs="Segoe UI"/>
          <w:bCs/>
          <w:szCs w:val="22"/>
          <w:lang w:val="sk-SK"/>
        </w:rPr>
      </w:pPr>
      <w:r>
        <w:rPr>
          <w:rFonts w:cs="Segoe UI"/>
          <w:bCs/>
          <w:szCs w:val="22"/>
          <w:lang w:val="sk-SK"/>
        </w:rPr>
        <w:t>Vďaka novému testovaciemu centru spoločnosť Henkel výrazne rozširuje svoje možnosti v segmente e-mobility a posilňuje svoju pozíciu popredného partnera v oblasti vývoja a inovácií pre výrobcov automobilov a batérií.</w:t>
      </w:r>
      <w:r w:rsidRPr="00DB60D8">
        <w:rPr>
          <w:rFonts w:cs="Segoe UI"/>
          <w:bCs/>
          <w:szCs w:val="22"/>
          <w:lang w:val="sk-SK"/>
        </w:rPr>
        <w:t xml:space="preserve"> </w:t>
      </w:r>
    </w:p>
    <w:p w14:paraId="37802A9E" w14:textId="77777777" w:rsidR="008032DA" w:rsidRPr="00DB60D8" w:rsidRDefault="008032DA" w:rsidP="008032DA">
      <w:pPr>
        <w:spacing w:before="100" w:beforeAutospacing="1" w:after="100" w:afterAutospacing="1" w:line="278" w:lineRule="auto"/>
        <w:rPr>
          <w:rFonts w:cs="Segoe UI"/>
          <w:bCs/>
          <w:szCs w:val="22"/>
          <w:lang w:val="sk-SK"/>
        </w:rPr>
      </w:pPr>
      <w:r>
        <w:rPr>
          <w:rFonts w:cs="Segoe UI"/>
          <w:bCs/>
          <w:szCs w:val="22"/>
          <w:lang w:val="sk-SK"/>
        </w:rPr>
        <w:t>Príkladom inovácie v divízii Consumer Brands je novo vyvinutá technológia pre značku Perwoll na báze enzýmov, ktorá nielen ošetrí textílie, ale pomáha zachovať aj farby.</w:t>
      </w:r>
      <w:r w:rsidRPr="00DB60D8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/>
        </w:rPr>
        <w:t>Na vláknach je obnovujúci efekt viditeľný už po desiatich praniach, čím sa predlžuje životnosť textílií.</w:t>
      </w:r>
    </w:p>
    <w:p w14:paraId="688FC2CB" w14:textId="632B35CA" w:rsidR="008032DA" w:rsidRPr="00DB60D8" w:rsidRDefault="008032DA" w:rsidP="008032DA">
      <w:pPr>
        <w:spacing w:before="100" w:beforeAutospacing="1" w:after="100" w:afterAutospacing="1" w:line="278" w:lineRule="auto"/>
        <w:rPr>
          <w:rFonts w:cs="Segoe UI"/>
          <w:bCs/>
          <w:szCs w:val="22"/>
          <w:lang w:val="pl-PL"/>
        </w:rPr>
      </w:pPr>
      <w:r>
        <w:rPr>
          <w:rFonts w:cs="Segoe UI"/>
          <w:bCs/>
          <w:szCs w:val="22"/>
          <w:lang w:val="sk-SK"/>
        </w:rPr>
        <w:t xml:space="preserve">Spoločnosť Henkel pokračovala aj v ďalšom upevňovaní princípov </w:t>
      </w:r>
      <w:r>
        <w:rPr>
          <w:rFonts w:cs="Segoe UI"/>
          <w:b/>
          <w:bCs/>
          <w:szCs w:val="22"/>
          <w:lang w:val="sk-SK"/>
        </w:rPr>
        <w:t>trvalej udržateľnosti</w:t>
      </w:r>
      <w:r>
        <w:rPr>
          <w:rFonts w:cs="Segoe UI"/>
          <w:bCs/>
          <w:szCs w:val="22"/>
          <w:lang w:val="sk-SK"/>
        </w:rPr>
        <w:t xml:space="preserve"> vo svojom podnikaní a posilnila svoj záväzok v tejto oblasti.</w:t>
      </w:r>
      <w:r w:rsidRPr="00DB60D8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/>
        </w:rPr>
        <w:t>Na tento účel bola vypracovaná cestovná mapa k nulovým čistým emisiám, ktorá obsahuje rozšírené ciele v oblasti znižovania emisií v rámci celého hodnotového reťazca.</w:t>
      </w:r>
      <w:r w:rsidRPr="00DB60D8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/>
        </w:rPr>
        <w:t>Týmto zámerom sa spoločnosť zaväzuje prispieť k obmedzeniu globálneho otepľovania na 1,5°C tak, ako sa uvádza v Parížskej dohode o zmene klímy.</w:t>
      </w:r>
      <w:r w:rsidRPr="00DB60D8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/>
        </w:rPr>
        <w:t>Cestovná mapa spoločnosti Henkel, ktorú potvrdila aj organizácia Science Based Targets Initiative, sumarizuje činnosti smerujúce k dosiahnutiu čistých nulových emisií skleníkových plynov do roku 2045.</w:t>
      </w:r>
      <w:r w:rsidRPr="00DB60D8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/>
        </w:rPr>
        <w:t>Patria k nim aj opatrenia v rámci celého hodnotového reťazca.</w:t>
      </w:r>
      <w:r w:rsidRPr="00DB60D8">
        <w:rPr>
          <w:rFonts w:cs="Segoe UI"/>
          <w:bCs/>
          <w:szCs w:val="22"/>
          <w:lang w:val="pl-PL"/>
        </w:rPr>
        <w:t xml:space="preserve"> </w:t>
      </w:r>
      <w:r>
        <w:rPr>
          <w:rFonts w:cs="Segoe UI"/>
          <w:bCs/>
          <w:szCs w:val="22"/>
          <w:lang w:val="sk-SK"/>
        </w:rPr>
        <w:t>Spomedzi obchodných spoločností kótovaných na nemeckom akciovom indexe DAX je Henkel prvou spoločnosťou, ktorá na celom svete zaviedla rodovo neutrálnu rodičovskú dovolenku s plnou náhradou mzdy.</w:t>
      </w:r>
      <w:r w:rsidRPr="00DB60D8">
        <w:rPr>
          <w:rFonts w:cs="Segoe UI"/>
          <w:bCs/>
          <w:szCs w:val="22"/>
          <w:lang w:val="pl-PL"/>
        </w:rPr>
        <w:t xml:space="preserve"> </w:t>
      </w:r>
      <w:r>
        <w:rPr>
          <w:rFonts w:cs="Segoe UI"/>
          <w:bCs/>
          <w:szCs w:val="22"/>
          <w:lang w:val="sk-SK"/>
        </w:rPr>
        <w:t>Tento krok sa stretol s veľmi pozitívnym ohlasom u zamestnancov aj verejnosti.</w:t>
      </w:r>
    </w:p>
    <w:p w14:paraId="603E0323" w14:textId="77777777" w:rsidR="008032DA" w:rsidRPr="00DB60D8" w:rsidRDefault="008032DA" w:rsidP="008032DA">
      <w:pPr>
        <w:spacing w:before="100" w:beforeAutospacing="1" w:after="100" w:afterAutospacing="1" w:line="278" w:lineRule="auto"/>
        <w:rPr>
          <w:rFonts w:cs="Segoe UI"/>
          <w:szCs w:val="22"/>
          <w:lang w:val="sk-SK" w:eastAsia="de-DE"/>
        </w:rPr>
      </w:pPr>
      <w:r>
        <w:rPr>
          <w:rFonts w:cs="Segoe UI"/>
          <w:szCs w:val="22"/>
          <w:lang w:val="sk-SK" w:eastAsia="de-DE"/>
        </w:rPr>
        <w:t xml:space="preserve">Spoločnosť dosiahla ďalší pokrok aj v oblasti </w:t>
      </w:r>
      <w:r>
        <w:rPr>
          <w:rFonts w:cs="Segoe UI"/>
          <w:b/>
          <w:szCs w:val="22"/>
          <w:lang w:val="sk-SK" w:eastAsia="de-DE"/>
        </w:rPr>
        <w:t>digitalizácie</w:t>
      </w:r>
      <w:r>
        <w:rPr>
          <w:rFonts w:cs="Segoe UI"/>
          <w:szCs w:val="22"/>
          <w:lang w:val="sk-SK" w:eastAsia="de-DE"/>
        </w:rPr>
        <w:t>.</w:t>
      </w:r>
      <w:r w:rsidRPr="00DB60D8">
        <w:rPr>
          <w:rFonts w:cs="Segoe UI"/>
          <w:szCs w:val="22"/>
          <w:lang w:val="pl-PL" w:eastAsia="de-DE"/>
        </w:rPr>
        <w:t xml:space="preserve"> </w:t>
      </w:r>
      <w:r>
        <w:rPr>
          <w:rFonts w:cs="Segoe UI"/>
          <w:szCs w:val="22"/>
          <w:lang w:val="sk-SK" w:eastAsia="de-DE"/>
        </w:rPr>
        <w:t>V roku 2024 bolo kľúčovou témou rýchle napredovanie v oblasti umelej inteligencie (AI).</w:t>
      </w:r>
      <w:r w:rsidRPr="00DB60D8">
        <w:rPr>
          <w:rFonts w:cs="Segoe UI"/>
          <w:szCs w:val="22"/>
          <w:lang w:val="pl-PL" w:eastAsia="de-DE"/>
        </w:rPr>
        <w:t xml:space="preserve"> </w:t>
      </w:r>
      <w:r>
        <w:rPr>
          <w:rFonts w:cs="Segoe UI"/>
          <w:szCs w:val="22"/>
          <w:lang w:val="sk-SK" w:eastAsia="de-DE"/>
        </w:rPr>
        <w:t>V spoločnosti Henkel je umelá inteligencia už niekoľko rokov neoddeliteľnou súčasťou našej digitálnej stratégie.</w:t>
      </w:r>
      <w:r w:rsidRPr="00DB60D8">
        <w:rPr>
          <w:rFonts w:cs="Segoe UI"/>
          <w:szCs w:val="22"/>
          <w:lang w:val="pl-PL" w:eastAsia="de-DE"/>
        </w:rPr>
        <w:t xml:space="preserve"> </w:t>
      </w:r>
      <w:r>
        <w:rPr>
          <w:rFonts w:cs="Segoe UI"/>
          <w:szCs w:val="22"/>
          <w:lang w:val="sk-SK" w:eastAsia="de-DE"/>
        </w:rPr>
        <w:t>Využíva sa napríklad pri automatizácii procesov, vo vývojovom laboratóriu lepidiel, vo virtuálne prepojených globálnych výrobných závodoch, v autonómnych robotoch vo výrobných zariadeniach a pri používaní chatbotov na webových stránkach značiek spoločnosti Henkel.</w:t>
      </w:r>
      <w:r w:rsidRPr="00DB60D8">
        <w:rPr>
          <w:rFonts w:cs="Segoe UI"/>
          <w:szCs w:val="22"/>
          <w:lang w:val="pl-PL" w:eastAsia="de-DE"/>
        </w:rPr>
        <w:t xml:space="preserve"> </w:t>
      </w:r>
      <w:r>
        <w:rPr>
          <w:rFonts w:cs="Segoe UI"/>
          <w:szCs w:val="22"/>
          <w:lang w:val="sk-SK" w:eastAsia="de-DE"/>
        </w:rPr>
        <w:t>V rámci digitálnej divízie „Henkel dx“ spoločnosť v roku 2024 pokračovala v optimalizácii svojich interných štruktúr, posilňovaní odborných digitálnych zručností a presadzovaní kultúry otvorených inovácií.</w:t>
      </w:r>
      <w:r w:rsidRPr="00DB60D8">
        <w:rPr>
          <w:rFonts w:cs="Segoe UI"/>
          <w:szCs w:val="22"/>
          <w:lang w:val="pl-PL" w:eastAsia="de-DE"/>
        </w:rPr>
        <w:t xml:space="preserve"> </w:t>
      </w:r>
      <w:r>
        <w:rPr>
          <w:rFonts w:cs="Segoe UI"/>
          <w:szCs w:val="22"/>
          <w:lang w:val="sk-SK" w:eastAsia="de-DE"/>
        </w:rPr>
        <w:t>Okrem toho profituje zo svojich strategických partnerstiev s poprednými globálnymi digitálnymi spoločnosťami, ako napr. SAP, Microsoft a Adobe.</w:t>
      </w:r>
      <w:r w:rsidRPr="00DB60D8">
        <w:rPr>
          <w:rFonts w:cs="Segoe UI"/>
          <w:szCs w:val="22"/>
          <w:lang w:val="sk-SK" w:eastAsia="de-DE"/>
        </w:rPr>
        <w:t xml:space="preserve"> </w:t>
      </w:r>
      <w:r>
        <w:rPr>
          <w:rFonts w:cs="Segoe UI"/>
          <w:szCs w:val="22"/>
          <w:lang w:val="sk-SK" w:eastAsia="de-DE"/>
        </w:rPr>
        <w:t>Táto spolupráca jej umožňuje integrovať špičkové technológie do svojich digitálnych platforiem a projektov.</w:t>
      </w:r>
      <w:r w:rsidRPr="00DB60D8">
        <w:rPr>
          <w:rFonts w:cs="Segoe UI"/>
          <w:szCs w:val="22"/>
          <w:lang w:val="sk-SK" w:eastAsia="de-DE"/>
        </w:rPr>
        <w:t xml:space="preserve"> </w:t>
      </w:r>
      <w:r>
        <w:rPr>
          <w:rFonts w:cs="Segoe UI"/>
          <w:szCs w:val="22"/>
          <w:lang w:val="sk-SK" w:eastAsia="de-DE"/>
        </w:rPr>
        <w:t xml:space="preserve">Zrýchleným zavádzaním digitálnych inovácií, zdokonaľovaním stratégie platforiem </w:t>
      </w:r>
      <w:r>
        <w:rPr>
          <w:rFonts w:cs="Segoe UI"/>
          <w:szCs w:val="22"/>
          <w:lang w:val="sk-SK" w:eastAsia="de-DE"/>
        </w:rPr>
        <w:lastRenderedPageBreak/>
        <w:t>a posilňovaním spolupráce všetkých obchodných divízií a funkcií bola spoločnosť Henkel schopná výrazne zlepšiť efektívne využívanie informačných technológií.</w:t>
      </w:r>
    </w:p>
    <w:p w14:paraId="362C2C42" w14:textId="77777777" w:rsidR="008032DA" w:rsidRPr="00DB60D8" w:rsidRDefault="008032DA" w:rsidP="008032DA">
      <w:pPr>
        <w:spacing w:before="100" w:beforeAutospacing="1" w:after="100" w:afterAutospacing="1" w:line="278" w:lineRule="auto"/>
        <w:rPr>
          <w:rFonts w:cs="Segoe UI"/>
          <w:szCs w:val="22"/>
          <w:lang w:val="pl-PL" w:eastAsia="de-DE"/>
        </w:rPr>
      </w:pPr>
      <w:r>
        <w:rPr>
          <w:rFonts w:cs="Segoe UI"/>
          <w:szCs w:val="22"/>
          <w:lang w:val="sk-SK" w:eastAsia="de-DE"/>
        </w:rPr>
        <w:t xml:space="preserve">Henkel v rámci svojej stratégie dlhodobého rastu neustále prispôsobuje svoje obchodné divízie požiadavkám dynamických trhov a meniacim sa očakávaniam zákazníkov v záujme dosiahnutia dlhodobej úspešnosti </w:t>
      </w:r>
      <w:r>
        <w:rPr>
          <w:rFonts w:cs="Segoe UI"/>
          <w:b/>
          <w:szCs w:val="22"/>
          <w:lang w:val="sk-SK" w:eastAsia="de-DE"/>
        </w:rPr>
        <w:t>prevádzkových modelov pripravených na budúcnosť</w:t>
      </w:r>
      <w:r>
        <w:rPr>
          <w:rFonts w:cs="Segoe UI"/>
          <w:szCs w:val="22"/>
          <w:lang w:val="sk-SK" w:eastAsia="de-DE"/>
        </w:rPr>
        <w:t>.</w:t>
      </w:r>
      <w:r w:rsidRPr="00DB60D8">
        <w:rPr>
          <w:rFonts w:cs="Segoe UI"/>
          <w:szCs w:val="22"/>
          <w:lang w:val="sk-SK" w:eastAsia="de-DE"/>
        </w:rPr>
        <w:t xml:space="preserve"> </w:t>
      </w:r>
      <w:r>
        <w:rPr>
          <w:rFonts w:cs="Segoe UI"/>
          <w:szCs w:val="22"/>
          <w:lang w:val="sk-SK" w:eastAsia="de-DE"/>
        </w:rPr>
        <w:t>K tomu patrí aj neustále zlepšovanie obchodných procesov v rámci celej spoločnosti.</w:t>
      </w:r>
      <w:r w:rsidRPr="00DB60D8">
        <w:rPr>
          <w:rFonts w:cs="Segoe UI"/>
          <w:szCs w:val="22"/>
          <w:lang w:val="pl-PL" w:eastAsia="de-DE"/>
        </w:rPr>
        <w:t xml:space="preserve"> </w:t>
      </w:r>
    </w:p>
    <w:p w14:paraId="4B961960" w14:textId="77777777" w:rsidR="008032DA" w:rsidRPr="00DB60D8" w:rsidRDefault="008032DA" w:rsidP="008032DA">
      <w:pPr>
        <w:spacing w:before="100" w:beforeAutospacing="1" w:after="100" w:afterAutospacing="1" w:line="278" w:lineRule="auto"/>
        <w:rPr>
          <w:rFonts w:cs="Segoe UI"/>
          <w:szCs w:val="22"/>
          <w:lang w:val="pl-PL" w:eastAsia="de-DE"/>
        </w:rPr>
      </w:pPr>
      <w:r>
        <w:rPr>
          <w:rFonts w:cs="Segoe UI"/>
          <w:szCs w:val="22"/>
          <w:lang w:val="sk-SK" w:eastAsia="de-DE"/>
        </w:rPr>
        <w:t>Jedným z príkladov je aj zriadenie globálneho technologického centra v Bangalúre v Indii, kde už v súčasnosti pracuje na vytvorení plne integrovaného interného digitálneho centra viac než 500 IT odborníkov.</w:t>
      </w:r>
      <w:r w:rsidRPr="00DC2BD7">
        <w:rPr>
          <w:rFonts w:cs="Segoe UI"/>
          <w:szCs w:val="22"/>
          <w:lang w:val="sk-SK" w:eastAsia="de-DE"/>
        </w:rPr>
        <w:t xml:space="preserve"> </w:t>
      </w:r>
      <w:r>
        <w:rPr>
          <w:rFonts w:cs="Segoe UI"/>
          <w:szCs w:val="22"/>
          <w:lang w:val="sk-SK" w:eastAsia="de-DE"/>
        </w:rPr>
        <w:t>Spoločnosť Henkel tak zlepšuje nákladovú efektívnosť a rozširuje svoje interné odborné znalosti.</w:t>
      </w:r>
      <w:r w:rsidRPr="008032DA">
        <w:rPr>
          <w:rFonts w:cs="Segoe UI"/>
          <w:szCs w:val="22"/>
          <w:lang w:val="sk-SK" w:eastAsia="de-DE"/>
        </w:rPr>
        <w:t xml:space="preserve"> </w:t>
      </w:r>
      <w:r>
        <w:rPr>
          <w:rFonts w:cs="Segoe UI"/>
          <w:szCs w:val="22"/>
          <w:lang w:val="sk-SK" w:eastAsia="de-DE"/>
        </w:rPr>
        <w:t>V najbližších rokoch sa plánuje ďalšie rozšírenie technologického centra.</w:t>
      </w:r>
      <w:r w:rsidRPr="008032DA">
        <w:rPr>
          <w:rFonts w:cs="Segoe UI"/>
          <w:szCs w:val="22"/>
          <w:lang w:val="sk-SK" w:eastAsia="de-DE"/>
        </w:rPr>
        <w:t xml:space="preserve"> </w:t>
      </w:r>
      <w:r>
        <w:rPr>
          <w:rFonts w:cs="Segoe UI"/>
          <w:szCs w:val="22"/>
          <w:lang w:val="sk-SK" w:eastAsia="de-DE"/>
        </w:rPr>
        <w:t>Spoločnosť Henkel takisto sústredila svoje investičné aktivity pod jednu strechu.</w:t>
      </w:r>
      <w:r w:rsidRPr="008032DA">
        <w:rPr>
          <w:rFonts w:cs="Segoe UI"/>
          <w:szCs w:val="22"/>
          <w:lang w:val="sk-SK" w:eastAsia="de-DE"/>
        </w:rPr>
        <w:t xml:space="preserve"> </w:t>
      </w:r>
      <w:r>
        <w:rPr>
          <w:rFonts w:cs="Segoe UI"/>
          <w:szCs w:val="22"/>
          <w:lang w:val="sk-SK" w:eastAsia="de-DE"/>
        </w:rPr>
        <w:t>V rámci prechodu na systém S/4Hana v rokoch 2025 až 2028 sa budú posudzovať možnosti zlepšenia agilnosti a flexibility štruktúr a procesov spoločnosti.</w:t>
      </w:r>
      <w:r w:rsidRPr="008032DA">
        <w:rPr>
          <w:rFonts w:cs="Segoe UI"/>
          <w:szCs w:val="22"/>
          <w:lang w:val="sk-SK" w:eastAsia="de-DE"/>
        </w:rPr>
        <w:t xml:space="preserve"> </w:t>
      </w:r>
      <w:r>
        <w:rPr>
          <w:rFonts w:cs="Segoe UI"/>
          <w:szCs w:val="22"/>
          <w:lang w:val="sk-SK" w:eastAsia="de-DE"/>
        </w:rPr>
        <w:t>V tejto súvislosti sa napríklad zvažuje založenie samostatných právnych subjektov pre dve existujúce obchodné divízie najprv v Nemecku a neskôr prípadne aj vo vybraných veľkých krajinách.</w:t>
      </w:r>
      <w:r w:rsidRPr="008032DA">
        <w:rPr>
          <w:rFonts w:cs="Segoe UI"/>
          <w:szCs w:val="22"/>
          <w:lang w:val="sk-SK" w:eastAsia="de-DE"/>
        </w:rPr>
        <w:t xml:space="preserve"> </w:t>
      </w:r>
      <w:r>
        <w:rPr>
          <w:rFonts w:cs="Segoe UI"/>
          <w:szCs w:val="22"/>
          <w:lang w:val="sk-SK" w:eastAsia="de-DE"/>
        </w:rPr>
        <w:t>Strategické a prevádzkové riadenie skupiny a jej divízií zostáva nezmenené.</w:t>
      </w:r>
      <w:r w:rsidRPr="00DB60D8">
        <w:rPr>
          <w:rFonts w:cs="Segoe UI"/>
          <w:szCs w:val="22"/>
          <w:lang w:val="pl-PL" w:eastAsia="de-DE"/>
        </w:rPr>
        <w:t xml:space="preserve"> </w:t>
      </w:r>
      <w:r>
        <w:rPr>
          <w:rFonts w:cs="Segoe UI"/>
          <w:szCs w:val="22"/>
          <w:lang w:val="sk-SK" w:eastAsia="de-DE"/>
        </w:rPr>
        <w:t>Zámerom je podporiť budúce potreby divízií, ako aj agendu rastu spoločnosti Henkel.</w:t>
      </w:r>
    </w:p>
    <w:p w14:paraId="4D274377" w14:textId="77777777" w:rsidR="008032DA" w:rsidRPr="00DB60D8" w:rsidRDefault="008032DA" w:rsidP="008032DA">
      <w:pPr>
        <w:spacing w:before="100" w:beforeAutospacing="1" w:after="100" w:afterAutospacing="1" w:line="278" w:lineRule="auto"/>
        <w:rPr>
          <w:rFonts w:cs="Segoe UI"/>
          <w:szCs w:val="22"/>
          <w:lang w:val="pl-PL" w:eastAsia="de-DE"/>
        </w:rPr>
      </w:pPr>
      <w:r>
        <w:rPr>
          <w:rFonts w:cs="Segoe UI"/>
          <w:szCs w:val="22"/>
          <w:lang w:val="sk-SK" w:eastAsia="de-DE"/>
        </w:rPr>
        <w:t xml:space="preserve">V uplynulom roku spoločnosť Henkel naďalej posilňovala svoju </w:t>
      </w:r>
      <w:r>
        <w:rPr>
          <w:rFonts w:cs="Segoe UI"/>
          <w:b/>
          <w:szCs w:val="22"/>
          <w:lang w:val="sk-SK" w:eastAsia="de-DE"/>
        </w:rPr>
        <w:t>firemnú</w:t>
      </w:r>
      <w:r>
        <w:rPr>
          <w:rFonts w:cs="Segoe UI"/>
          <w:szCs w:val="22"/>
          <w:lang w:val="sk-SK" w:eastAsia="de-DE"/>
        </w:rPr>
        <w:t xml:space="preserve"> </w:t>
      </w:r>
      <w:r>
        <w:rPr>
          <w:rFonts w:cs="Segoe UI"/>
          <w:b/>
          <w:szCs w:val="22"/>
          <w:lang w:val="sk-SK" w:eastAsia="de-DE"/>
        </w:rPr>
        <w:t>kultúru</w:t>
      </w:r>
      <w:r>
        <w:rPr>
          <w:rFonts w:cs="Segoe UI"/>
          <w:szCs w:val="22"/>
          <w:lang w:val="sk-SK" w:eastAsia="de-DE"/>
        </w:rPr>
        <w:t>.</w:t>
      </w:r>
      <w:r w:rsidRPr="00DB60D8">
        <w:rPr>
          <w:rFonts w:cs="Segoe UI"/>
          <w:szCs w:val="22"/>
          <w:lang w:val="pl-PL" w:eastAsia="de-DE"/>
        </w:rPr>
        <w:t xml:space="preserve"> </w:t>
      </w:r>
      <w:r>
        <w:rPr>
          <w:rFonts w:cs="Segoe UI"/>
          <w:szCs w:val="22"/>
          <w:lang w:val="sk-SK" w:eastAsia="de-DE"/>
        </w:rPr>
        <w:t>Iniciatíva Accelerate Cultural Transformation (ACT), ktorá bola spustená v roku 2023, úspešne pokračovala v rámci celej globálnej organizácie.</w:t>
      </w:r>
      <w:r w:rsidRPr="00DB60D8">
        <w:rPr>
          <w:rFonts w:cs="Segoe UI"/>
          <w:szCs w:val="22"/>
          <w:lang w:val="pl-PL" w:eastAsia="de-DE"/>
        </w:rPr>
        <w:t xml:space="preserve"> </w:t>
      </w:r>
      <w:r>
        <w:rPr>
          <w:rFonts w:cs="Segoe UI"/>
          <w:szCs w:val="22"/>
          <w:lang w:val="sk-SK" w:eastAsia="de-DE"/>
        </w:rPr>
        <w:t>Táto iniciatíva podporuje hlbší dialóg a silnejšie prepojenie v rámci tímov.</w:t>
      </w:r>
      <w:r w:rsidRPr="00DB60D8">
        <w:rPr>
          <w:rFonts w:cs="Segoe UI"/>
          <w:szCs w:val="22"/>
          <w:lang w:val="pl-PL" w:eastAsia="de-DE"/>
        </w:rPr>
        <w:t xml:space="preserve"> </w:t>
      </w:r>
      <w:r>
        <w:rPr>
          <w:rFonts w:cs="Segoe UI"/>
          <w:szCs w:val="22"/>
          <w:lang w:val="sk-SK" w:eastAsia="de-DE"/>
        </w:rPr>
        <w:t>Minulý rok sa iniciatíva ACT zamerala na poskytovanie konštruktívnej spätnej väzby a následnú otvorenú diskusiu.</w:t>
      </w:r>
      <w:r w:rsidRPr="00DB60D8">
        <w:rPr>
          <w:rFonts w:cs="Segoe UI"/>
          <w:szCs w:val="22"/>
          <w:lang w:val="pl-PL" w:eastAsia="de-DE"/>
        </w:rPr>
        <w:t xml:space="preserve"> </w:t>
      </w:r>
      <w:r>
        <w:rPr>
          <w:rFonts w:cs="Segoe UI"/>
          <w:szCs w:val="22"/>
          <w:lang w:val="sk-SK" w:eastAsia="de-DE"/>
        </w:rPr>
        <w:t>Kultúra spolupráce je úzko prepojená s podporou rozmanitosti, rovnosti a inklúzie.</w:t>
      </w:r>
      <w:r w:rsidRPr="00DB60D8">
        <w:rPr>
          <w:rFonts w:cs="Segoe UI"/>
          <w:szCs w:val="22"/>
          <w:lang w:val="pl-PL" w:eastAsia="de-DE"/>
        </w:rPr>
        <w:t xml:space="preserve"> </w:t>
      </w:r>
      <w:r>
        <w:rPr>
          <w:rFonts w:cs="Segoe UI"/>
          <w:szCs w:val="22"/>
          <w:lang w:val="sk-SK" w:eastAsia="de-DE"/>
        </w:rPr>
        <w:t>V záujme ďalšieho posilňovania rozmanitosti sa spoločnosť Henkel riadi stratégiou, ktorá stojí na troch pilieroch: prvým je zvyšovanie povedomia prostredníctvom rôznych formátov, ako sú kampane a podujatia.</w:t>
      </w:r>
      <w:r w:rsidRPr="00DB60D8">
        <w:rPr>
          <w:rFonts w:cs="Segoe UI"/>
          <w:szCs w:val="22"/>
          <w:lang w:val="pl-PL" w:eastAsia="de-DE"/>
        </w:rPr>
        <w:t xml:space="preserve"> </w:t>
      </w:r>
      <w:r>
        <w:rPr>
          <w:rFonts w:cs="Segoe UI"/>
          <w:szCs w:val="22"/>
          <w:lang w:val="sk-SK" w:eastAsia="de-DE"/>
        </w:rPr>
        <w:t>Druhým pilierom je posilnenie inkluzívneho správania prostredníctvom vzdelávacích programov pre riadiacich pracovníkov a zamestnancov.</w:t>
      </w:r>
      <w:r w:rsidRPr="00DB60D8">
        <w:rPr>
          <w:rFonts w:cs="Segoe UI"/>
          <w:szCs w:val="22"/>
          <w:lang w:val="pl-PL" w:eastAsia="de-DE"/>
        </w:rPr>
        <w:t xml:space="preserve"> </w:t>
      </w:r>
      <w:r>
        <w:rPr>
          <w:rFonts w:cs="Segoe UI"/>
          <w:szCs w:val="22"/>
          <w:lang w:val="sk-SK" w:eastAsia="de-DE"/>
        </w:rPr>
        <w:t>A tretí pilier pozostáva z neustáleho zlepšovania štrukturálnych podmienok, ako napr. ponukou programov, ktoré podporujú rovnováhu medzi pracovným a súkromným životom, pri súčasnom odstraňovaní štrukturálnych prekážok.</w:t>
      </w:r>
    </w:p>
    <w:p w14:paraId="1187E60F" w14:textId="77777777" w:rsidR="008032DA" w:rsidRPr="00DB60D8" w:rsidRDefault="008032DA" w:rsidP="008032DA">
      <w:pPr>
        <w:spacing w:before="100" w:beforeAutospacing="1" w:after="100" w:afterAutospacing="1" w:line="278" w:lineRule="auto"/>
        <w:rPr>
          <w:rFonts w:cs="Segoe UI"/>
          <w:szCs w:val="22"/>
          <w:lang w:val="pl-PL" w:eastAsia="de-DE"/>
        </w:rPr>
      </w:pPr>
      <w:r>
        <w:rPr>
          <w:rFonts w:cs="Segoe UI"/>
          <w:szCs w:val="22"/>
          <w:lang w:val="sk-SK" w:eastAsia="de-DE"/>
        </w:rPr>
        <w:lastRenderedPageBreak/>
        <w:t>Jedným z cieľov spoločnosti Henkel je dosiahnuť rodovú rovnosť na všetkých úrovniach riadenia do konca roku 2025.</w:t>
      </w:r>
      <w:r w:rsidRPr="00DB60D8">
        <w:rPr>
          <w:rFonts w:cs="Segoe UI"/>
          <w:szCs w:val="22"/>
          <w:lang w:val="pl-PL" w:eastAsia="de-DE"/>
        </w:rPr>
        <w:t xml:space="preserve"> </w:t>
      </w:r>
      <w:r>
        <w:rPr>
          <w:rFonts w:cs="Segoe UI"/>
          <w:szCs w:val="22"/>
          <w:lang w:val="sk-SK" w:eastAsia="de-DE"/>
        </w:rPr>
        <w:t>V súčasnosti približne 42 % riadiacich pozícií v spoločnosti Henkel na celom svete zastávajú ženy.</w:t>
      </w:r>
    </w:p>
    <w:p w14:paraId="596ADD03" w14:textId="77777777" w:rsidR="008032DA" w:rsidRPr="008032DA" w:rsidRDefault="008032DA" w:rsidP="008032DA">
      <w:pPr>
        <w:spacing w:before="100" w:beforeAutospacing="1" w:after="100" w:afterAutospacing="1" w:line="240" w:lineRule="auto"/>
        <w:rPr>
          <w:rFonts w:cs="Segoe UI"/>
          <w:b/>
          <w:bCs/>
          <w:szCs w:val="22"/>
          <w:lang w:eastAsia="de-DE"/>
        </w:rPr>
      </w:pPr>
      <w:r>
        <w:rPr>
          <w:rFonts w:cs="Segoe UI"/>
          <w:szCs w:val="22"/>
          <w:lang w:val="sk-SK" w:eastAsia="de-DE"/>
        </w:rPr>
        <w:t>„Fiškálny rok 2024 bol pre spoločnosť Henkel veľmi úspešný a významný.</w:t>
      </w:r>
      <w:r w:rsidRPr="008032DA">
        <w:rPr>
          <w:rFonts w:cs="Segoe UI"/>
          <w:szCs w:val="22"/>
          <w:lang w:val="sk-SK" w:eastAsia="de-DE"/>
        </w:rPr>
        <w:t xml:space="preserve"> </w:t>
      </w:r>
      <w:r>
        <w:rPr>
          <w:rFonts w:cs="Segoe UI"/>
          <w:szCs w:val="22"/>
          <w:lang w:val="sk-SK" w:eastAsia="de-DE"/>
        </w:rPr>
        <w:t>Dosiahli sme naše finančné ciele, ktoré sme v priebehu roka zvýšili dvakrát.</w:t>
      </w:r>
      <w:r w:rsidRPr="008032DA">
        <w:rPr>
          <w:rFonts w:cs="Segoe UI"/>
          <w:szCs w:val="22"/>
          <w:lang w:val="sk-SK" w:eastAsia="de-DE"/>
        </w:rPr>
        <w:t xml:space="preserve"> </w:t>
      </w:r>
      <w:r>
        <w:rPr>
          <w:rFonts w:cs="Segoe UI"/>
          <w:szCs w:val="22"/>
          <w:lang w:val="sk-SK" w:eastAsia="de-DE"/>
        </w:rPr>
        <w:t>Dôsledne sme implementovali našu agendu zmysluplného rastu vo všetkých strategických dimenziách a s odhodlaním sme napredovali v našej úspešnej transformácii.</w:t>
      </w:r>
      <w:r w:rsidRPr="008032DA">
        <w:rPr>
          <w:rFonts w:cs="Segoe UI"/>
          <w:szCs w:val="22"/>
          <w:lang w:val="sk-SK" w:eastAsia="de-DE"/>
        </w:rPr>
        <w:t xml:space="preserve"> </w:t>
      </w:r>
      <w:r>
        <w:rPr>
          <w:rFonts w:cs="Segoe UI"/>
          <w:szCs w:val="22"/>
          <w:lang w:val="sk-SK" w:eastAsia="de-DE"/>
        </w:rPr>
        <w:t>Sme na správnej ceste a transformácia našej spoločnosti prináša hmatateľné výsledky.</w:t>
      </w:r>
      <w:r w:rsidRPr="008032DA">
        <w:rPr>
          <w:rFonts w:cs="Segoe UI"/>
          <w:szCs w:val="22"/>
          <w:lang w:val="sk-SK" w:eastAsia="de-DE"/>
        </w:rPr>
        <w:t xml:space="preserve"> </w:t>
      </w:r>
      <w:r>
        <w:rPr>
          <w:rFonts w:cs="Segoe UI"/>
          <w:szCs w:val="22"/>
          <w:lang w:val="sk-SK" w:eastAsia="de-DE"/>
        </w:rPr>
        <w:t>Máme jasnú stratégiu, silný tím a jedinečnú firemnú kultúru, a preto sme dobre pripravení na budúcnosť," zhrnul Carsten Knobel.</w:t>
      </w:r>
    </w:p>
    <w:p w14:paraId="3411FCC1" w14:textId="24475CC2" w:rsidR="00D06825" w:rsidRPr="00E628C2" w:rsidRDefault="004002DD" w:rsidP="004002DD">
      <w:pPr>
        <w:rPr>
          <w:rStyle w:val="AboutandContactHeadline"/>
          <w:lang w:val="sk-SK"/>
        </w:rPr>
      </w:pPr>
      <w:r w:rsidRPr="00E628C2">
        <w:rPr>
          <w:rStyle w:val="AboutandContactHeadline"/>
          <w:lang w:val="sk-SK" w:bidi="bo-CN"/>
        </w:rPr>
        <w:t>O spoločnosti Henkel</w:t>
      </w:r>
    </w:p>
    <w:p w14:paraId="6800F443" w14:textId="0B385590" w:rsidR="00BF605A" w:rsidRPr="00E628C2" w:rsidRDefault="00BF605A" w:rsidP="00BF605A">
      <w:pPr>
        <w:rPr>
          <w:rStyle w:val="AboutandContactHeadline"/>
          <w:b w:val="0"/>
          <w:bCs w:val="0"/>
          <w:lang w:val="sk-SK"/>
        </w:rPr>
      </w:pPr>
      <w:r w:rsidRPr="00E628C2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>Obchodná divízia Adhesive Technologies je globálnym lídrom na trhu so spojovacími a lepiacimi materiálmi</w:t>
      </w:r>
      <w:r w:rsidR="00261EB4">
        <w:rPr>
          <w:rStyle w:val="AboutandContactBody"/>
          <w:lang w:val="sk-SK" w:bidi="bo-CN"/>
        </w:rPr>
        <w:t>, tmelmi</w:t>
      </w:r>
      <w:r w:rsidRPr="00E628C2">
        <w:rPr>
          <w:rStyle w:val="AboutandContactBody"/>
          <w:lang w:val="sk-SK" w:bidi="bo-CN"/>
        </w:rPr>
        <w:t xml:space="preserve"> a funkčnými nátermi.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>Obchodná divízia Consumer Brands sa drží na popredných miestach na mnohých svetových trhoch predovšetkým v segmentoch vlasovej kozmetiky a pracích a čistiacich prostriedkov pre domácnosť.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>Medzi tri najsilnejšie značky spoločnosti patria Loctite, Persil a Schwarzkopf.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>Vo finančnom roku 202</w:t>
      </w:r>
      <w:r w:rsidR="002F65A6">
        <w:rPr>
          <w:rStyle w:val="AboutandContactBody"/>
          <w:lang w:val="sk-SK" w:bidi="bo-CN"/>
        </w:rPr>
        <w:t>4</w:t>
      </w:r>
      <w:r w:rsidRPr="00E628C2">
        <w:rPr>
          <w:rStyle w:val="AboutandContactBody"/>
          <w:lang w:val="sk-SK" w:bidi="bo-CN"/>
        </w:rPr>
        <w:t xml:space="preserve"> vykázala spoločnosť Henkel obrat vo výške viac než 2</w:t>
      </w:r>
      <w:r w:rsidR="00BE74BB" w:rsidRPr="00E628C2">
        <w:rPr>
          <w:rStyle w:val="AboutandContactBody"/>
          <w:lang w:val="sk-SK" w:bidi="bo-CN"/>
        </w:rPr>
        <w:t>1,</w:t>
      </w:r>
      <w:r w:rsidR="008C4310">
        <w:rPr>
          <w:rStyle w:val="AboutandContactBody"/>
          <w:lang w:val="sk-SK" w:bidi="bo-CN"/>
        </w:rPr>
        <w:t>6</w:t>
      </w:r>
      <w:r w:rsidRPr="00E628C2">
        <w:rPr>
          <w:rStyle w:val="AboutandContactBody"/>
          <w:lang w:val="sk-SK" w:bidi="bo-CN"/>
        </w:rPr>
        <w:t xml:space="preserve"> mld. eur a upravený prevádzkový zisk približne vo výške </w:t>
      </w:r>
      <w:r w:rsidR="008C4310">
        <w:rPr>
          <w:rStyle w:val="AboutandContactBody"/>
          <w:lang w:val="sk-SK" w:bidi="bo-CN"/>
        </w:rPr>
        <w:t>3</w:t>
      </w:r>
      <w:r w:rsidRPr="00E628C2">
        <w:rPr>
          <w:rStyle w:val="AboutandContactBody"/>
          <w:lang w:val="sk-SK" w:bidi="bo-CN"/>
        </w:rPr>
        <w:t>,</w:t>
      </w:r>
      <w:r w:rsidR="008C4310">
        <w:rPr>
          <w:rStyle w:val="AboutandContactBody"/>
          <w:lang w:val="sk-SK" w:bidi="bo-CN"/>
        </w:rPr>
        <w:t>1</w:t>
      </w:r>
      <w:r w:rsidRPr="00E628C2">
        <w:rPr>
          <w:rStyle w:val="AboutandContactBody"/>
          <w:lang w:val="sk-SK" w:bidi="bo-CN"/>
        </w:rPr>
        <w:t xml:space="preserve"> mld. eur.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>Prioritné akcie spoločnosti Henkel sú kótované na nemeckom akciovom indexe DAX.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 xml:space="preserve">Spoločnosť Henkel bola založená v roku 1876 a dnes celosvetovo zamestnáva </w:t>
      </w:r>
      <w:r w:rsidR="002B24B9" w:rsidRPr="00E628C2">
        <w:rPr>
          <w:rStyle w:val="AboutandContactBody"/>
          <w:lang w:val="sk-SK" w:bidi="bo-CN"/>
        </w:rPr>
        <w:t xml:space="preserve">približne </w:t>
      </w:r>
      <w:r w:rsidR="00BE74BB" w:rsidRPr="00E628C2">
        <w:rPr>
          <w:rStyle w:val="AboutandContactBody"/>
          <w:lang w:val="sk-SK" w:bidi="bo-CN"/>
        </w:rPr>
        <w:t>48</w:t>
      </w:r>
      <w:r w:rsidRPr="00E628C2">
        <w:rPr>
          <w:rStyle w:val="AboutandContactBody"/>
          <w:lang w:val="sk-SK" w:bidi="bo-CN"/>
        </w:rPr>
        <w:t> 000 zamestnancov, ktorých spája silná firemná kultúra, spoločné hodnoty a spoločné poslanie: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>„Pioneers at heart for the good of generations“.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 xml:space="preserve">Viac informácií nájdete na stránkach </w:t>
      </w:r>
      <w:hyperlink r:id="rId11" w:history="1">
        <w:r w:rsidRPr="00E628C2">
          <w:rPr>
            <w:rStyle w:val="Hypertextovprepojenie"/>
            <w:szCs w:val="24"/>
            <w:lang w:val="sk-SK" w:bidi="bo-CN"/>
          </w:rPr>
          <w:t>www.henkel.com</w:t>
        </w:r>
      </w:hyperlink>
      <w:r w:rsidRPr="00E628C2"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Pr="00E628C2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E628C2" w:rsidRDefault="001864C0" w:rsidP="001864C0">
      <w:pPr>
        <w:rPr>
          <w:rStyle w:val="AboutandContactHeadline"/>
          <w:lang w:val="sk-SK"/>
        </w:rPr>
      </w:pPr>
      <w:r w:rsidRPr="00E628C2">
        <w:rPr>
          <w:rStyle w:val="AboutandContactHeadline"/>
          <w:lang w:val="sk-SK"/>
        </w:rPr>
        <w:t>O spoločnosti Henkel Slovensko</w:t>
      </w:r>
    </w:p>
    <w:p w14:paraId="32C04A43" w14:textId="43B5574F" w:rsidR="001864C0" w:rsidRPr="00E628C2" w:rsidRDefault="001864C0" w:rsidP="001864C0">
      <w:pPr>
        <w:rPr>
          <w:rStyle w:val="AboutandContactHeadline"/>
          <w:b w:val="0"/>
          <w:bCs w:val="0"/>
          <w:lang w:val="sk-SK"/>
        </w:rPr>
      </w:pPr>
      <w:r w:rsidRPr="00E628C2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Global Business Solutions+ spoločnosti Henkel celosvetovo. Global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predáva viac ako 50 značiek a dnes zamestnáva, spolu s GBS+ Bratislava, viac ako 1 800 zamestnancov. Viac informácií nájdete na stránke </w:t>
      </w:r>
      <w:hyperlink r:id="rId12" w:history="1">
        <w:r w:rsidR="00B71239" w:rsidRPr="00E628C2">
          <w:rPr>
            <w:rStyle w:val="Hypertextovprepojenie"/>
            <w:szCs w:val="24"/>
            <w:lang w:val="sk-SK"/>
          </w:rPr>
          <w:t>www.henkel.sk</w:t>
        </w:r>
      </w:hyperlink>
      <w:r w:rsidRPr="00E628C2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E628C2" w:rsidRDefault="001864C0" w:rsidP="001864C0">
      <w:pPr>
        <w:rPr>
          <w:rStyle w:val="AboutandContactHeadline"/>
          <w:lang w:val="sk-SK"/>
        </w:rPr>
      </w:pPr>
    </w:p>
    <w:p w14:paraId="5B1E3AD0" w14:textId="0F6B8F1A" w:rsidR="001864C0" w:rsidRPr="00E628C2" w:rsidRDefault="001864C0" w:rsidP="001864C0">
      <w:pPr>
        <w:rPr>
          <w:rStyle w:val="AboutandContactHeadline"/>
          <w:lang w:val="sk-SK"/>
        </w:rPr>
      </w:pPr>
      <w:r w:rsidRPr="00E628C2">
        <w:rPr>
          <w:rStyle w:val="AboutandContactHeadline"/>
          <w:lang w:val="sk-SK"/>
        </w:rPr>
        <w:t xml:space="preserve">Kontakt </w:t>
      </w:r>
    </w:p>
    <w:p w14:paraId="3BFC2D30" w14:textId="77777777" w:rsidR="00C32857" w:rsidRPr="00E628C2" w:rsidRDefault="00C32857" w:rsidP="00C32857">
      <w:pPr>
        <w:rPr>
          <w:rStyle w:val="AboutandContactHeadline"/>
          <w:b w:val="0"/>
          <w:bCs w:val="0"/>
          <w:lang w:val="sk-SK"/>
        </w:rPr>
      </w:pPr>
      <w:r w:rsidRPr="00E628C2">
        <w:rPr>
          <w:rStyle w:val="AboutandContactHeadline"/>
          <w:b w:val="0"/>
          <w:bCs w:val="0"/>
          <w:lang w:val="sk-SK"/>
        </w:rPr>
        <w:t>Zuzana Kaňuchová</w:t>
      </w:r>
      <w:r w:rsidRPr="00E628C2">
        <w:rPr>
          <w:rStyle w:val="AboutandContactHeadline"/>
          <w:b w:val="0"/>
          <w:bCs w:val="0"/>
          <w:lang w:val="sk-SK"/>
        </w:rPr>
        <w:tab/>
      </w:r>
      <w:r w:rsidRPr="00E628C2">
        <w:rPr>
          <w:rStyle w:val="AboutandContactHeadline"/>
          <w:b w:val="0"/>
          <w:bCs w:val="0"/>
          <w:lang w:val="sk-SK"/>
        </w:rPr>
        <w:tab/>
      </w:r>
      <w:r w:rsidRPr="00E628C2">
        <w:rPr>
          <w:rStyle w:val="AboutandContactHeadline"/>
          <w:b w:val="0"/>
          <w:bCs w:val="0"/>
          <w:lang w:val="sk-SK"/>
        </w:rPr>
        <w:tab/>
      </w:r>
      <w:r w:rsidRPr="00E628C2">
        <w:rPr>
          <w:rStyle w:val="AboutandContactHeadline"/>
          <w:b w:val="0"/>
          <w:bCs w:val="0"/>
          <w:lang w:val="sk-SK"/>
        </w:rPr>
        <w:tab/>
      </w:r>
      <w:r w:rsidRPr="00E628C2">
        <w:rPr>
          <w:rStyle w:val="AboutandContactHeadline"/>
          <w:b w:val="0"/>
          <w:bCs w:val="0"/>
          <w:lang w:val="sk-SK"/>
        </w:rPr>
        <w:tab/>
      </w:r>
      <w:r w:rsidRPr="00E628C2">
        <w:rPr>
          <w:rStyle w:val="AboutandContactHeadline"/>
          <w:b w:val="0"/>
          <w:bCs w:val="0"/>
          <w:lang w:val="sk-SK"/>
        </w:rPr>
        <w:tab/>
      </w:r>
    </w:p>
    <w:p w14:paraId="545E4E19" w14:textId="77777777" w:rsidR="00C32857" w:rsidRPr="00E628C2" w:rsidRDefault="00C32857" w:rsidP="00C32857">
      <w:pPr>
        <w:rPr>
          <w:rStyle w:val="AboutandContactHeadline"/>
          <w:b w:val="0"/>
          <w:bCs w:val="0"/>
          <w:lang w:val="sk-SK"/>
        </w:rPr>
      </w:pPr>
      <w:r w:rsidRPr="00E628C2">
        <w:rPr>
          <w:rStyle w:val="AboutandContactHeadline"/>
          <w:b w:val="0"/>
          <w:bCs w:val="0"/>
          <w:lang w:val="sk-SK"/>
        </w:rPr>
        <w:t>Riaditeľka korporátnej komunikácie</w:t>
      </w:r>
      <w:r w:rsidRPr="00E628C2">
        <w:rPr>
          <w:rStyle w:val="AboutandContactHeadline"/>
          <w:b w:val="0"/>
          <w:bCs w:val="0"/>
          <w:lang w:val="sk-SK"/>
        </w:rPr>
        <w:tab/>
        <w:t>CEE</w:t>
      </w:r>
      <w:r w:rsidRPr="00E628C2">
        <w:rPr>
          <w:rStyle w:val="AboutandContactHeadline"/>
          <w:b w:val="0"/>
          <w:bCs w:val="0"/>
          <w:lang w:val="sk-SK"/>
        </w:rPr>
        <w:tab/>
      </w:r>
      <w:r w:rsidRPr="00E628C2">
        <w:rPr>
          <w:rStyle w:val="AboutandContactHeadline"/>
          <w:b w:val="0"/>
          <w:bCs w:val="0"/>
          <w:lang w:val="sk-SK"/>
        </w:rPr>
        <w:tab/>
      </w:r>
    </w:p>
    <w:p w14:paraId="40E6EFBF" w14:textId="77777777" w:rsidR="00C32857" w:rsidRPr="00E628C2" w:rsidRDefault="00C32857" w:rsidP="00C32857">
      <w:pPr>
        <w:rPr>
          <w:rStyle w:val="AboutandContactHeadline"/>
          <w:b w:val="0"/>
          <w:bCs w:val="0"/>
          <w:lang w:val="sk-SK"/>
        </w:rPr>
      </w:pPr>
    </w:p>
    <w:p w14:paraId="768843FB" w14:textId="77777777" w:rsidR="00C32857" w:rsidRPr="00E628C2" w:rsidRDefault="00C32857" w:rsidP="00C32857">
      <w:pPr>
        <w:rPr>
          <w:rStyle w:val="AboutandContactHeadline"/>
          <w:b w:val="0"/>
          <w:bCs w:val="0"/>
          <w:lang w:val="sk-SK"/>
        </w:rPr>
      </w:pPr>
      <w:r w:rsidRPr="00E628C2">
        <w:rPr>
          <w:rStyle w:val="AboutandContactHeadline"/>
          <w:b w:val="0"/>
          <w:bCs w:val="0"/>
          <w:lang w:val="sk-SK"/>
        </w:rPr>
        <w:t>Telefón: +421 917 160 597</w:t>
      </w:r>
      <w:r w:rsidRPr="00E628C2">
        <w:rPr>
          <w:rStyle w:val="AboutandContactHeadline"/>
          <w:b w:val="0"/>
          <w:bCs w:val="0"/>
          <w:lang w:val="sk-SK"/>
        </w:rPr>
        <w:tab/>
      </w:r>
      <w:r w:rsidRPr="00E628C2">
        <w:rPr>
          <w:rStyle w:val="AboutandContactHeadline"/>
          <w:b w:val="0"/>
          <w:bCs w:val="0"/>
          <w:lang w:val="sk-SK"/>
        </w:rPr>
        <w:tab/>
      </w:r>
      <w:r w:rsidRPr="00E628C2">
        <w:rPr>
          <w:rStyle w:val="AboutandContactHeadline"/>
          <w:b w:val="0"/>
          <w:bCs w:val="0"/>
          <w:lang w:val="sk-SK"/>
        </w:rPr>
        <w:tab/>
      </w:r>
    </w:p>
    <w:p w14:paraId="61FA739B" w14:textId="2C2CD49D" w:rsidR="00BF6E82" w:rsidRPr="00B71239" w:rsidRDefault="00C32857" w:rsidP="00BF6E82">
      <w:pPr>
        <w:rPr>
          <w:rStyle w:val="AboutandContactBody"/>
          <w:lang w:val="sk-SK"/>
        </w:rPr>
      </w:pPr>
      <w:r w:rsidRPr="00E628C2">
        <w:rPr>
          <w:rStyle w:val="AboutandContactHeadline"/>
          <w:b w:val="0"/>
          <w:bCs w:val="0"/>
          <w:lang w:val="sk-SK"/>
        </w:rPr>
        <w:t xml:space="preserve">E-mail: </w:t>
      </w:r>
      <w:hyperlink r:id="rId13" w:history="1">
        <w:r w:rsidRPr="00E628C2">
          <w:rPr>
            <w:rStyle w:val="Hypertextovprepojenie"/>
            <w:szCs w:val="24"/>
            <w:lang w:val="sk-SK"/>
          </w:rPr>
          <w:t>zuzana.kanuchova@henkel.com</w:t>
        </w:r>
      </w:hyperlink>
    </w:p>
    <w:sectPr w:rsidR="00BF6E82" w:rsidRPr="00B71239" w:rsidSect="000A44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3A599" w14:textId="77777777" w:rsidR="00411E18" w:rsidRDefault="00411E18">
      <w:r>
        <w:separator/>
      </w:r>
    </w:p>
  </w:endnote>
  <w:endnote w:type="continuationSeparator" w:id="0">
    <w:p w14:paraId="68E926AB" w14:textId="77777777" w:rsidR="00411E18" w:rsidRDefault="00411E18">
      <w:r>
        <w:continuationSeparator/>
      </w:r>
    </w:p>
  </w:endnote>
  <w:endnote w:type="continuationNotice" w:id="1">
    <w:p w14:paraId="0D15624E" w14:textId="77777777" w:rsidR="00411E18" w:rsidRDefault="00411E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?????????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3E2F2" w14:textId="77777777" w:rsidR="00411E18" w:rsidRDefault="00411E18">
      <w:r>
        <w:separator/>
      </w:r>
    </w:p>
  </w:footnote>
  <w:footnote w:type="continuationSeparator" w:id="0">
    <w:p w14:paraId="057763D7" w14:textId="77777777" w:rsidR="00411E18" w:rsidRDefault="00411E18">
      <w:r>
        <w:continuationSeparator/>
      </w:r>
    </w:p>
  </w:footnote>
  <w:footnote w:type="continuationNotice" w:id="1">
    <w:p w14:paraId="6EC8DB37" w14:textId="77777777" w:rsidR="00411E18" w:rsidRDefault="00411E1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72E751D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00ACC"/>
    <w:multiLevelType w:val="hybridMultilevel"/>
    <w:tmpl w:val="FFFFFFFF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4B6752"/>
    <w:multiLevelType w:val="hybridMultilevel"/>
    <w:tmpl w:val="FFFFFFFF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C6216C4"/>
    <w:multiLevelType w:val="hybridMultilevel"/>
    <w:tmpl w:val="23FAA6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35631"/>
    <w:multiLevelType w:val="hybridMultilevel"/>
    <w:tmpl w:val="A6F6999A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2"/>
  </w:num>
  <w:num w:numId="2" w16cid:durableId="1563175876">
    <w:abstractNumId w:val="11"/>
  </w:num>
  <w:num w:numId="3" w16cid:durableId="1141115785">
    <w:abstractNumId w:val="19"/>
  </w:num>
  <w:num w:numId="4" w16cid:durableId="1658344630">
    <w:abstractNumId w:val="15"/>
  </w:num>
  <w:num w:numId="5" w16cid:durableId="2132553883">
    <w:abstractNumId w:val="13"/>
  </w:num>
  <w:num w:numId="6" w16cid:durableId="545726518">
    <w:abstractNumId w:val="17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  <w:num w:numId="17" w16cid:durableId="1267737750">
    <w:abstractNumId w:val="16"/>
  </w:num>
  <w:num w:numId="18" w16cid:durableId="729306898">
    <w:abstractNumId w:val="10"/>
  </w:num>
  <w:num w:numId="19" w16cid:durableId="1068647361">
    <w:abstractNumId w:val="14"/>
  </w:num>
  <w:num w:numId="20" w16cid:durableId="15262157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425A8"/>
    <w:rsid w:val="00051E86"/>
    <w:rsid w:val="000575F9"/>
    <w:rsid w:val="000618FC"/>
    <w:rsid w:val="00061F7D"/>
    <w:rsid w:val="0006344D"/>
    <w:rsid w:val="00067071"/>
    <w:rsid w:val="00070E15"/>
    <w:rsid w:val="000722E8"/>
    <w:rsid w:val="00080D10"/>
    <w:rsid w:val="000822E7"/>
    <w:rsid w:val="0008357F"/>
    <w:rsid w:val="000A267A"/>
    <w:rsid w:val="000A44A0"/>
    <w:rsid w:val="000B695A"/>
    <w:rsid w:val="000C210A"/>
    <w:rsid w:val="000C232D"/>
    <w:rsid w:val="000C56DD"/>
    <w:rsid w:val="000D1672"/>
    <w:rsid w:val="000D1F87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4FB6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66D0D"/>
    <w:rsid w:val="001731CE"/>
    <w:rsid w:val="00173E03"/>
    <w:rsid w:val="001864C0"/>
    <w:rsid w:val="001B7C0D"/>
    <w:rsid w:val="001B7C20"/>
    <w:rsid w:val="001C0B32"/>
    <w:rsid w:val="001C4BE1"/>
    <w:rsid w:val="001D7ADF"/>
    <w:rsid w:val="001E0F71"/>
    <w:rsid w:val="001E6D05"/>
    <w:rsid w:val="001E7C28"/>
    <w:rsid w:val="001F0FD2"/>
    <w:rsid w:val="001F1BDF"/>
    <w:rsid w:val="001F7110"/>
    <w:rsid w:val="001F7E96"/>
    <w:rsid w:val="00202284"/>
    <w:rsid w:val="002035A0"/>
    <w:rsid w:val="00204A5C"/>
    <w:rsid w:val="00212488"/>
    <w:rsid w:val="00220628"/>
    <w:rsid w:val="002304D2"/>
    <w:rsid w:val="00234ABD"/>
    <w:rsid w:val="002369AF"/>
    <w:rsid w:val="00236E2A"/>
    <w:rsid w:val="00237F62"/>
    <w:rsid w:val="0024586A"/>
    <w:rsid w:val="002518FA"/>
    <w:rsid w:val="00256F0C"/>
    <w:rsid w:val="00261EB4"/>
    <w:rsid w:val="00262C05"/>
    <w:rsid w:val="00281D14"/>
    <w:rsid w:val="00282C13"/>
    <w:rsid w:val="002A0DF7"/>
    <w:rsid w:val="002A2975"/>
    <w:rsid w:val="002A60E0"/>
    <w:rsid w:val="002B23EA"/>
    <w:rsid w:val="002B24B9"/>
    <w:rsid w:val="002C1344"/>
    <w:rsid w:val="002C252E"/>
    <w:rsid w:val="002C6773"/>
    <w:rsid w:val="002D2A3D"/>
    <w:rsid w:val="002E0B17"/>
    <w:rsid w:val="002E4FFB"/>
    <w:rsid w:val="002E5331"/>
    <w:rsid w:val="002E7DED"/>
    <w:rsid w:val="002F65A6"/>
    <w:rsid w:val="002F7E11"/>
    <w:rsid w:val="00304087"/>
    <w:rsid w:val="00304B17"/>
    <w:rsid w:val="00310ACD"/>
    <w:rsid w:val="003110B9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5797E"/>
    <w:rsid w:val="0036357D"/>
    <w:rsid w:val="003649BC"/>
    <w:rsid w:val="00365E44"/>
    <w:rsid w:val="00367AA1"/>
    <w:rsid w:val="003708CE"/>
    <w:rsid w:val="0037243B"/>
    <w:rsid w:val="00372E36"/>
    <w:rsid w:val="00372E40"/>
    <w:rsid w:val="00376EE9"/>
    <w:rsid w:val="00377CBB"/>
    <w:rsid w:val="00385185"/>
    <w:rsid w:val="0038632F"/>
    <w:rsid w:val="003877B6"/>
    <w:rsid w:val="00393887"/>
    <w:rsid w:val="00394C6B"/>
    <w:rsid w:val="003A4E62"/>
    <w:rsid w:val="003B1069"/>
    <w:rsid w:val="003B390A"/>
    <w:rsid w:val="003C15DE"/>
    <w:rsid w:val="003C1B49"/>
    <w:rsid w:val="003C4EB2"/>
    <w:rsid w:val="003E56E5"/>
    <w:rsid w:val="003F1AF3"/>
    <w:rsid w:val="003F4D8D"/>
    <w:rsid w:val="004002DD"/>
    <w:rsid w:val="004008D6"/>
    <w:rsid w:val="00402D5A"/>
    <w:rsid w:val="00407B4A"/>
    <w:rsid w:val="00411E18"/>
    <w:rsid w:val="004313E7"/>
    <w:rsid w:val="0044763B"/>
    <w:rsid w:val="00451077"/>
    <w:rsid w:val="00451F34"/>
    <w:rsid w:val="0045791D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345F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6F5"/>
    <w:rsid w:val="00506B8A"/>
    <w:rsid w:val="0051423E"/>
    <w:rsid w:val="00514611"/>
    <w:rsid w:val="00521DD4"/>
    <w:rsid w:val="0052212B"/>
    <w:rsid w:val="00531B98"/>
    <w:rsid w:val="00534B46"/>
    <w:rsid w:val="00540358"/>
    <w:rsid w:val="00540D47"/>
    <w:rsid w:val="00543C2C"/>
    <w:rsid w:val="00550864"/>
    <w:rsid w:val="0055571E"/>
    <w:rsid w:val="00556F67"/>
    <w:rsid w:val="00571D1F"/>
    <w:rsid w:val="005833F0"/>
    <w:rsid w:val="00586CAF"/>
    <w:rsid w:val="005873E9"/>
    <w:rsid w:val="00591180"/>
    <w:rsid w:val="00593E93"/>
    <w:rsid w:val="0059722C"/>
    <w:rsid w:val="00597D07"/>
    <w:rsid w:val="005A359D"/>
    <w:rsid w:val="005A3846"/>
    <w:rsid w:val="005B1F0C"/>
    <w:rsid w:val="005B2E75"/>
    <w:rsid w:val="005B5984"/>
    <w:rsid w:val="005B6A58"/>
    <w:rsid w:val="005B6E3A"/>
    <w:rsid w:val="005C1BF4"/>
    <w:rsid w:val="005C2D02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0D4B"/>
    <w:rsid w:val="00601D84"/>
    <w:rsid w:val="0060625C"/>
    <w:rsid w:val="00607256"/>
    <w:rsid w:val="006144B1"/>
    <w:rsid w:val="00626029"/>
    <w:rsid w:val="006321FE"/>
    <w:rsid w:val="006335F1"/>
    <w:rsid w:val="006345B6"/>
    <w:rsid w:val="00635712"/>
    <w:rsid w:val="00641884"/>
    <w:rsid w:val="00643D8A"/>
    <w:rsid w:val="006513EB"/>
    <w:rsid w:val="00652229"/>
    <w:rsid w:val="00652793"/>
    <w:rsid w:val="00654FCE"/>
    <w:rsid w:val="006626CA"/>
    <w:rsid w:val="00663487"/>
    <w:rsid w:val="00672382"/>
    <w:rsid w:val="00682643"/>
    <w:rsid w:val="00682EB9"/>
    <w:rsid w:val="0068441A"/>
    <w:rsid w:val="006849F3"/>
    <w:rsid w:val="00690B19"/>
    <w:rsid w:val="006A0A3C"/>
    <w:rsid w:val="006A363F"/>
    <w:rsid w:val="006A7308"/>
    <w:rsid w:val="006A79F0"/>
    <w:rsid w:val="006B1285"/>
    <w:rsid w:val="006B47EE"/>
    <w:rsid w:val="006B499F"/>
    <w:rsid w:val="006C6703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25058"/>
    <w:rsid w:val="0073096C"/>
    <w:rsid w:val="00742398"/>
    <w:rsid w:val="007507B5"/>
    <w:rsid w:val="0075091D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5033"/>
    <w:rsid w:val="00795AF2"/>
    <w:rsid w:val="007A2AAD"/>
    <w:rsid w:val="007A4432"/>
    <w:rsid w:val="007A784E"/>
    <w:rsid w:val="007B499C"/>
    <w:rsid w:val="007B4D4B"/>
    <w:rsid w:val="007D2A02"/>
    <w:rsid w:val="007E6295"/>
    <w:rsid w:val="007E6EA1"/>
    <w:rsid w:val="007F0F63"/>
    <w:rsid w:val="007F2B1E"/>
    <w:rsid w:val="007F2E0B"/>
    <w:rsid w:val="007F614C"/>
    <w:rsid w:val="007F62B4"/>
    <w:rsid w:val="00801517"/>
    <w:rsid w:val="008032DA"/>
    <w:rsid w:val="008052B4"/>
    <w:rsid w:val="00806870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55B5D"/>
    <w:rsid w:val="008614F1"/>
    <w:rsid w:val="008639B3"/>
    <w:rsid w:val="00863C1A"/>
    <w:rsid w:val="00867331"/>
    <w:rsid w:val="0087142D"/>
    <w:rsid w:val="008733D9"/>
    <w:rsid w:val="00873956"/>
    <w:rsid w:val="00880E72"/>
    <w:rsid w:val="008825EE"/>
    <w:rsid w:val="0088596E"/>
    <w:rsid w:val="00886541"/>
    <w:rsid w:val="00890CE4"/>
    <w:rsid w:val="0089796A"/>
    <w:rsid w:val="008A16EA"/>
    <w:rsid w:val="008A2375"/>
    <w:rsid w:val="008B11F8"/>
    <w:rsid w:val="008C4310"/>
    <w:rsid w:val="008C52EF"/>
    <w:rsid w:val="008D76C5"/>
    <w:rsid w:val="008E0AFA"/>
    <w:rsid w:val="008E75D3"/>
    <w:rsid w:val="008F125E"/>
    <w:rsid w:val="008F4D2F"/>
    <w:rsid w:val="00906292"/>
    <w:rsid w:val="009076AF"/>
    <w:rsid w:val="00912A37"/>
    <w:rsid w:val="00917162"/>
    <w:rsid w:val="00921190"/>
    <w:rsid w:val="009251CC"/>
    <w:rsid w:val="0092714E"/>
    <w:rsid w:val="00942002"/>
    <w:rsid w:val="009463BD"/>
    <w:rsid w:val="00947885"/>
    <w:rsid w:val="00952168"/>
    <w:rsid w:val="009527FE"/>
    <w:rsid w:val="00952D19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97B05"/>
    <w:rsid w:val="009A0E26"/>
    <w:rsid w:val="009A16EC"/>
    <w:rsid w:val="009A71F0"/>
    <w:rsid w:val="009B29B7"/>
    <w:rsid w:val="009B3B37"/>
    <w:rsid w:val="009B7D1F"/>
    <w:rsid w:val="009C088E"/>
    <w:rsid w:val="009C40D4"/>
    <w:rsid w:val="009C4D35"/>
    <w:rsid w:val="009D1522"/>
    <w:rsid w:val="009D7252"/>
    <w:rsid w:val="009E5EB4"/>
    <w:rsid w:val="00A044D6"/>
    <w:rsid w:val="00A04ADB"/>
    <w:rsid w:val="00A07BFA"/>
    <w:rsid w:val="00A11E0F"/>
    <w:rsid w:val="00A2120F"/>
    <w:rsid w:val="00A229D1"/>
    <w:rsid w:val="00A23264"/>
    <w:rsid w:val="00A26CB6"/>
    <w:rsid w:val="00A32F82"/>
    <w:rsid w:val="00A32F8B"/>
    <w:rsid w:val="00A3756F"/>
    <w:rsid w:val="00A41DE8"/>
    <w:rsid w:val="00A42D6F"/>
    <w:rsid w:val="00A45A62"/>
    <w:rsid w:val="00A50367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B61DD"/>
    <w:rsid w:val="00AD44FE"/>
    <w:rsid w:val="00AE3C85"/>
    <w:rsid w:val="00AE49F1"/>
    <w:rsid w:val="00AF21ED"/>
    <w:rsid w:val="00AF288D"/>
    <w:rsid w:val="00B05CCA"/>
    <w:rsid w:val="00B14271"/>
    <w:rsid w:val="00B14C02"/>
    <w:rsid w:val="00B16270"/>
    <w:rsid w:val="00B16A6E"/>
    <w:rsid w:val="00B2685D"/>
    <w:rsid w:val="00B30351"/>
    <w:rsid w:val="00B33C2A"/>
    <w:rsid w:val="00B422EC"/>
    <w:rsid w:val="00B631B3"/>
    <w:rsid w:val="00B6547F"/>
    <w:rsid w:val="00B71239"/>
    <w:rsid w:val="00B726D4"/>
    <w:rsid w:val="00B7668A"/>
    <w:rsid w:val="00B8214F"/>
    <w:rsid w:val="00B8230D"/>
    <w:rsid w:val="00B82C7A"/>
    <w:rsid w:val="00B86A4F"/>
    <w:rsid w:val="00B93035"/>
    <w:rsid w:val="00B9337E"/>
    <w:rsid w:val="00B942A8"/>
    <w:rsid w:val="00B9479D"/>
    <w:rsid w:val="00B958E8"/>
    <w:rsid w:val="00B97521"/>
    <w:rsid w:val="00B97E4A"/>
    <w:rsid w:val="00B97FDF"/>
    <w:rsid w:val="00BA09B2"/>
    <w:rsid w:val="00BA19AC"/>
    <w:rsid w:val="00BA5B46"/>
    <w:rsid w:val="00BB308B"/>
    <w:rsid w:val="00BB5D0B"/>
    <w:rsid w:val="00BC0995"/>
    <w:rsid w:val="00BE74BB"/>
    <w:rsid w:val="00BE793A"/>
    <w:rsid w:val="00BF2B82"/>
    <w:rsid w:val="00BF432A"/>
    <w:rsid w:val="00BF605A"/>
    <w:rsid w:val="00BF6E82"/>
    <w:rsid w:val="00C0599A"/>
    <w:rsid w:val="00C060C7"/>
    <w:rsid w:val="00C15858"/>
    <w:rsid w:val="00C24C17"/>
    <w:rsid w:val="00C32857"/>
    <w:rsid w:val="00C341F4"/>
    <w:rsid w:val="00C3758F"/>
    <w:rsid w:val="00C40B88"/>
    <w:rsid w:val="00C42C93"/>
    <w:rsid w:val="00C47D87"/>
    <w:rsid w:val="00C5376E"/>
    <w:rsid w:val="00C65BF5"/>
    <w:rsid w:val="00C7359F"/>
    <w:rsid w:val="00C808A6"/>
    <w:rsid w:val="00C97091"/>
    <w:rsid w:val="00C97260"/>
    <w:rsid w:val="00CA2001"/>
    <w:rsid w:val="00CB5B6C"/>
    <w:rsid w:val="00CC052E"/>
    <w:rsid w:val="00CD16BE"/>
    <w:rsid w:val="00CD32E1"/>
    <w:rsid w:val="00CD4616"/>
    <w:rsid w:val="00CD47AC"/>
    <w:rsid w:val="00CD56AF"/>
    <w:rsid w:val="00CD6857"/>
    <w:rsid w:val="00CE33D5"/>
    <w:rsid w:val="00CE6B4E"/>
    <w:rsid w:val="00CF1C6B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40E6"/>
    <w:rsid w:val="00D5653B"/>
    <w:rsid w:val="00D62EF1"/>
    <w:rsid w:val="00D6309D"/>
    <w:rsid w:val="00D63BB5"/>
    <w:rsid w:val="00D644CA"/>
    <w:rsid w:val="00D66FC2"/>
    <w:rsid w:val="00D76C7E"/>
    <w:rsid w:val="00D771DE"/>
    <w:rsid w:val="00D7776D"/>
    <w:rsid w:val="00D918CF"/>
    <w:rsid w:val="00D9293F"/>
    <w:rsid w:val="00D93598"/>
    <w:rsid w:val="00DA1E18"/>
    <w:rsid w:val="00DA2009"/>
    <w:rsid w:val="00DB05B1"/>
    <w:rsid w:val="00DB5A79"/>
    <w:rsid w:val="00DC2465"/>
    <w:rsid w:val="00DC7B0A"/>
    <w:rsid w:val="00DD512E"/>
    <w:rsid w:val="00DE1177"/>
    <w:rsid w:val="00DE270C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517FE"/>
    <w:rsid w:val="00E628C2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4A30"/>
    <w:rsid w:val="00EF7111"/>
    <w:rsid w:val="00EF7D1A"/>
    <w:rsid w:val="00F0448F"/>
    <w:rsid w:val="00F0716C"/>
    <w:rsid w:val="00F266D9"/>
    <w:rsid w:val="00F270E9"/>
    <w:rsid w:val="00F275C0"/>
    <w:rsid w:val="00F346B6"/>
    <w:rsid w:val="00F36145"/>
    <w:rsid w:val="00F37BDD"/>
    <w:rsid w:val="00F41503"/>
    <w:rsid w:val="00F46502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71E93"/>
    <w:rsid w:val="00F8309B"/>
    <w:rsid w:val="00F833C9"/>
    <w:rsid w:val="00F90064"/>
    <w:rsid w:val="00F910E7"/>
    <w:rsid w:val="00F96AFD"/>
    <w:rsid w:val="00FA1398"/>
    <w:rsid w:val="00FA1939"/>
    <w:rsid w:val="00FA2E19"/>
    <w:rsid w:val="00FA697F"/>
    <w:rsid w:val="00FB2215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33B8A433-CD22-47A8-B5EC-BA041C53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34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character" w:styleId="Odkaznakomentr">
    <w:name w:val="annotation reference"/>
    <w:basedOn w:val="Predvolenpsmoodseku"/>
    <w:rsid w:val="00B82C7A"/>
    <w:rPr>
      <w:sz w:val="16"/>
      <w:szCs w:val="16"/>
    </w:rPr>
  </w:style>
  <w:style w:type="character" w:styleId="PouitHypertextovPrepojenie">
    <w:name w:val="FollowedHyperlink"/>
    <w:basedOn w:val="Predvolenpsmoodseku"/>
    <w:rsid w:val="006321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6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F28B5D-D54D-4E40-AE10-30B922258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57</TotalTime>
  <Pages>11</Pages>
  <Words>3866</Words>
  <Characters>22039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25854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Katarína Kvanková</cp:lastModifiedBy>
  <cp:revision>69</cp:revision>
  <cp:lastPrinted>2016-11-16T01:11:00Z</cp:lastPrinted>
  <dcterms:created xsi:type="dcterms:W3CDTF">2025-03-03T15:52:00Z</dcterms:created>
  <dcterms:modified xsi:type="dcterms:W3CDTF">2025-03-14T14:17:00Z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