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AC1C" w14:textId="77777777" w:rsidR="002D391F" w:rsidRPr="006E00F4" w:rsidRDefault="002D391F" w:rsidP="002D391F">
      <w:pPr>
        <w:pStyle w:val="MonthDayYear"/>
        <w:jc w:val="both"/>
      </w:pPr>
    </w:p>
    <w:p w14:paraId="5CA6C2A8" w14:textId="00F676D4" w:rsidR="00461D39" w:rsidRPr="006E00F4" w:rsidRDefault="00B07F4F" w:rsidP="002D391F">
      <w:pPr>
        <w:pStyle w:val="MonthDayYear"/>
      </w:pPr>
      <w:r w:rsidRPr="006E00F4">
        <w:rPr>
          <w:rFonts w:hint="eastAsia"/>
        </w:rPr>
        <w:t>2025</w:t>
      </w:r>
      <w:r w:rsidRPr="006E00F4">
        <w:rPr>
          <w:rFonts w:hint="eastAsia"/>
        </w:rPr>
        <w:t>年</w:t>
      </w:r>
      <w:r w:rsidRPr="006E00F4">
        <w:rPr>
          <w:rFonts w:hint="eastAsia"/>
        </w:rPr>
        <w:t>3</w:t>
      </w:r>
      <w:r w:rsidRPr="006E00F4">
        <w:rPr>
          <w:rFonts w:hint="eastAsia"/>
        </w:rPr>
        <w:t>月</w:t>
      </w:r>
      <w:r w:rsidR="001C5794">
        <w:rPr>
          <w:rFonts w:hint="eastAsia"/>
        </w:rPr>
        <w:t>11</w:t>
      </w:r>
      <w:r w:rsidRPr="006E00F4">
        <w:rPr>
          <w:rFonts w:hint="eastAsia"/>
        </w:rPr>
        <w:t>日</w:t>
      </w:r>
    </w:p>
    <w:p w14:paraId="398BBFD8" w14:textId="77777777" w:rsidR="00E76C67" w:rsidRPr="006E00F4" w:rsidRDefault="00B07F4F" w:rsidP="00033476">
      <w:pPr>
        <w:pStyle w:val="Topline"/>
        <w:spacing w:after="360"/>
      </w:pPr>
      <w:r w:rsidRPr="006E00F4">
        <w:rPr>
          <w:rFonts w:hint="eastAsia"/>
        </w:rPr>
        <w:t>汉高公布</w:t>
      </w:r>
      <w:r w:rsidRPr="006E00F4">
        <w:rPr>
          <w:rFonts w:hint="eastAsia"/>
        </w:rPr>
        <w:t>2024</w:t>
      </w:r>
      <w:r w:rsidR="00F663D3">
        <w:rPr>
          <w:rFonts w:hint="eastAsia"/>
        </w:rPr>
        <w:t>财年</w:t>
      </w:r>
      <w:r w:rsidRPr="006E00F4">
        <w:rPr>
          <w:rFonts w:hint="eastAsia"/>
        </w:rPr>
        <w:t>业绩</w:t>
      </w:r>
      <w:r w:rsidR="00E53651">
        <w:rPr>
          <w:rFonts w:hint="eastAsia"/>
        </w:rPr>
        <w:t>表现</w:t>
      </w:r>
    </w:p>
    <w:p w14:paraId="0CC2D52D" w14:textId="0ED10884" w:rsidR="00E76C67" w:rsidRPr="006E00F4" w:rsidRDefault="00B07F4F" w:rsidP="00E76C67">
      <w:pPr>
        <w:jc w:val="left"/>
        <w:rPr>
          <w:rStyle w:val="Headline"/>
          <w:rFonts w:asciiTheme="majorHAnsi" w:eastAsiaTheme="majorEastAsia" w:hAnsiTheme="majorHAnsi" w:cstheme="majorHAnsi"/>
        </w:rPr>
      </w:pPr>
      <w:r>
        <w:rPr>
          <w:rStyle w:val="Headline"/>
          <w:rFonts w:asciiTheme="majorHAnsi" w:eastAsiaTheme="majorEastAsia" w:hAnsiTheme="majorHAnsi" w:hint="eastAsia"/>
        </w:rPr>
        <w:t>汉高</w:t>
      </w:r>
      <w:r w:rsidR="00461D39" w:rsidRPr="006E00F4">
        <w:rPr>
          <w:rStyle w:val="Headline"/>
          <w:rFonts w:asciiTheme="majorHAnsi" w:eastAsiaTheme="majorEastAsia" w:hAnsiTheme="majorHAnsi" w:hint="eastAsia"/>
        </w:rPr>
        <w:t>2024</w:t>
      </w:r>
      <w:r w:rsidR="00461D39" w:rsidRPr="006E00F4">
        <w:rPr>
          <w:rStyle w:val="Headline"/>
          <w:rFonts w:asciiTheme="majorHAnsi" w:eastAsiaTheme="majorEastAsia" w:hAnsiTheme="majorHAnsi" w:hint="eastAsia"/>
        </w:rPr>
        <w:t>年业绩</w:t>
      </w:r>
      <w:r w:rsidR="00E53651">
        <w:rPr>
          <w:rStyle w:val="Headline"/>
          <w:rFonts w:asciiTheme="majorHAnsi" w:eastAsiaTheme="majorEastAsia" w:hAnsiTheme="majorHAnsi" w:hint="eastAsia"/>
        </w:rPr>
        <w:t>表现强劲</w:t>
      </w:r>
      <w:r w:rsidR="00461D39" w:rsidRPr="006E00F4">
        <w:rPr>
          <w:rStyle w:val="Headline"/>
          <w:rFonts w:asciiTheme="majorHAnsi" w:eastAsiaTheme="majorEastAsia" w:hAnsiTheme="majorHAnsi" w:hint="eastAsia"/>
        </w:rPr>
        <w:t>，</w:t>
      </w:r>
      <w:r w:rsidR="008A180A">
        <w:rPr>
          <w:rStyle w:val="Headline"/>
          <w:rFonts w:asciiTheme="majorHAnsi" w:eastAsiaTheme="majorEastAsia" w:hAnsiTheme="majorHAnsi" w:hint="eastAsia"/>
        </w:rPr>
        <w:t>“</w:t>
      </w:r>
      <w:r w:rsidR="00461D39" w:rsidRPr="006E00F4">
        <w:rPr>
          <w:rStyle w:val="Headline"/>
          <w:rFonts w:asciiTheme="majorHAnsi" w:eastAsiaTheme="majorEastAsia" w:hAnsiTheme="majorHAnsi" w:hint="eastAsia"/>
        </w:rPr>
        <w:t>目标性增长议程</w:t>
      </w:r>
      <w:r w:rsidR="008A180A">
        <w:rPr>
          <w:rStyle w:val="Headline"/>
          <w:rFonts w:asciiTheme="majorHAnsi" w:eastAsiaTheme="majorEastAsia" w:hAnsiTheme="majorHAnsi" w:hint="eastAsia"/>
        </w:rPr>
        <w:t>”</w:t>
      </w:r>
      <w:r w:rsidR="00461D39" w:rsidRPr="006E00F4">
        <w:rPr>
          <w:rStyle w:val="Headline"/>
          <w:rFonts w:asciiTheme="majorHAnsi" w:eastAsiaTheme="majorEastAsia" w:hAnsiTheme="majorHAnsi" w:hint="eastAsia"/>
        </w:rPr>
        <w:t>成功实施显成效</w:t>
      </w:r>
    </w:p>
    <w:p w14:paraId="2978D90B" w14:textId="77777777" w:rsidR="004B2C19" w:rsidRPr="006E00F4" w:rsidRDefault="004B2C19" w:rsidP="004B2C19">
      <w:pPr>
        <w:spacing w:line="240" w:lineRule="auto"/>
        <w:jc w:val="left"/>
        <w:rPr>
          <w:sz w:val="16"/>
          <w:szCs w:val="16"/>
        </w:rPr>
      </w:pPr>
    </w:p>
    <w:p w14:paraId="44993078" w14:textId="77777777" w:rsidR="004B2C19" w:rsidRPr="006E00F4" w:rsidRDefault="00B07F4F" w:rsidP="004B2C19">
      <w:pPr>
        <w:pStyle w:val="ListParagraph"/>
        <w:numPr>
          <w:ilvl w:val="0"/>
          <w:numId w:val="7"/>
        </w:numPr>
        <w:spacing w:after="80"/>
        <w:ind w:left="357" w:right="-108" w:hanging="357"/>
        <w:contextualSpacing w:val="0"/>
        <w:jc w:val="left"/>
        <w:rPr>
          <w:rFonts w:asciiTheme="majorHAnsi" w:eastAsiaTheme="majorEastAsia" w:hAnsiTheme="majorHAnsi" w:cstheme="majorHAnsi"/>
          <w:b/>
          <w:szCs w:val="22"/>
        </w:rPr>
      </w:pPr>
      <w:bookmarkStart w:id="0" w:name="_Hlk64363173"/>
      <w:bookmarkStart w:id="1" w:name="_Hlk43712519"/>
      <w:r w:rsidRPr="006E00F4">
        <w:rPr>
          <w:rFonts w:asciiTheme="majorHAnsi" w:eastAsiaTheme="majorEastAsia" w:hAnsiTheme="majorHAnsi" w:hint="eastAsia"/>
          <w:b/>
        </w:rPr>
        <w:t>2024</w:t>
      </w:r>
      <w:r w:rsidRPr="006E00F4">
        <w:rPr>
          <w:rFonts w:asciiTheme="majorHAnsi" w:eastAsiaTheme="majorEastAsia" w:hAnsiTheme="majorHAnsi" w:hint="eastAsia"/>
          <w:b/>
        </w:rPr>
        <w:t>财年业绩表现强劲</w:t>
      </w:r>
    </w:p>
    <w:bookmarkEnd w:id="0"/>
    <w:bookmarkEnd w:id="1"/>
    <w:p w14:paraId="4AD12596" w14:textId="77777777" w:rsidR="004B2C19" w:rsidRPr="006E00F4" w:rsidRDefault="00B07F4F"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rPr>
        <w:t>销售额：</w:t>
      </w:r>
      <w:r w:rsidRPr="006E00F4">
        <w:rPr>
          <w:rFonts w:asciiTheme="majorHAnsi" w:eastAsiaTheme="majorEastAsia" w:hAnsiTheme="majorHAnsi" w:hint="eastAsia"/>
          <w:b/>
        </w:rPr>
        <w:t>216</w:t>
      </w:r>
      <w:r w:rsidRPr="006E00F4">
        <w:rPr>
          <w:rFonts w:asciiTheme="majorHAnsi" w:eastAsiaTheme="majorEastAsia" w:hAnsiTheme="majorHAnsi" w:hint="eastAsia"/>
          <w:b/>
        </w:rPr>
        <w:t>亿欧元，有机增长</w:t>
      </w:r>
      <w:r w:rsidRPr="006E00F4">
        <w:rPr>
          <w:rFonts w:asciiTheme="majorHAnsi" w:eastAsiaTheme="majorEastAsia" w:hAnsiTheme="majorHAnsi" w:hint="eastAsia"/>
          <w:b/>
        </w:rPr>
        <w:t>2.6%</w:t>
      </w:r>
    </w:p>
    <w:p w14:paraId="77445BAB" w14:textId="77777777" w:rsidR="004B2C19" w:rsidRPr="006E00F4" w:rsidRDefault="00B07F4F"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rPr>
        <w:t>营业利润（息税前利润）</w:t>
      </w:r>
      <w:r w:rsidRPr="006E00F4">
        <w:rPr>
          <w:rFonts w:asciiTheme="majorHAnsi" w:eastAsiaTheme="majorEastAsia" w:hAnsiTheme="majorHAnsi" w:hint="eastAsia"/>
          <w:b/>
        </w:rPr>
        <w:t>*</w:t>
      </w:r>
      <w:r w:rsidRPr="006E00F4">
        <w:rPr>
          <w:rFonts w:asciiTheme="majorHAnsi" w:eastAsiaTheme="majorEastAsia" w:hAnsiTheme="majorHAnsi" w:hint="eastAsia"/>
          <w:b/>
        </w:rPr>
        <w:t>：</w:t>
      </w:r>
      <w:r w:rsidRPr="006E00F4">
        <w:rPr>
          <w:rFonts w:asciiTheme="majorHAnsi" w:eastAsiaTheme="majorEastAsia" w:hAnsiTheme="majorHAnsi" w:hint="eastAsia"/>
          <w:b/>
        </w:rPr>
        <w:t>31</w:t>
      </w:r>
      <w:r w:rsidRPr="006E00F4">
        <w:rPr>
          <w:rFonts w:asciiTheme="majorHAnsi" w:eastAsiaTheme="majorEastAsia" w:hAnsiTheme="majorHAnsi" w:hint="eastAsia"/>
          <w:b/>
        </w:rPr>
        <w:t>亿欧元，强劲增长</w:t>
      </w:r>
      <w:r w:rsidRPr="006E00F4">
        <w:rPr>
          <w:rFonts w:asciiTheme="majorHAnsi" w:eastAsiaTheme="majorEastAsia" w:hAnsiTheme="majorHAnsi" w:hint="eastAsia"/>
          <w:b/>
        </w:rPr>
        <w:t>20.9%</w:t>
      </w:r>
    </w:p>
    <w:p w14:paraId="3362E46B" w14:textId="77777777" w:rsidR="004B2C19" w:rsidRPr="006E00F4" w:rsidRDefault="00B07F4F"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rPr>
        <w:t>息税前利润率</w:t>
      </w:r>
      <w:r w:rsidRPr="006E00F4">
        <w:rPr>
          <w:rFonts w:asciiTheme="majorHAnsi" w:eastAsiaTheme="majorEastAsia" w:hAnsiTheme="majorHAnsi" w:hint="eastAsia"/>
          <w:b/>
        </w:rPr>
        <w:t>*</w:t>
      </w:r>
      <w:r w:rsidRPr="006E00F4">
        <w:rPr>
          <w:rFonts w:asciiTheme="majorHAnsi" w:eastAsiaTheme="majorEastAsia" w:hAnsiTheme="majorHAnsi" w:hint="eastAsia"/>
          <w:b/>
        </w:rPr>
        <w:t>：</w:t>
      </w:r>
      <w:r w:rsidRPr="006E00F4">
        <w:rPr>
          <w:rFonts w:asciiTheme="majorHAnsi" w:eastAsiaTheme="majorEastAsia" w:hAnsiTheme="majorHAnsi" w:hint="eastAsia"/>
          <w:b/>
        </w:rPr>
        <w:t>14.3%</w:t>
      </w:r>
      <w:r w:rsidRPr="006E00F4">
        <w:rPr>
          <w:rFonts w:asciiTheme="majorHAnsi" w:eastAsiaTheme="majorEastAsia" w:hAnsiTheme="majorHAnsi" w:hint="eastAsia"/>
          <w:b/>
        </w:rPr>
        <w:t>，大幅提高</w:t>
      </w:r>
      <w:r w:rsidRPr="006E00F4">
        <w:rPr>
          <w:rFonts w:asciiTheme="majorHAnsi" w:eastAsiaTheme="majorEastAsia" w:hAnsiTheme="majorHAnsi" w:hint="eastAsia"/>
          <w:b/>
        </w:rPr>
        <w:t>240</w:t>
      </w:r>
      <w:r w:rsidRPr="006E00F4">
        <w:rPr>
          <w:rFonts w:asciiTheme="majorHAnsi" w:eastAsiaTheme="majorEastAsia" w:hAnsiTheme="majorHAnsi" w:hint="eastAsia"/>
          <w:b/>
        </w:rPr>
        <w:t>个基点</w:t>
      </w:r>
    </w:p>
    <w:p w14:paraId="358451C8" w14:textId="77777777" w:rsidR="004B2C19" w:rsidRPr="006E00F4" w:rsidRDefault="00B07F4F"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rPr>
        <w:t>优先股每股收益（</w:t>
      </w:r>
      <w:r w:rsidRPr="006E00F4">
        <w:rPr>
          <w:rFonts w:asciiTheme="majorHAnsi" w:eastAsiaTheme="majorEastAsia" w:hAnsiTheme="majorHAnsi" w:hint="eastAsia"/>
          <w:b/>
        </w:rPr>
        <w:t>EPS</w:t>
      </w:r>
      <w:r w:rsidRPr="006E00F4">
        <w:rPr>
          <w:rFonts w:asciiTheme="majorHAnsi" w:eastAsiaTheme="majorEastAsia" w:hAnsiTheme="majorHAnsi" w:hint="eastAsia"/>
          <w:b/>
        </w:rPr>
        <w:t>）</w:t>
      </w:r>
      <w:r w:rsidRPr="006E00F4">
        <w:rPr>
          <w:rFonts w:asciiTheme="majorHAnsi" w:eastAsiaTheme="majorEastAsia" w:hAnsiTheme="majorHAnsi" w:hint="eastAsia"/>
          <w:b/>
        </w:rPr>
        <w:t>*</w:t>
      </w:r>
      <w:r w:rsidR="00E53651">
        <w:rPr>
          <w:rFonts w:asciiTheme="majorHAnsi" w:eastAsiaTheme="majorEastAsia" w:hAnsiTheme="majorHAnsi" w:hint="eastAsia"/>
          <w:b/>
        </w:rPr>
        <w:t>显著提升：</w:t>
      </w:r>
      <w:r w:rsidRPr="006E00F4">
        <w:rPr>
          <w:rFonts w:asciiTheme="majorHAnsi" w:eastAsiaTheme="majorEastAsia" w:hAnsiTheme="majorHAnsi" w:hint="eastAsia"/>
          <w:b/>
        </w:rPr>
        <w:t>5.36</w:t>
      </w:r>
      <w:r w:rsidRPr="006E00F4">
        <w:rPr>
          <w:rFonts w:asciiTheme="majorHAnsi" w:eastAsiaTheme="majorEastAsia" w:hAnsiTheme="majorHAnsi" w:hint="eastAsia"/>
          <w:b/>
        </w:rPr>
        <w:t>欧元，按固定汇率计算增长</w:t>
      </w:r>
      <w:r w:rsidRPr="006E00F4">
        <w:rPr>
          <w:rFonts w:asciiTheme="majorHAnsi" w:eastAsiaTheme="majorEastAsia" w:hAnsiTheme="majorHAnsi" w:hint="eastAsia"/>
          <w:b/>
        </w:rPr>
        <w:t>25.1%</w:t>
      </w:r>
    </w:p>
    <w:p w14:paraId="7696934F" w14:textId="77777777" w:rsidR="004B2C19" w:rsidRPr="006E00F4" w:rsidRDefault="00B07F4F"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rPr>
        <w:t>自由现金流充足，高达</w:t>
      </w:r>
      <w:r w:rsidRPr="006E00F4">
        <w:rPr>
          <w:rFonts w:asciiTheme="majorHAnsi" w:eastAsiaTheme="majorEastAsia" w:hAnsiTheme="majorHAnsi" w:hint="eastAsia"/>
          <w:b/>
        </w:rPr>
        <w:t>24</w:t>
      </w:r>
      <w:r w:rsidRPr="006E00F4">
        <w:rPr>
          <w:rFonts w:asciiTheme="majorHAnsi" w:eastAsiaTheme="majorEastAsia" w:hAnsiTheme="majorHAnsi" w:hint="eastAsia"/>
          <w:b/>
        </w:rPr>
        <w:t>亿欧元</w:t>
      </w:r>
    </w:p>
    <w:p w14:paraId="14E22DE1" w14:textId="77777777" w:rsidR="004B2C19" w:rsidRPr="006E00F4" w:rsidRDefault="00B07F4F" w:rsidP="004B2C19">
      <w:pPr>
        <w:pStyle w:val="ListParagraph"/>
        <w:numPr>
          <w:ilvl w:val="0"/>
          <w:numId w:val="7"/>
        </w:numPr>
        <w:spacing w:after="80"/>
        <w:ind w:left="357" w:right="-108" w:hanging="357"/>
        <w:contextualSpacing w:val="0"/>
        <w:jc w:val="left"/>
        <w:rPr>
          <w:rFonts w:asciiTheme="majorHAnsi" w:eastAsiaTheme="majorEastAsia" w:hAnsiTheme="majorHAnsi" w:cstheme="majorHAnsi"/>
          <w:b/>
          <w:szCs w:val="22"/>
        </w:rPr>
      </w:pPr>
      <w:r>
        <w:rPr>
          <w:rFonts w:asciiTheme="majorHAnsi" w:eastAsiaTheme="majorEastAsia" w:hAnsiTheme="majorHAnsi" w:hint="eastAsia"/>
          <w:b/>
        </w:rPr>
        <w:t>提议</w:t>
      </w:r>
      <w:r w:rsidR="001D4F9E" w:rsidRPr="006E00F4">
        <w:rPr>
          <w:rFonts w:asciiTheme="majorHAnsi" w:eastAsiaTheme="majorEastAsia" w:hAnsiTheme="majorHAnsi" w:hint="eastAsia"/>
          <w:b/>
        </w:rPr>
        <w:t>两位数百分比</w:t>
      </w:r>
      <w:r w:rsidR="001D4F9E">
        <w:rPr>
          <w:rFonts w:asciiTheme="majorHAnsi" w:eastAsiaTheme="majorEastAsia" w:hAnsiTheme="majorHAnsi" w:hint="eastAsia"/>
          <w:b/>
        </w:rPr>
        <w:t>的</w:t>
      </w:r>
      <w:r w:rsidR="00461D39" w:rsidRPr="006E00F4">
        <w:rPr>
          <w:rFonts w:asciiTheme="majorHAnsi" w:eastAsiaTheme="majorEastAsia" w:hAnsiTheme="majorHAnsi" w:hint="eastAsia"/>
          <w:b/>
        </w:rPr>
        <w:t>股息增幅：优先股每股为</w:t>
      </w:r>
      <w:r w:rsidR="00461D39" w:rsidRPr="006E00F4">
        <w:rPr>
          <w:rFonts w:asciiTheme="majorHAnsi" w:eastAsiaTheme="majorEastAsia" w:hAnsiTheme="majorHAnsi" w:hint="eastAsia"/>
          <w:b/>
        </w:rPr>
        <w:t>2.04</w:t>
      </w:r>
      <w:r w:rsidR="00461D39" w:rsidRPr="006E00F4">
        <w:rPr>
          <w:rFonts w:asciiTheme="majorHAnsi" w:eastAsiaTheme="majorEastAsia" w:hAnsiTheme="majorHAnsi" w:hint="eastAsia"/>
          <w:b/>
        </w:rPr>
        <w:t>欧元（增长</w:t>
      </w:r>
      <w:r w:rsidR="00461D39" w:rsidRPr="006E00F4">
        <w:rPr>
          <w:rFonts w:asciiTheme="majorHAnsi" w:eastAsiaTheme="majorEastAsia" w:hAnsiTheme="majorHAnsi" w:hint="eastAsia"/>
          <w:b/>
        </w:rPr>
        <w:t>10.3%</w:t>
      </w:r>
      <w:r w:rsidR="00461D39" w:rsidRPr="006E00F4">
        <w:rPr>
          <w:rFonts w:asciiTheme="majorHAnsi" w:eastAsiaTheme="majorEastAsia" w:hAnsiTheme="majorHAnsi" w:hint="eastAsia"/>
          <w:b/>
        </w:rPr>
        <w:t>）</w:t>
      </w:r>
    </w:p>
    <w:p w14:paraId="5168F1C0" w14:textId="77777777" w:rsidR="00B0701C" w:rsidRPr="006E00F4" w:rsidRDefault="00B07F4F" w:rsidP="004B2C19">
      <w:pPr>
        <w:pStyle w:val="ListParagraph"/>
        <w:numPr>
          <w:ilvl w:val="0"/>
          <w:numId w:val="7"/>
        </w:numPr>
        <w:spacing w:after="80"/>
        <w:ind w:left="357" w:right="-108" w:hanging="357"/>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rPr>
        <w:t>决定</w:t>
      </w:r>
      <w:r w:rsidR="00CF155B">
        <w:rPr>
          <w:rFonts w:asciiTheme="majorHAnsi" w:eastAsiaTheme="majorEastAsia" w:hAnsiTheme="majorHAnsi" w:hint="eastAsia"/>
          <w:b/>
        </w:rPr>
        <w:t>实施</w:t>
      </w:r>
      <w:r w:rsidRPr="006E00F4">
        <w:rPr>
          <w:rFonts w:asciiTheme="majorHAnsi" w:eastAsiaTheme="majorEastAsia" w:hAnsiTheme="majorHAnsi" w:hint="eastAsia"/>
          <w:b/>
        </w:rPr>
        <w:t>高达</w:t>
      </w:r>
      <w:r w:rsidRPr="006E00F4">
        <w:rPr>
          <w:rFonts w:asciiTheme="majorHAnsi" w:eastAsiaTheme="majorEastAsia" w:hAnsiTheme="majorHAnsi" w:hint="eastAsia"/>
          <w:b/>
        </w:rPr>
        <w:t>10</w:t>
      </w:r>
      <w:r w:rsidRPr="006E00F4">
        <w:rPr>
          <w:rFonts w:asciiTheme="majorHAnsi" w:eastAsiaTheme="majorEastAsia" w:hAnsiTheme="majorHAnsi" w:hint="eastAsia"/>
          <w:b/>
        </w:rPr>
        <w:t>亿欧元的新</w:t>
      </w:r>
      <w:r w:rsidR="00CF155B">
        <w:rPr>
          <w:rFonts w:asciiTheme="majorHAnsi" w:eastAsiaTheme="majorEastAsia" w:hAnsiTheme="majorHAnsi" w:hint="eastAsia"/>
          <w:b/>
        </w:rPr>
        <w:t>股票回购计划</w:t>
      </w:r>
    </w:p>
    <w:p w14:paraId="5970E292" w14:textId="77777777" w:rsidR="004B2C19" w:rsidRPr="006E00F4" w:rsidRDefault="00B07F4F" w:rsidP="004B2C19">
      <w:pPr>
        <w:numPr>
          <w:ilvl w:val="0"/>
          <w:numId w:val="7"/>
        </w:numPr>
        <w:spacing w:after="80"/>
        <w:ind w:left="357" w:right="-108" w:hanging="357"/>
        <w:jc w:val="left"/>
        <w:rPr>
          <w:rFonts w:asciiTheme="majorHAnsi" w:eastAsiaTheme="majorEastAsia" w:hAnsiTheme="majorHAnsi" w:cstheme="majorHAnsi"/>
          <w:b/>
          <w:szCs w:val="22"/>
        </w:rPr>
      </w:pPr>
      <w:r w:rsidRPr="006E00F4">
        <w:rPr>
          <w:rFonts w:asciiTheme="majorHAnsi" w:eastAsiaTheme="majorEastAsia" w:hAnsiTheme="majorHAnsi" w:hint="eastAsia"/>
          <w:b/>
        </w:rPr>
        <w:t>进一步加快实施目标性增长议程</w:t>
      </w:r>
    </w:p>
    <w:p w14:paraId="508F831F" w14:textId="77777777" w:rsidR="004B2C19" w:rsidRPr="006E00F4" w:rsidRDefault="00B07F4F"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rPr>
        <w:t>消费品牌业务部：整合速度快于预期，产品组合措施已</w:t>
      </w:r>
      <w:r w:rsidR="00E53651">
        <w:rPr>
          <w:rFonts w:asciiTheme="majorHAnsi" w:eastAsiaTheme="majorEastAsia" w:hAnsiTheme="majorHAnsi" w:hint="eastAsia"/>
          <w:b/>
        </w:rPr>
        <w:t>完成</w:t>
      </w:r>
      <w:r w:rsidRPr="006E00F4">
        <w:rPr>
          <w:rFonts w:asciiTheme="majorHAnsi" w:eastAsiaTheme="majorEastAsia" w:hAnsiTheme="majorHAnsi" w:hint="eastAsia"/>
          <w:b/>
        </w:rPr>
        <w:t>，到</w:t>
      </w:r>
      <w:r w:rsidRPr="006E00F4">
        <w:rPr>
          <w:rFonts w:asciiTheme="majorHAnsi" w:eastAsiaTheme="majorEastAsia" w:hAnsiTheme="majorHAnsi" w:hint="eastAsia"/>
          <w:b/>
        </w:rPr>
        <w:t>2025</w:t>
      </w:r>
      <w:r w:rsidRPr="006E00F4">
        <w:rPr>
          <w:rFonts w:asciiTheme="majorHAnsi" w:eastAsiaTheme="majorEastAsia" w:hAnsiTheme="majorHAnsi" w:hint="eastAsia"/>
          <w:b/>
        </w:rPr>
        <w:t>年底将实现全部成本节约计划</w:t>
      </w:r>
    </w:p>
    <w:p w14:paraId="79DE9E4C" w14:textId="77777777" w:rsidR="004B2C19" w:rsidRPr="006E00F4" w:rsidRDefault="00B07F4F"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rPr>
        <w:t>粘合剂技术业务部：</w:t>
      </w:r>
      <w:r w:rsidRPr="006E00F4">
        <w:rPr>
          <w:rFonts w:asciiTheme="majorHAnsi" w:eastAsiaTheme="majorEastAsia" w:hAnsiTheme="majorHAnsi" w:hint="eastAsia"/>
          <w:b/>
        </w:rPr>
        <w:t>2023</w:t>
      </w:r>
      <w:r w:rsidRPr="006E00F4">
        <w:rPr>
          <w:rFonts w:asciiTheme="majorHAnsi" w:eastAsiaTheme="majorEastAsia" w:hAnsiTheme="majorHAnsi" w:hint="eastAsia"/>
          <w:b/>
        </w:rPr>
        <w:t>年实施的新架构已见成效</w:t>
      </w:r>
    </w:p>
    <w:p w14:paraId="7BF3BBB5" w14:textId="77777777" w:rsidR="004B2C19" w:rsidRPr="006E00F4" w:rsidRDefault="00B07F4F" w:rsidP="005F00E8">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rPr>
        <w:t>远大的气候保护目标：确定净零排放路线图</w:t>
      </w:r>
    </w:p>
    <w:p w14:paraId="36ABD4AA" w14:textId="77777777" w:rsidR="004B2C19" w:rsidRPr="006E00F4" w:rsidRDefault="00B07F4F" w:rsidP="004B2C19">
      <w:pPr>
        <w:numPr>
          <w:ilvl w:val="0"/>
          <w:numId w:val="7"/>
        </w:numPr>
        <w:spacing w:after="80"/>
        <w:ind w:left="357" w:right="-108" w:hanging="357"/>
        <w:jc w:val="left"/>
        <w:rPr>
          <w:rFonts w:asciiTheme="majorHAnsi" w:eastAsiaTheme="majorEastAsia" w:hAnsiTheme="majorHAnsi" w:cstheme="majorHAnsi"/>
          <w:b/>
          <w:szCs w:val="22"/>
        </w:rPr>
      </w:pPr>
      <w:r w:rsidRPr="006E00F4">
        <w:rPr>
          <w:rFonts w:asciiTheme="majorHAnsi" w:eastAsiaTheme="majorEastAsia" w:hAnsiTheme="majorHAnsi" w:hint="eastAsia"/>
          <w:b/>
        </w:rPr>
        <w:t>2025</w:t>
      </w:r>
      <w:r w:rsidRPr="006E00F4">
        <w:rPr>
          <w:rFonts w:asciiTheme="majorHAnsi" w:eastAsiaTheme="majorEastAsia" w:hAnsiTheme="majorHAnsi" w:hint="eastAsia"/>
          <w:b/>
        </w:rPr>
        <w:t>财年展望：有望进一步实现</w:t>
      </w:r>
      <w:r w:rsidR="00A83DDB">
        <w:rPr>
          <w:rFonts w:asciiTheme="majorHAnsi" w:eastAsiaTheme="majorEastAsia" w:hAnsiTheme="majorHAnsi" w:hint="eastAsia"/>
          <w:b/>
        </w:rPr>
        <w:t>营收和利润</w:t>
      </w:r>
      <w:r w:rsidRPr="006E00F4">
        <w:rPr>
          <w:rFonts w:asciiTheme="majorHAnsi" w:eastAsiaTheme="majorEastAsia" w:hAnsiTheme="majorHAnsi" w:hint="eastAsia"/>
          <w:b/>
        </w:rPr>
        <w:t>增长</w:t>
      </w:r>
      <w:r w:rsidR="001D7294">
        <w:rPr>
          <w:rFonts w:asciiTheme="majorHAnsi" w:eastAsiaTheme="majorEastAsia" w:hAnsiTheme="majorHAnsi" w:hint="eastAsia"/>
          <w:b/>
        </w:rPr>
        <w:t>，</w:t>
      </w:r>
      <w:r w:rsidRPr="006E00F4">
        <w:rPr>
          <w:rFonts w:asciiTheme="majorHAnsi" w:eastAsiaTheme="majorEastAsia" w:hAnsiTheme="majorHAnsi" w:hint="eastAsia"/>
          <w:b/>
        </w:rPr>
        <w:t>年初增长</w:t>
      </w:r>
      <w:r w:rsidR="00A83DDB">
        <w:rPr>
          <w:rFonts w:asciiTheme="majorHAnsi" w:eastAsiaTheme="majorEastAsia" w:hAnsiTheme="majorHAnsi" w:hint="eastAsia"/>
          <w:b/>
        </w:rPr>
        <w:t>缓慢</w:t>
      </w:r>
      <w:r w:rsidRPr="006E00F4">
        <w:rPr>
          <w:rFonts w:asciiTheme="majorHAnsi" w:eastAsiaTheme="majorEastAsia" w:hAnsiTheme="majorHAnsi" w:hint="eastAsia"/>
          <w:b/>
        </w:rPr>
        <w:t>，</w:t>
      </w:r>
      <w:r w:rsidR="00A83DDB">
        <w:rPr>
          <w:rFonts w:asciiTheme="majorHAnsi" w:eastAsiaTheme="majorEastAsia" w:hAnsiTheme="majorHAnsi" w:hint="eastAsia"/>
          <w:b/>
        </w:rPr>
        <w:t>年内将</w:t>
      </w:r>
      <w:r w:rsidRPr="006E00F4">
        <w:rPr>
          <w:rFonts w:asciiTheme="majorHAnsi" w:eastAsiaTheme="majorEastAsia" w:hAnsiTheme="majorHAnsi" w:hint="eastAsia"/>
          <w:b/>
        </w:rPr>
        <w:t>逐渐加速</w:t>
      </w:r>
    </w:p>
    <w:p w14:paraId="1B9BC818" w14:textId="77777777" w:rsidR="004B2C19" w:rsidRPr="006E00F4" w:rsidRDefault="00B07F4F" w:rsidP="00C82433">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rPr>
        <w:t>有机销售额增长：</w:t>
      </w:r>
      <w:r w:rsidRPr="006E00F4">
        <w:rPr>
          <w:rFonts w:asciiTheme="majorHAnsi" w:eastAsiaTheme="majorEastAsia" w:hAnsiTheme="majorHAnsi" w:hint="eastAsia"/>
          <w:b/>
        </w:rPr>
        <w:t>1.5</w:t>
      </w:r>
      <w:r w:rsidR="00A83DDB">
        <w:rPr>
          <w:rFonts w:asciiTheme="majorHAnsi" w:eastAsiaTheme="majorEastAsia" w:hAnsiTheme="majorHAnsi" w:hint="eastAsia"/>
          <w:b/>
        </w:rPr>
        <w:t>%</w:t>
      </w:r>
      <w:r w:rsidRPr="006E00F4">
        <w:rPr>
          <w:rFonts w:asciiTheme="majorHAnsi" w:eastAsiaTheme="majorEastAsia" w:hAnsiTheme="majorHAnsi" w:hint="eastAsia"/>
          <w:b/>
        </w:rPr>
        <w:t xml:space="preserve"> - 3.5</w:t>
      </w:r>
      <w:r w:rsidR="00A83DDB">
        <w:rPr>
          <w:rFonts w:asciiTheme="majorHAnsi" w:eastAsiaTheme="majorEastAsia" w:hAnsiTheme="majorHAnsi" w:hint="eastAsia"/>
          <w:b/>
        </w:rPr>
        <w:t>%</w:t>
      </w:r>
    </w:p>
    <w:p w14:paraId="4608D3C3" w14:textId="77777777" w:rsidR="004B2C19" w:rsidRPr="006E00F4" w:rsidRDefault="00B07F4F" w:rsidP="00C82433">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rPr>
        <w:t>息税前利润率</w:t>
      </w:r>
      <w:r w:rsidRPr="006E00F4">
        <w:rPr>
          <w:rFonts w:asciiTheme="majorHAnsi" w:eastAsiaTheme="majorEastAsia" w:hAnsiTheme="majorHAnsi" w:hint="eastAsia"/>
          <w:b/>
        </w:rPr>
        <w:t>*</w:t>
      </w:r>
      <w:r w:rsidRPr="006E00F4">
        <w:rPr>
          <w:rFonts w:asciiTheme="majorHAnsi" w:eastAsiaTheme="majorEastAsia" w:hAnsiTheme="majorHAnsi" w:hint="eastAsia"/>
          <w:b/>
        </w:rPr>
        <w:t>：</w:t>
      </w:r>
      <w:r w:rsidRPr="006E00F4">
        <w:rPr>
          <w:rFonts w:asciiTheme="majorHAnsi" w:eastAsiaTheme="majorEastAsia" w:hAnsiTheme="majorHAnsi" w:hint="eastAsia"/>
          <w:b/>
        </w:rPr>
        <w:t>14.0</w:t>
      </w:r>
      <w:r w:rsidR="00A83DDB">
        <w:rPr>
          <w:rFonts w:asciiTheme="majorHAnsi" w:eastAsiaTheme="majorEastAsia" w:hAnsiTheme="majorHAnsi" w:hint="eastAsia"/>
          <w:b/>
        </w:rPr>
        <w:t>%</w:t>
      </w:r>
      <w:r w:rsidRPr="006E00F4">
        <w:rPr>
          <w:rFonts w:asciiTheme="majorHAnsi" w:eastAsiaTheme="majorEastAsia" w:hAnsiTheme="majorHAnsi" w:hint="eastAsia"/>
          <w:b/>
        </w:rPr>
        <w:t xml:space="preserve"> - 15.5</w:t>
      </w:r>
      <w:r w:rsidR="00A83DDB">
        <w:rPr>
          <w:rFonts w:asciiTheme="majorHAnsi" w:eastAsiaTheme="majorEastAsia" w:hAnsiTheme="majorHAnsi" w:hint="eastAsia"/>
          <w:b/>
        </w:rPr>
        <w:t>%</w:t>
      </w:r>
    </w:p>
    <w:p w14:paraId="27CFC2DD" w14:textId="77777777" w:rsidR="004B2C19" w:rsidRPr="006E00F4" w:rsidRDefault="00B07F4F" w:rsidP="00C82433">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rPr>
        <w:t>优先股每股收益（</w:t>
      </w:r>
      <w:r w:rsidRPr="006E00F4">
        <w:rPr>
          <w:rFonts w:asciiTheme="majorHAnsi" w:eastAsiaTheme="majorEastAsia" w:hAnsiTheme="majorHAnsi" w:hint="eastAsia"/>
          <w:b/>
        </w:rPr>
        <w:t>EPS</w:t>
      </w:r>
      <w:r w:rsidRPr="006E00F4">
        <w:rPr>
          <w:rFonts w:asciiTheme="majorHAnsi" w:eastAsiaTheme="majorEastAsia" w:hAnsiTheme="majorHAnsi" w:hint="eastAsia"/>
          <w:b/>
        </w:rPr>
        <w:t>）</w:t>
      </w:r>
      <w:r w:rsidRPr="006E00F4">
        <w:rPr>
          <w:rFonts w:asciiTheme="majorHAnsi" w:eastAsiaTheme="majorEastAsia" w:hAnsiTheme="majorHAnsi" w:hint="eastAsia"/>
          <w:b/>
        </w:rPr>
        <w:t>*</w:t>
      </w:r>
      <w:r w:rsidRPr="006E00F4">
        <w:rPr>
          <w:rFonts w:asciiTheme="majorHAnsi" w:eastAsiaTheme="majorEastAsia" w:hAnsiTheme="majorHAnsi" w:hint="eastAsia"/>
          <w:b/>
        </w:rPr>
        <w:t>：增幅介于较低至较高个位数百分比之间（按固定汇率计算）</w:t>
      </w:r>
    </w:p>
    <w:p w14:paraId="68736D07" w14:textId="77777777" w:rsidR="004B2C19" w:rsidRPr="006E00F4" w:rsidRDefault="004B2C19" w:rsidP="004B2C19">
      <w:pPr>
        <w:spacing w:line="240" w:lineRule="auto"/>
        <w:rPr>
          <w:rFonts w:cs="Segoe UI"/>
          <w:sz w:val="16"/>
          <w:szCs w:val="16"/>
        </w:rPr>
      </w:pPr>
    </w:p>
    <w:p w14:paraId="0EE6A770" w14:textId="77777777" w:rsidR="004B2C19" w:rsidRDefault="00B07F4F" w:rsidP="00521834">
      <w:pPr>
        <w:rPr>
          <w:b/>
        </w:rPr>
      </w:pPr>
      <w:r w:rsidRPr="006E00F4">
        <w:rPr>
          <w:rFonts w:hint="eastAsia"/>
          <w:b/>
        </w:rPr>
        <w:t>杜塞尔多夫</w:t>
      </w:r>
      <w:r w:rsidRPr="006E00F4">
        <w:rPr>
          <w:rFonts w:hint="eastAsia"/>
          <w:b/>
        </w:rPr>
        <w:t xml:space="preserve"> </w:t>
      </w:r>
      <w:r w:rsidRPr="006E00F4">
        <w:rPr>
          <w:rFonts w:hint="eastAsia"/>
          <w:b/>
        </w:rPr>
        <w:t>–</w:t>
      </w:r>
      <w:r w:rsidRPr="006E00F4">
        <w:rPr>
          <w:rFonts w:hint="eastAsia"/>
          <w:b/>
        </w:rPr>
        <w:t xml:space="preserve"> </w:t>
      </w:r>
      <w:r w:rsidRPr="006E00F4">
        <w:rPr>
          <w:rFonts w:hint="eastAsia"/>
          <w:b/>
        </w:rPr>
        <w:t>“</w:t>
      </w:r>
      <w:r w:rsidRPr="006E00F4">
        <w:rPr>
          <w:rFonts w:hint="eastAsia"/>
          <w:b/>
        </w:rPr>
        <w:t>2024</w:t>
      </w:r>
      <w:r w:rsidRPr="006E00F4">
        <w:rPr>
          <w:rFonts w:hint="eastAsia"/>
          <w:b/>
        </w:rPr>
        <w:t>财年再次面临重大挑战和众多经济不确定因素。尽管如此，我们在过去一年中依然持续推进汉高的发展，达成</w:t>
      </w:r>
      <w:r w:rsidR="00A83DDB">
        <w:rPr>
          <w:rFonts w:hint="eastAsia"/>
          <w:b/>
        </w:rPr>
        <w:t>甚至超越</w:t>
      </w:r>
      <w:r w:rsidRPr="006E00F4">
        <w:rPr>
          <w:rFonts w:hint="eastAsia"/>
          <w:b/>
        </w:rPr>
        <w:t>了多个重要里程碑。最重要的是，</w:t>
      </w:r>
      <w:r w:rsidRPr="006E00F4">
        <w:rPr>
          <w:rFonts w:hint="eastAsia"/>
          <w:b/>
        </w:rPr>
        <w:t>2024</w:t>
      </w:r>
      <w:r w:rsidRPr="006E00F4">
        <w:rPr>
          <w:rFonts w:hint="eastAsia"/>
          <w:b/>
        </w:rPr>
        <w:t>年出色的业绩</w:t>
      </w:r>
      <w:r w:rsidR="00A83DDB">
        <w:rPr>
          <w:rFonts w:hint="eastAsia"/>
          <w:b/>
        </w:rPr>
        <w:t>证明了</w:t>
      </w:r>
      <w:r w:rsidRPr="006E00F4">
        <w:rPr>
          <w:rFonts w:hint="eastAsia"/>
          <w:b/>
        </w:rPr>
        <w:t>我们目标性增长议程</w:t>
      </w:r>
      <w:r w:rsidR="00692327">
        <w:rPr>
          <w:rFonts w:hint="eastAsia"/>
          <w:b/>
        </w:rPr>
        <w:t>的</w:t>
      </w:r>
      <w:r w:rsidR="00692327" w:rsidRPr="006E00F4">
        <w:rPr>
          <w:rFonts w:hint="eastAsia"/>
          <w:b/>
        </w:rPr>
        <w:t>成功实施</w:t>
      </w:r>
      <w:r w:rsidRPr="006E00F4">
        <w:rPr>
          <w:rFonts w:hint="eastAsia"/>
          <w:b/>
        </w:rPr>
        <w:t>。</w:t>
      </w:r>
      <w:r w:rsidR="001D7294">
        <w:rPr>
          <w:rFonts w:hint="eastAsia"/>
          <w:b/>
        </w:rPr>
        <w:t>”</w:t>
      </w:r>
      <w:r w:rsidR="001D7294" w:rsidRPr="006E00F4">
        <w:rPr>
          <w:rFonts w:hint="eastAsia"/>
          <w:b/>
        </w:rPr>
        <w:t>汉高首席执行官卡斯滕·诺贝尔</w:t>
      </w:r>
      <w:r w:rsidR="001D7294" w:rsidRPr="006E00F4">
        <w:rPr>
          <w:rFonts w:hint="eastAsia"/>
          <w:b/>
        </w:rPr>
        <w:lastRenderedPageBreak/>
        <w:t>（</w:t>
      </w:r>
      <w:r w:rsidR="001D7294" w:rsidRPr="006E00F4">
        <w:rPr>
          <w:rFonts w:hint="eastAsia"/>
          <w:b/>
        </w:rPr>
        <w:t>Carsten Knobel</w:t>
      </w:r>
      <w:r w:rsidR="001D7294" w:rsidRPr="006E00F4">
        <w:rPr>
          <w:rFonts w:hint="eastAsia"/>
          <w:b/>
        </w:rPr>
        <w:t>）表示：</w:t>
      </w:r>
      <w:r w:rsidR="001D7294">
        <w:rPr>
          <w:rFonts w:hint="eastAsia"/>
          <w:b/>
        </w:rPr>
        <w:t>“</w:t>
      </w:r>
      <w:r w:rsidRPr="006E00F4">
        <w:rPr>
          <w:rFonts w:hint="eastAsia"/>
          <w:b/>
        </w:rPr>
        <w:t>2024</w:t>
      </w:r>
      <w:r w:rsidRPr="006E00F4">
        <w:rPr>
          <w:rFonts w:hint="eastAsia"/>
          <w:b/>
        </w:rPr>
        <w:t>年，我们实现了良好的有机销售额增长，并显著提高了盈利能力</w:t>
      </w:r>
      <w:r w:rsidR="00CF155B">
        <w:rPr>
          <w:rFonts w:hint="eastAsia"/>
          <w:b/>
        </w:rPr>
        <w:t>——</w:t>
      </w:r>
      <w:r w:rsidRPr="006E00F4">
        <w:rPr>
          <w:rFonts w:hint="eastAsia"/>
          <w:b/>
        </w:rPr>
        <w:t>在出色的毛利率增长支持下，利润率大幅提高</w:t>
      </w:r>
      <w:r w:rsidRPr="006E00F4">
        <w:rPr>
          <w:rFonts w:hint="eastAsia"/>
          <w:b/>
        </w:rPr>
        <w:t>2.4%</w:t>
      </w:r>
      <w:r w:rsidRPr="006E00F4">
        <w:rPr>
          <w:rFonts w:hint="eastAsia"/>
          <w:b/>
        </w:rPr>
        <w:t>，优先股每股收益也大幅增长</w:t>
      </w:r>
      <w:r w:rsidRPr="006E00F4">
        <w:rPr>
          <w:rFonts w:hint="eastAsia"/>
          <w:b/>
        </w:rPr>
        <w:t>25%</w:t>
      </w:r>
      <w:r w:rsidRPr="006E00F4">
        <w:rPr>
          <w:rFonts w:hint="eastAsia"/>
          <w:b/>
        </w:rPr>
        <w:t>。有针对性地提高产品对客户和消费者的价值，是我们盈利增长的主要驱动力。此外，消费品牌整合带来的成本节约</w:t>
      </w:r>
      <w:r w:rsidR="00CF155B">
        <w:rPr>
          <w:rFonts w:hint="eastAsia"/>
          <w:b/>
        </w:rPr>
        <w:t>与其</w:t>
      </w:r>
      <w:r w:rsidRPr="006E00F4">
        <w:rPr>
          <w:rFonts w:hint="eastAsia"/>
          <w:b/>
        </w:rPr>
        <w:t>已宣布的产品组合优化措施</w:t>
      </w:r>
      <w:r w:rsidR="00CF155B">
        <w:rPr>
          <w:rFonts w:hint="eastAsia"/>
          <w:b/>
        </w:rPr>
        <w:t>也为</w:t>
      </w:r>
      <w:r w:rsidR="00CF155B" w:rsidRPr="006E00F4">
        <w:rPr>
          <w:rFonts w:hint="eastAsia"/>
          <w:b/>
        </w:rPr>
        <w:t>强劲的业绩</w:t>
      </w:r>
      <w:r w:rsidR="00CF155B">
        <w:rPr>
          <w:rFonts w:hint="eastAsia"/>
          <w:b/>
        </w:rPr>
        <w:t>表现做出贡献</w:t>
      </w:r>
      <w:r w:rsidRPr="006E00F4">
        <w:rPr>
          <w:rFonts w:hint="eastAsia"/>
          <w:b/>
        </w:rPr>
        <w:t>。”</w:t>
      </w:r>
    </w:p>
    <w:p w14:paraId="37A04B90" w14:textId="77777777" w:rsidR="008D455D" w:rsidRDefault="008D455D" w:rsidP="00521834">
      <w:pPr>
        <w:rPr>
          <w:b/>
        </w:rPr>
      </w:pPr>
    </w:p>
    <w:p w14:paraId="4F139B6C" w14:textId="4215DE4F" w:rsidR="008D455D" w:rsidRDefault="008D455D" w:rsidP="008D455D">
      <w:pPr>
        <w:jc w:val="center"/>
        <w:rPr>
          <w:rFonts w:cs="Segoe UI"/>
          <w:b/>
          <w:bCs/>
          <w:szCs w:val="22"/>
        </w:rPr>
      </w:pPr>
      <w:r>
        <w:rPr>
          <w:rFonts w:cs="Segoe UI" w:hint="eastAsia"/>
          <w:b/>
          <w:bCs/>
          <w:noProof/>
          <w:szCs w:val="22"/>
        </w:rPr>
        <w:drawing>
          <wp:inline distT="0" distB="0" distL="0" distR="0" wp14:anchorId="5BFE4D9F" wp14:editId="71851C98">
            <wp:extent cx="3562503" cy="2375133"/>
            <wp:effectExtent l="0" t="0" r="0" b="0"/>
            <wp:docPr id="88258270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82704" name="图片 88258270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7849" cy="2398698"/>
                    </a:xfrm>
                    <a:prstGeom prst="rect">
                      <a:avLst/>
                    </a:prstGeom>
                  </pic:spPr>
                </pic:pic>
              </a:graphicData>
            </a:graphic>
          </wp:inline>
        </w:drawing>
      </w:r>
    </w:p>
    <w:p w14:paraId="0CAC7CA3" w14:textId="00E0C015" w:rsidR="008D455D" w:rsidRPr="008D455D" w:rsidRDefault="008D455D" w:rsidP="008D455D">
      <w:pPr>
        <w:jc w:val="center"/>
        <w:rPr>
          <w:rFonts w:asciiTheme="majorEastAsia" w:eastAsiaTheme="majorEastAsia" w:hAnsiTheme="majorEastAsia" w:cs="Segoe UI"/>
          <w:b/>
          <w:bCs/>
          <w:szCs w:val="22"/>
        </w:rPr>
      </w:pPr>
      <w:r w:rsidRPr="008D455D">
        <w:rPr>
          <w:rStyle w:val="normaltextrun"/>
          <w:rFonts w:asciiTheme="majorEastAsia" w:eastAsiaTheme="majorEastAsia" w:hAnsiTheme="majorEastAsia" w:cs="Segoe UI"/>
          <w:i/>
          <w:iCs/>
          <w:color w:val="000000"/>
          <w:szCs w:val="22"/>
          <w:shd w:val="clear" w:color="auto" w:fill="FFFFFF"/>
        </w:rPr>
        <w:t>汉高首席执行官卡斯滕</w:t>
      </w:r>
      <w:r w:rsidRPr="008D455D">
        <w:rPr>
          <w:rStyle w:val="normaltextrun"/>
          <w:rFonts w:asciiTheme="majorEastAsia" w:eastAsiaTheme="majorEastAsia" w:hAnsiTheme="majorEastAsia" w:cs="Arial"/>
          <w:i/>
          <w:iCs/>
          <w:color w:val="000000"/>
          <w:szCs w:val="22"/>
          <w:shd w:val="clear" w:color="auto" w:fill="FFFFFF"/>
        </w:rPr>
        <w:t>·</w:t>
      </w:r>
      <w:r w:rsidRPr="008D455D">
        <w:rPr>
          <w:rStyle w:val="normaltextrun"/>
          <w:rFonts w:asciiTheme="majorEastAsia" w:eastAsiaTheme="majorEastAsia" w:hAnsiTheme="majorEastAsia" w:cs="Segoe UI"/>
          <w:i/>
          <w:iCs/>
          <w:color w:val="000000"/>
          <w:szCs w:val="22"/>
          <w:shd w:val="clear" w:color="auto" w:fill="FFFFFF"/>
        </w:rPr>
        <w:t>诺贝尔（</w:t>
      </w:r>
      <w:r w:rsidRPr="008D455D">
        <w:rPr>
          <w:rStyle w:val="normaltextrun"/>
          <w:rFonts w:asciiTheme="majorEastAsia" w:eastAsiaTheme="majorEastAsia" w:hAnsiTheme="majorEastAsia" w:cs="Arial"/>
          <w:i/>
          <w:iCs/>
          <w:color w:val="000000"/>
          <w:szCs w:val="22"/>
          <w:shd w:val="clear" w:color="auto" w:fill="FFFFFF"/>
        </w:rPr>
        <w:t>Carsten Knobel）</w:t>
      </w:r>
    </w:p>
    <w:p w14:paraId="41B22870" w14:textId="77777777" w:rsidR="004B2C19" w:rsidRPr="006E00F4" w:rsidRDefault="004B2C19" w:rsidP="004B2C19">
      <w:pPr>
        <w:rPr>
          <w:rFonts w:cs="Segoe UI"/>
          <w:b/>
          <w:bCs/>
          <w:szCs w:val="22"/>
        </w:rPr>
      </w:pPr>
    </w:p>
    <w:p w14:paraId="4EA256FE" w14:textId="77777777" w:rsidR="00BB0AB3" w:rsidRPr="006E00F4" w:rsidRDefault="00B07F4F" w:rsidP="00C82433">
      <w:pPr>
        <w:rPr>
          <w:rFonts w:cs="Segoe UI"/>
          <w:b/>
          <w:bCs/>
          <w:szCs w:val="22"/>
        </w:rPr>
      </w:pPr>
      <w:r w:rsidRPr="006E00F4">
        <w:rPr>
          <w:rFonts w:hint="eastAsia"/>
          <w:b/>
        </w:rPr>
        <w:t>卡斯滕·</w:t>
      </w:r>
      <w:r w:rsidR="00461D39" w:rsidRPr="006E00F4">
        <w:rPr>
          <w:rFonts w:hint="eastAsia"/>
          <w:b/>
        </w:rPr>
        <w:t>诺贝尔继续说道：“与此同时，我们必须继续</w:t>
      </w:r>
      <w:r w:rsidR="00CF155B">
        <w:rPr>
          <w:rFonts w:hint="eastAsia"/>
          <w:b/>
        </w:rPr>
        <w:t>专注于</w:t>
      </w:r>
      <w:r w:rsidR="00461D39" w:rsidRPr="006E00F4">
        <w:rPr>
          <w:rFonts w:hint="eastAsia"/>
          <w:b/>
        </w:rPr>
        <w:t>对业务和未来增长</w:t>
      </w:r>
      <w:r w:rsidR="00CF155B">
        <w:rPr>
          <w:rFonts w:hint="eastAsia"/>
          <w:b/>
        </w:rPr>
        <w:t>的</w:t>
      </w:r>
      <w:r w:rsidR="00461D39" w:rsidRPr="006E00F4">
        <w:rPr>
          <w:rFonts w:hint="eastAsia"/>
          <w:b/>
        </w:rPr>
        <w:t>投资，例如通过增加消费品业务的营销活动</w:t>
      </w:r>
      <w:r w:rsidR="00CF155B">
        <w:rPr>
          <w:rFonts w:hint="eastAsia"/>
          <w:b/>
        </w:rPr>
        <w:t>，</w:t>
      </w:r>
      <w:r w:rsidR="00461D39" w:rsidRPr="006E00F4">
        <w:rPr>
          <w:rFonts w:hint="eastAsia"/>
          <w:b/>
        </w:rPr>
        <w:t>以及在两个业务部</w:t>
      </w:r>
      <w:r w:rsidR="00CF155B">
        <w:rPr>
          <w:rFonts w:hint="eastAsia"/>
          <w:b/>
        </w:rPr>
        <w:t>推动</w:t>
      </w:r>
      <w:r w:rsidR="00461D39" w:rsidRPr="006E00F4">
        <w:rPr>
          <w:rFonts w:hint="eastAsia"/>
          <w:b/>
        </w:rPr>
        <w:t>成功的创新。我们希望股东们能够参与公司的成功发展。因此，我们将在年度股东大会上提议以两位数的百分比增加股息。我们还决定实施一项新的股票回购计划，回购金额高达</w:t>
      </w:r>
      <w:r w:rsidR="00461D39" w:rsidRPr="006E00F4">
        <w:rPr>
          <w:rFonts w:hint="eastAsia"/>
          <w:b/>
        </w:rPr>
        <w:t>10</w:t>
      </w:r>
      <w:r w:rsidR="00461D39" w:rsidRPr="006E00F4">
        <w:rPr>
          <w:rFonts w:hint="eastAsia"/>
          <w:b/>
        </w:rPr>
        <w:t>亿欧元。”</w:t>
      </w:r>
    </w:p>
    <w:p w14:paraId="44F022DE" w14:textId="77777777" w:rsidR="00BB0AB3" w:rsidRPr="006E00F4" w:rsidRDefault="00BB0AB3" w:rsidP="00C82433">
      <w:pPr>
        <w:rPr>
          <w:rFonts w:cs="Segoe UI"/>
          <w:b/>
          <w:bCs/>
          <w:szCs w:val="22"/>
        </w:rPr>
      </w:pPr>
    </w:p>
    <w:p w14:paraId="1B63804D" w14:textId="77777777" w:rsidR="0000752F" w:rsidRPr="006E00F4" w:rsidRDefault="00B07F4F" w:rsidP="00A43578">
      <w:pPr>
        <w:rPr>
          <w:rFonts w:cs="Segoe UI"/>
          <w:b/>
          <w:bCs/>
          <w:szCs w:val="22"/>
        </w:rPr>
      </w:pPr>
      <w:r w:rsidRPr="006E00F4">
        <w:rPr>
          <w:rFonts w:hint="eastAsia"/>
          <w:b/>
        </w:rPr>
        <w:t>卡斯滕·</w:t>
      </w:r>
      <w:r w:rsidR="00461D39" w:rsidRPr="006E00F4">
        <w:rPr>
          <w:rFonts w:hint="eastAsia"/>
          <w:b/>
        </w:rPr>
        <w:t>诺贝尔还总结道：“过去一年的业绩清楚地表明，汉高的转型正在取得成功</w:t>
      </w:r>
      <w:r w:rsidR="00965A44">
        <w:rPr>
          <w:rFonts w:hint="eastAsia"/>
          <w:b/>
        </w:rPr>
        <w:t>。</w:t>
      </w:r>
      <w:r w:rsidR="00461D39" w:rsidRPr="006E00F4">
        <w:rPr>
          <w:rFonts w:hint="eastAsia"/>
          <w:b/>
        </w:rPr>
        <w:t>根据目标性增长战略议程，我们正</w:t>
      </w:r>
      <w:r w:rsidR="001117E8">
        <w:rPr>
          <w:rFonts w:hint="eastAsia"/>
          <w:b/>
        </w:rPr>
        <w:t>沿着正确的路线发展公司以制胜未来。</w:t>
      </w:r>
      <w:r w:rsidR="00461D39" w:rsidRPr="006E00F4">
        <w:rPr>
          <w:rFonts w:hint="eastAsia"/>
          <w:b/>
        </w:rPr>
        <w:t>这也反映在对</w:t>
      </w:r>
      <w:r w:rsidR="00461D39" w:rsidRPr="006E00F4">
        <w:rPr>
          <w:rFonts w:hint="eastAsia"/>
          <w:b/>
        </w:rPr>
        <w:t>2025</w:t>
      </w:r>
      <w:r w:rsidR="00461D39" w:rsidRPr="006E00F4">
        <w:rPr>
          <w:rFonts w:hint="eastAsia"/>
          <w:b/>
        </w:rPr>
        <w:t>财年的展望中，尽管商业环境仍然充满挑战，但我们预计销售额和盈利将实现进一步增长。我要感谢所有汉高员工的杰出表现。得益于他们的团队合作和非凡承诺，我们再次成功带领公司度过了充满挑战的一年。”</w:t>
      </w:r>
    </w:p>
    <w:p w14:paraId="533DBDF9" w14:textId="77777777" w:rsidR="004B2C19" w:rsidRPr="006E00F4" w:rsidRDefault="004B2C19" w:rsidP="004B2C19">
      <w:pPr>
        <w:spacing w:after="80"/>
        <w:rPr>
          <w:rFonts w:cs="Segoe UI"/>
          <w:szCs w:val="22"/>
          <w:lang w:eastAsia="de-DE"/>
        </w:rPr>
      </w:pPr>
    </w:p>
    <w:p w14:paraId="61E61866" w14:textId="77777777" w:rsidR="00A43578" w:rsidRPr="006E00F4" w:rsidRDefault="00B07F4F" w:rsidP="00A43578">
      <w:pPr>
        <w:spacing w:after="120"/>
        <w:rPr>
          <w:rFonts w:cs="Segoe UI"/>
          <w:b/>
          <w:bCs/>
          <w:szCs w:val="22"/>
        </w:rPr>
      </w:pPr>
      <w:r w:rsidRPr="006E00F4">
        <w:rPr>
          <w:rFonts w:hint="eastAsia"/>
          <w:b/>
        </w:rPr>
        <w:t>2025</w:t>
      </w:r>
      <w:r w:rsidRPr="006E00F4">
        <w:rPr>
          <w:rFonts w:hint="eastAsia"/>
          <w:b/>
        </w:rPr>
        <w:t>财年展望</w:t>
      </w:r>
    </w:p>
    <w:p w14:paraId="4B3B392C" w14:textId="77777777" w:rsidR="00A43578" w:rsidRPr="006E00F4" w:rsidRDefault="00B07F4F" w:rsidP="00A43578">
      <w:pPr>
        <w:rPr>
          <w:rFonts w:cs="Segoe UI"/>
          <w:szCs w:val="22"/>
        </w:rPr>
      </w:pPr>
      <w:r w:rsidRPr="006E00F4">
        <w:rPr>
          <w:rFonts w:hint="eastAsia"/>
        </w:rPr>
        <w:t>继</w:t>
      </w:r>
      <w:r w:rsidRPr="006E00F4">
        <w:rPr>
          <w:rFonts w:hint="eastAsia"/>
        </w:rPr>
        <w:t>2024</w:t>
      </w:r>
      <w:r w:rsidRPr="006E00F4">
        <w:rPr>
          <w:rFonts w:hint="eastAsia"/>
        </w:rPr>
        <w:t>年平稳增长</w:t>
      </w:r>
      <w:r w:rsidR="001117E8">
        <w:rPr>
          <w:rFonts w:hint="eastAsia"/>
        </w:rPr>
        <w:t>的</w:t>
      </w:r>
      <w:r w:rsidRPr="006E00F4">
        <w:rPr>
          <w:rFonts w:hint="eastAsia"/>
        </w:rPr>
        <w:t>势头后，预计</w:t>
      </w:r>
      <w:r w:rsidRPr="006E00F4">
        <w:rPr>
          <w:rFonts w:hint="eastAsia"/>
        </w:rPr>
        <w:t>2025</w:t>
      </w:r>
      <w:r w:rsidRPr="006E00F4">
        <w:rPr>
          <w:rFonts w:hint="eastAsia"/>
        </w:rPr>
        <w:t>年全球经济产出仍将比较平稳。因此，假定</w:t>
      </w:r>
      <w:r w:rsidR="001117E8">
        <w:rPr>
          <w:rFonts w:hint="eastAsia"/>
        </w:rPr>
        <w:t>工业领域需求和</w:t>
      </w:r>
      <w:r w:rsidRPr="006E00F4">
        <w:rPr>
          <w:rFonts w:hint="eastAsia"/>
        </w:rPr>
        <w:t>汉高消费品业务关键领域的消费需求都会适度增长。此外，根据目前的估计，与前几年相比，</w:t>
      </w:r>
      <w:r w:rsidRPr="006E00F4">
        <w:rPr>
          <w:rFonts w:hint="eastAsia"/>
        </w:rPr>
        <w:t>2025</w:t>
      </w:r>
      <w:r w:rsidRPr="006E00F4">
        <w:rPr>
          <w:rFonts w:hint="eastAsia"/>
        </w:rPr>
        <w:t>财年的全球通胀率预计将继续降低，利率也将下降。</w:t>
      </w:r>
    </w:p>
    <w:p w14:paraId="3A0D191D" w14:textId="77777777" w:rsidR="00A43578" w:rsidRPr="006E00F4" w:rsidRDefault="00A43578" w:rsidP="00A43578">
      <w:pPr>
        <w:rPr>
          <w:rFonts w:cs="Segoe UI"/>
          <w:szCs w:val="22"/>
        </w:rPr>
      </w:pPr>
    </w:p>
    <w:p w14:paraId="61E91D8C" w14:textId="77777777" w:rsidR="00A43578" w:rsidRPr="006E00F4" w:rsidRDefault="00B07F4F" w:rsidP="00A43578">
      <w:pPr>
        <w:rPr>
          <w:rFonts w:cs="Segoe UI"/>
          <w:szCs w:val="22"/>
        </w:rPr>
      </w:pPr>
      <w:r w:rsidRPr="006E00F4">
        <w:rPr>
          <w:rFonts w:hint="eastAsia"/>
        </w:rPr>
        <w:t>在直接原材料价格方面，汉高预计与</w:t>
      </w:r>
      <w:r w:rsidRPr="006E00F4">
        <w:rPr>
          <w:rFonts w:hint="eastAsia"/>
        </w:rPr>
        <w:t>2024</w:t>
      </w:r>
      <w:r w:rsidRPr="006E00F4">
        <w:rPr>
          <w:rFonts w:hint="eastAsia"/>
        </w:rPr>
        <w:t>年的平均价格相比，将出现低至中等个位数百分比的上涨。外汇销售额的换算预计将产生</w:t>
      </w:r>
      <w:r w:rsidR="007D455E" w:rsidRPr="006E00F4">
        <w:rPr>
          <w:rFonts w:hint="eastAsia"/>
        </w:rPr>
        <w:t>中性</w:t>
      </w:r>
      <w:r w:rsidR="007D455E">
        <w:rPr>
          <w:rFonts w:hint="eastAsia"/>
        </w:rPr>
        <w:t>至</w:t>
      </w:r>
      <w:r w:rsidRPr="006E00F4">
        <w:rPr>
          <w:rFonts w:hint="eastAsia"/>
        </w:rPr>
        <w:t>低个位数百分比的</w:t>
      </w:r>
      <w:r w:rsidR="007D455E">
        <w:rPr>
          <w:rFonts w:hint="eastAsia"/>
        </w:rPr>
        <w:t>负面</w:t>
      </w:r>
      <w:r w:rsidR="00356589">
        <w:rPr>
          <w:rFonts w:hint="eastAsia"/>
        </w:rPr>
        <w:t>效应</w:t>
      </w:r>
      <w:r w:rsidRPr="006E00F4">
        <w:rPr>
          <w:rFonts w:hint="eastAsia"/>
        </w:rPr>
        <w:t>。</w:t>
      </w:r>
      <w:r w:rsidRPr="006E00F4">
        <w:rPr>
          <w:rFonts w:hint="eastAsia"/>
        </w:rPr>
        <w:t xml:space="preserve"> </w:t>
      </w:r>
    </w:p>
    <w:p w14:paraId="471F809D" w14:textId="77777777" w:rsidR="00A43578" w:rsidRPr="006E00F4" w:rsidRDefault="00A43578" w:rsidP="00A43578">
      <w:pPr>
        <w:rPr>
          <w:rFonts w:cs="Segoe UI"/>
          <w:szCs w:val="22"/>
        </w:rPr>
      </w:pPr>
    </w:p>
    <w:p w14:paraId="795C0676" w14:textId="77777777" w:rsidR="00BD6A0B" w:rsidRPr="006E00F4" w:rsidRDefault="00B07F4F" w:rsidP="00BD6A0B">
      <w:pPr>
        <w:rPr>
          <w:rFonts w:cs="Segoe UI"/>
          <w:szCs w:val="22"/>
        </w:rPr>
      </w:pPr>
      <w:r w:rsidRPr="006E00F4">
        <w:rPr>
          <w:rFonts w:hint="eastAsia"/>
        </w:rPr>
        <w:t>此外，预计整个宏观经济和地缘政治环境的波动性和不确定性将持续保持在较高水平。</w:t>
      </w:r>
    </w:p>
    <w:p w14:paraId="5A70E696" w14:textId="77777777" w:rsidR="00916EAB" w:rsidRPr="006E00F4" w:rsidRDefault="00916EAB" w:rsidP="00A43578">
      <w:pPr>
        <w:rPr>
          <w:rFonts w:cs="Segoe UI"/>
        </w:rPr>
      </w:pPr>
    </w:p>
    <w:p w14:paraId="2B04F21F" w14:textId="77777777" w:rsidR="00A43578" w:rsidRPr="006E00F4" w:rsidRDefault="00B07F4F" w:rsidP="00A43578">
      <w:pPr>
        <w:rPr>
          <w:rFonts w:cs="Segoe UI"/>
        </w:rPr>
      </w:pPr>
      <w:r w:rsidRPr="006E00F4">
        <w:rPr>
          <w:rFonts w:hint="eastAsia"/>
        </w:rPr>
        <w:t>考虑到这些假设条件，汉高预计</w:t>
      </w:r>
      <w:r w:rsidRPr="006E00F4">
        <w:rPr>
          <w:rFonts w:hint="eastAsia"/>
        </w:rPr>
        <w:t>2025</w:t>
      </w:r>
      <w:r w:rsidRPr="006E00F4">
        <w:rPr>
          <w:rFonts w:hint="eastAsia"/>
        </w:rPr>
        <w:t>财年的</w:t>
      </w:r>
      <w:r w:rsidRPr="006E00F4">
        <w:rPr>
          <w:rFonts w:hint="eastAsia"/>
          <w:b/>
          <w:bCs/>
        </w:rPr>
        <w:t>有机销售额增长</w:t>
      </w:r>
      <w:r w:rsidRPr="006E00F4">
        <w:rPr>
          <w:rFonts w:hint="eastAsia"/>
        </w:rPr>
        <w:t>幅度将在</w:t>
      </w:r>
      <w:r w:rsidRPr="006E00F4">
        <w:rPr>
          <w:rFonts w:hint="eastAsia"/>
        </w:rPr>
        <w:t>1.5%</w:t>
      </w:r>
      <w:r w:rsidRPr="006E00F4">
        <w:rPr>
          <w:rFonts w:hint="eastAsia"/>
        </w:rPr>
        <w:t>至</w:t>
      </w:r>
      <w:r w:rsidRPr="006E00F4">
        <w:rPr>
          <w:rFonts w:hint="eastAsia"/>
        </w:rPr>
        <w:t>3.5%</w:t>
      </w:r>
      <w:r w:rsidR="007D455E">
        <w:rPr>
          <w:rFonts w:hint="eastAsia"/>
        </w:rPr>
        <w:t>范围内</w:t>
      </w:r>
      <w:r w:rsidRPr="006E00F4">
        <w:rPr>
          <w:rFonts w:hint="eastAsia"/>
        </w:rPr>
        <w:t>。粘合剂技术业务部的有机增长预计为</w:t>
      </w:r>
      <w:r w:rsidRPr="006E00F4">
        <w:rPr>
          <w:rFonts w:hint="eastAsia"/>
        </w:rPr>
        <w:t>2.0%</w:t>
      </w:r>
      <w:r w:rsidRPr="006E00F4">
        <w:rPr>
          <w:rFonts w:hint="eastAsia"/>
        </w:rPr>
        <w:t>至</w:t>
      </w:r>
      <w:r w:rsidRPr="006E00F4">
        <w:rPr>
          <w:rFonts w:hint="eastAsia"/>
        </w:rPr>
        <w:t>4.0%</w:t>
      </w:r>
      <w:r w:rsidRPr="006E00F4">
        <w:rPr>
          <w:rFonts w:hint="eastAsia"/>
        </w:rPr>
        <w:t>，而消费品牌业务部预计在</w:t>
      </w:r>
      <w:r w:rsidRPr="006E00F4">
        <w:rPr>
          <w:rFonts w:hint="eastAsia"/>
        </w:rPr>
        <w:t>1.0%</w:t>
      </w:r>
      <w:r w:rsidRPr="006E00F4">
        <w:rPr>
          <w:rFonts w:hint="eastAsia"/>
        </w:rPr>
        <w:t>至</w:t>
      </w:r>
      <w:r w:rsidRPr="006E00F4">
        <w:rPr>
          <w:rFonts w:hint="eastAsia"/>
        </w:rPr>
        <w:t>3.0%</w:t>
      </w:r>
      <w:r w:rsidRPr="006E00F4">
        <w:rPr>
          <w:rFonts w:hint="eastAsia"/>
        </w:rPr>
        <w:t>之间。</w:t>
      </w:r>
      <w:r w:rsidRPr="006E00F4">
        <w:rPr>
          <w:rFonts w:hint="eastAsia"/>
          <w:b/>
          <w:bCs/>
        </w:rPr>
        <w:t>调整后的销售回报率（调整后的息税前利润率）</w:t>
      </w:r>
      <w:r w:rsidRPr="006E00F4">
        <w:rPr>
          <w:rFonts w:hint="eastAsia"/>
        </w:rPr>
        <w:t>预计为</w:t>
      </w:r>
      <w:r w:rsidRPr="006E00F4">
        <w:rPr>
          <w:rFonts w:hint="eastAsia"/>
        </w:rPr>
        <w:t>14.0%</w:t>
      </w:r>
      <w:r w:rsidRPr="006E00F4">
        <w:rPr>
          <w:rFonts w:hint="eastAsia"/>
        </w:rPr>
        <w:t>至</w:t>
      </w:r>
      <w:r w:rsidRPr="006E00F4">
        <w:rPr>
          <w:rFonts w:hint="eastAsia"/>
        </w:rPr>
        <w:t>15.5%</w:t>
      </w:r>
      <w:r w:rsidRPr="006E00F4">
        <w:rPr>
          <w:rFonts w:hint="eastAsia"/>
        </w:rPr>
        <w:t>。粘合剂技术业务部调整后的销售回报率预计为</w:t>
      </w:r>
      <w:r w:rsidRPr="006E00F4">
        <w:rPr>
          <w:rFonts w:hint="eastAsia"/>
        </w:rPr>
        <w:t>16.0%</w:t>
      </w:r>
      <w:r w:rsidRPr="006E00F4">
        <w:rPr>
          <w:rFonts w:hint="eastAsia"/>
        </w:rPr>
        <w:t>至</w:t>
      </w:r>
      <w:r w:rsidRPr="006E00F4">
        <w:rPr>
          <w:rFonts w:hint="eastAsia"/>
        </w:rPr>
        <w:t>17.5%</w:t>
      </w:r>
      <w:r w:rsidRPr="006E00F4">
        <w:rPr>
          <w:rFonts w:hint="eastAsia"/>
        </w:rPr>
        <w:t>，消费品牌业务部</w:t>
      </w:r>
      <w:r w:rsidR="007D455E">
        <w:rPr>
          <w:rFonts w:hint="eastAsia"/>
        </w:rPr>
        <w:t>预计</w:t>
      </w:r>
      <w:r w:rsidRPr="006E00F4">
        <w:rPr>
          <w:rFonts w:hint="eastAsia"/>
        </w:rPr>
        <w:t>为</w:t>
      </w:r>
      <w:r w:rsidRPr="006E00F4">
        <w:rPr>
          <w:rFonts w:hint="eastAsia"/>
        </w:rPr>
        <w:t>13.5%</w:t>
      </w:r>
      <w:r w:rsidRPr="006E00F4">
        <w:rPr>
          <w:rFonts w:hint="eastAsia"/>
        </w:rPr>
        <w:t>至</w:t>
      </w:r>
      <w:r w:rsidRPr="006E00F4">
        <w:rPr>
          <w:rFonts w:hint="eastAsia"/>
        </w:rPr>
        <w:t>15.0%</w:t>
      </w:r>
      <w:r w:rsidRPr="006E00F4">
        <w:rPr>
          <w:rFonts w:hint="eastAsia"/>
        </w:rPr>
        <w:t>。按固定汇率计算的</w:t>
      </w:r>
      <w:r w:rsidRPr="006E00F4">
        <w:rPr>
          <w:rFonts w:hint="eastAsia"/>
          <w:b/>
          <w:bCs/>
        </w:rPr>
        <w:t>调整后优先股每股收益（</w:t>
      </w:r>
      <w:r w:rsidRPr="006E00F4">
        <w:rPr>
          <w:rFonts w:hint="eastAsia"/>
          <w:b/>
          <w:bCs/>
        </w:rPr>
        <w:t>EPS</w:t>
      </w:r>
      <w:r w:rsidRPr="006E00F4">
        <w:rPr>
          <w:rFonts w:hint="eastAsia"/>
          <w:b/>
          <w:bCs/>
        </w:rPr>
        <w:t>）</w:t>
      </w:r>
      <w:r w:rsidRPr="006E00F4">
        <w:rPr>
          <w:rFonts w:hint="eastAsia"/>
        </w:rPr>
        <w:t>预计将以较低至较高个位数百分比的幅度增长。</w:t>
      </w:r>
      <w:r w:rsidRPr="006E00F4">
        <w:rPr>
          <w:rFonts w:hint="eastAsia"/>
        </w:rPr>
        <w:t xml:space="preserve"> </w:t>
      </w:r>
    </w:p>
    <w:p w14:paraId="77C966B3" w14:textId="77777777" w:rsidR="00A43578" w:rsidRPr="006E00F4" w:rsidRDefault="00A43578" w:rsidP="00A43578">
      <w:pPr>
        <w:rPr>
          <w:rFonts w:cs="Segoe UI"/>
          <w:szCs w:val="22"/>
        </w:rPr>
      </w:pPr>
    </w:p>
    <w:p w14:paraId="392907CA" w14:textId="77777777" w:rsidR="00BD6A0B" w:rsidRPr="006E00F4" w:rsidRDefault="00B07F4F" w:rsidP="00BD6A0B">
      <w:pPr>
        <w:rPr>
          <w:rFonts w:cs="Segoe UI"/>
          <w:color w:val="000000"/>
          <w:szCs w:val="22"/>
        </w:rPr>
      </w:pPr>
      <w:r w:rsidRPr="006E00F4">
        <w:rPr>
          <w:rFonts w:hint="eastAsia"/>
        </w:rPr>
        <w:t>因此，</w:t>
      </w:r>
      <w:r w:rsidR="00F663D3">
        <w:rPr>
          <w:rFonts w:hint="eastAsia"/>
        </w:rPr>
        <w:t>汉高</w:t>
      </w:r>
      <w:r w:rsidRPr="006E00F4">
        <w:rPr>
          <w:rFonts w:hint="eastAsia"/>
        </w:rPr>
        <w:t>预计今年开局</w:t>
      </w:r>
      <w:r w:rsidR="00F663D3" w:rsidRPr="006E00F4">
        <w:rPr>
          <w:rFonts w:hint="eastAsia"/>
        </w:rPr>
        <w:t>有机销售额</w:t>
      </w:r>
      <w:r w:rsidRPr="006E00F4">
        <w:rPr>
          <w:rFonts w:hint="eastAsia"/>
        </w:rPr>
        <w:t>增长缓慢，</w:t>
      </w:r>
      <w:r w:rsidR="00F663D3">
        <w:rPr>
          <w:rFonts w:hint="eastAsia"/>
        </w:rPr>
        <w:t>而在年内有望提速</w:t>
      </w:r>
      <w:r w:rsidRPr="006E00F4">
        <w:rPr>
          <w:rFonts w:hint="eastAsia"/>
        </w:rPr>
        <w:t>，从而使</w:t>
      </w:r>
      <w:r w:rsidRPr="006E00F4">
        <w:rPr>
          <w:rFonts w:hint="eastAsia"/>
        </w:rPr>
        <w:t>2025</w:t>
      </w:r>
      <w:r w:rsidRPr="006E00F4">
        <w:rPr>
          <w:rFonts w:hint="eastAsia"/>
        </w:rPr>
        <w:t>财年下半年的业绩与上半年相比更加强劲。两</w:t>
      </w:r>
      <w:r w:rsidR="00F663D3">
        <w:rPr>
          <w:rFonts w:hint="eastAsia"/>
        </w:rPr>
        <w:t>大</w:t>
      </w:r>
      <w:r w:rsidRPr="006E00F4">
        <w:rPr>
          <w:rFonts w:hint="eastAsia"/>
        </w:rPr>
        <w:t>业务部</w:t>
      </w:r>
      <w:r w:rsidR="00F663D3">
        <w:rPr>
          <w:rFonts w:hint="eastAsia"/>
        </w:rPr>
        <w:t>门</w:t>
      </w:r>
      <w:r w:rsidRPr="006E00F4">
        <w:rPr>
          <w:rFonts w:hint="eastAsia"/>
        </w:rPr>
        <w:t>的情况均是如此</w:t>
      </w:r>
      <w:r w:rsidR="00EB019E">
        <w:rPr>
          <w:rFonts w:hint="eastAsia"/>
        </w:rPr>
        <w:t>。这</w:t>
      </w:r>
      <w:r w:rsidR="00F663D3">
        <w:rPr>
          <w:rFonts w:hint="eastAsia"/>
        </w:rPr>
        <w:t>主要归因于</w:t>
      </w:r>
      <w:r w:rsidRPr="006E00F4">
        <w:rPr>
          <w:rFonts w:hint="eastAsia"/>
        </w:rPr>
        <w:t>目前</w:t>
      </w:r>
      <w:r w:rsidR="00F663D3" w:rsidRPr="006E00F4">
        <w:rPr>
          <w:rFonts w:hint="eastAsia"/>
        </w:rPr>
        <w:t>充满挑战</w:t>
      </w:r>
      <w:r w:rsidRPr="006E00F4">
        <w:rPr>
          <w:rFonts w:hint="eastAsia"/>
        </w:rPr>
        <w:t>的行业环境，以及我们</w:t>
      </w:r>
      <w:r w:rsidR="00F663D3">
        <w:rPr>
          <w:rFonts w:hint="eastAsia"/>
        </w:rPr>
        <w:t>在</w:t>
      </w:r>
      <w:r w:rsidRPr="006E00F4">
        <w:rPr>
          <w:rFonts w:hint="eastAsia"/>
        </w:rPr>
        <w:t>部分市场，尤其是</w:t>
      </w:r>
      <w:r w:rsidR="00B86636">
        <w:rPr>
          <w:rFonts w:hint="eastAsia"/>
        </w:rPr>
        <w:t>在</w:t>
      </w:r>
      <w:r w:rsidRPr="006E00F4">
        <w:rPr>
          <w:rFonts w:hint="eastAsia"/>
        </w:rPr>
        <w:t>北美</w:t>
      </w:r>
      <w:r w:rsidR="00B86636">
        <w:rPr>
          <w:rFonts w:hint="eastAsia"/>
        </w:rPr>
        <w:t>面临</w:t>
      </w:r>
      <w:r w:rsidR="00F663D3">
        <w:rPr>
          <w:rFonts w:hint="eastAsia"/>
        </w:rPr>
        <w:t>的市场增长</w:t>
      </w:r>
      <w:r w:rsidR="00B86636">
        <w:rPr>
          <w:rFonts w:hint="eastAsia"/>
        </w:rPr>
        <w:t>疲软</w:t>
      </w:r>
      <w:r w:rsidRPr="006E00F4">
        <w:rPr>
          <w:rFonts w:hint="eastAsia"/>
        </w:rPr>
        <w:t>和消费情绪</w:t>
      </w:r>
      <w:r w:rsidR="00B86636">
        <w:rPr>
          <w:rFonts w:hint="eastAsia"/>
        </w:rPr>
        <w:t>低迷</w:t>
      </w:r>
      <w:r w:rsidRPr="006E00F4">
        <w:rPr>
          <w:rFonts w:hint="eastAsia"/>
        </w:rPr>
        <w:t>。</w:t>
      </w:r>
    </w:p>
    <w:p w14:paraId="761C929E" w14:textId="77777777" w:rsidR="00364F24" w:rsidRPr="006E00F4" w:rsidRDefault="00364F24" w:rsidP="00BD6A0B">
      <w:pPr>
        <w:rPr>
          <w:rFonts w:cs="Segoe UI"/>
          <w:szCs w:val="22"/>
        </w:rPr>
      </w:pPr>
    </w:p>
    <w:p w14:paraId="28E4FD25" w14:textId="77777777" w:rsidR="00364F24" w:rsidRPr="006E00F4" w:rsidRDefault="00B07F4F" w:rsidP="00364F24">
      <w:pPr>
        <w:rPr>
          <w:rFonts w:cs="Segoe UI"/>
          <w:szCs w:val="22"/>
        </w:rPr>
      </w:pPr>
      <w:r w:rsidRPr="006E00F4">
        <w:rPr>
          <w:rFonts w:hint="eastAsia"/>
        </w:rPr>
        <w:t>在</w:t>
      </w:r>
      <w:r w:rsidRPr="006E00F4">
        <w:rPr>
          <w:rFonts w:hint="eastAsia"/>
          <w:b/>
          <w:bCs/>
        </w:rPr>
        <w:t>消费品牌业务部</w:t>
      </w:r>
      <w:r w:rsidRPr="006E00F4">
        <w:rPr>
          <w:rFonts w:hint="eastAsia"/>
        </w:rPr>
        <w:t>，需要考虑到</w:t>
      </w:r>
      <w:r w:rsidR="00B86636">
        <w:rPr>
          <w:rFonts w:hint="eastAsia"/>
        </w:rPr>
        <w:t>，</w:t>
      </w:r>
      <w:r w:rsidR="00ED63EF">
        <w:rPr>
          <w:rFonts w:hint="eastAsia"/>
        </w:rPr>
        <w:t>去年相对</w:t>
      </w:r>
      <w:r w:rsidR="00B86636">
        <w:rPr>
          <w:rFonts w:hint="eastAsia"/>
        </w:rPr>
        <w:t>实现</w:t>
      </w:r>
      <w:r w:rsidRPr="006E00F4">
        <w:rPr>
          <w:rFonts w:hint="eastAsia"/>
        </w:rPr>
        <w:t>较高的有机销售额增长主要得益于</w:t>
      </w:r>
      <w:r w:rsidRPr="006E00F4">
        <w:rPr>
          <w:rFonts w:hint="eastAsia"/>
        </w:rPr>
        <w:t>2024</w:t>
      </w:r>
      <w:r w:rsidRPr="006E00F4">
        <w:rPr>
          <w:rFonts w:hint="eastAsia"/>
        </w:rPr>
        <w:t>年上半年强劲推出</w:t>
      </w:r>
      <w:r w:rsidR="006B58C1" w:rsidRPr="006E00F4">
        <w:rPr>
          <w:rFonts w:hint="eastAsia"/>
        </w:rPr>
        <w:t>的创新产品</w:t>
      </w:r>
      <w:r w:rsidRPr="006E00F4">
        <w:rPr>
          <w:rFonts w:hint="eastAsia"/>
        </w:rPr>
        <w:t>。</w:t>
      </w:r>
      <w:r w:rsidRPr="006E00F4">
        <w:rPr>
          <w:rFonts w:hint="eastAsia"/>
        </w:rPr>
        <w:t>2025</w:t>
      </w:r>
      <w:r w:rsidRPr="006E00F4">
        <w:rPr>
          <w:rFonts w:hint="eastAsia"/>
        </w:rPr>
        <w:t>年，创新产品的推出将更多地向下半年倾斜。此外，与最终确定</w:t>
      </w:r>
      <w:r w:rsidRPr="006E00F4">
        <w:rPr>
          <w:rFonts w:hint="eastAsia"/>
        </w:rPr>
        <w:t>1-1-1</w:t>
      </w:r>
      <w:r w:rsidRPr="006E00F4">
        <w:rPr>
          <w:rFonts w:hint="eastAsia"/>
        </w:rPr>
        <w:t>原则以及促销</w:t>
      </w:r>
      <w:r w:rsidR="004900ED">
        <w:rPr>
          <w:rFonts w:hint="eastAsia"/>
        </w:rPr>
        <w:t>阶段</w:t>
      </w:r>
      <w:r w:rsidRPr="006E00F4">
        <w:rPr>
          <w:rFonts w:hint="eastAsia"/>
        </w:rPr>
        <w:t>相关的供应链中的</w:t>
      </w:r>
      <w:r w:rsidR="009117FF">
        <w:rPr>
          <w:rFonts w:hint="eastAsia"/>
        </w:rPr>
        <w:t>非经常性运营事项</w:t>
      </w:r>
      <w:r w:rsidRPr="006E00F4">
        <w:rPr>
          <w:rFonts w:hint="eastAsia"/>
        </w:rPr>
        <w:t>，也将</w:t>
      </w:r>
      <w:r w:rsidR="009117FF">
        <w:rPr>
          <w:rFonts w:hint="eastAsia"/>
        </w:rPr>
        <w:t>影响</w:t>
      </w:r>
      <w:r w:rsidRPr="006E00F4">
        <w:rPr>
          <w:rFonts w:hint="eastAsia"/>
        </w:rPr>
        <w:t>第一季度有机销售额增长</w:t>
      </w:r>
      <w:r w:rsidR="009117FF">
        <w:rPr>
          <w:rFonts w:hint="eastAsia"/>
        </w:rPr>
        <w:t>且</w:t>
      </w:r>
      <w:r w:rsidRPr="006E00F4">
        <w:rPr>
          <w:rFonts w:hint="eastAsia"/>
        </w:rPr>
        <w:t>销量将低于去年同期。第一季度的有机销售额预计将下降</w:t>
      </w:r>
      <w:r w:rsidRPr="006E00F4">
        <w:rPr>
          <w:rFonts w:hint="eastAsia"/>
        </w:rPr>
        <w:t>2%</w:t>
      </w:r>
      <w:r w:rsidRPr="006E00F4">
        <w:rPr>
          <w:rFonts w:hint="eastAsia"/>
        </w:rPr>
        <w:t>至</w:t>
      </w:r>
      <w:r w:rsidRPr="006E00F4">
        <w:rPr>
          <w:rFonts w:hint="eastAsia"/>
        </w:rPr>
        <w:t>4%</w:t>
      </w:r>
      <w:r w:rsidRPr="006E00F4">
        <w:rPr>
          <w:rFonts w:hint="eastAsia"/>
        </w:rPr>
        <w:t>，而价格预计将上涨。</w:t>
      </w:r>
      <w:r w:rsidRPr="006E00F4">
        <w:rPr>
          <w:rFonts w:hint="eastAsia"/>
        </w:rPr>
        <w:t>2025</w:t>
      </w:r>
      <w:r w:rsidRPr="006E00F4">
        <w:rPr>
          <w:rFonts w:hint="eastAsia"/>
        </w:rPr>
        <w:t>年全年，在销量和价格的双重驱动下，预计销售额将实现整体有机增长。</w:t>
      </w:r>
    </w:p>
    <w:p w14:paraId="73D046B6" w14:textId="77777777" w:rsidR="00364F24" w:rsidRPr="006E00F4" w:rsidRDefault="00364F24" w:rsidP="00364F24">
      <w:pPr>
        <w:rPr>
          <w:rFonts w:cs="Segoe UI"/>
          <w:szCs w:val="22"/>
        </w:rPr>
      </w:pPr>
    </w:p>
    <w:p w14:paraId="5C1D6486" w14:textId="77777777" w:rsidR="000E745A" w:rsidRDefault="00B07F4F" w:rsidP="00364F24">
      <w:bookmarkStart w:id="2" w:name="_Hlk192504294"/>
      <w:r w:rsidRPr="006E00F4">
        <w:rPr>
          <w:rFonts w:hint="eastAsia"/>
        </w:rPr>
        <w:t>预计</w:t>
      </w:r>
      <w:r w:rsidRPr="006E00F4">
        <w:rPr>
          <w:rFonts w:hint="eastAsia"/>
        </w:rPr>
        <w:t xml:space="preserve">2025 </w:t>
      </w:r>
      <w:r w:rsidRPr="006E00F4">
        <w:rPr>
          <w:rFonts w:hint="eastAsia"/>
        </w:rPr>
        <w:t>年全年，两</w:t>
      </w:r>
      <w:r w:rsidR="00F72B1C">
        <w:rPr>
          <w:rFonts w:hint="eastAsia"/>
        </w:rPr>
        <w:t>大</w:t>
      </w:r>
      <w:r w:rsidRPr="006E00F4">
        <w:rPr>
          <w:rFonts w:hint="eastAsia"/>
        </w:rPr>
        <w:t>业务部门以及整个集团的利润率和盈利能力都将较上一年度进一步提升。</w:t>
      </w:r>
      <w:r w:rsidRPr="006E00F4">
        <w:rPr>
          <w:rFonts w:hint="eastAsia"/>
        </w:rPr>
        <w:t>2025</w:t>
      </w:r>
      <w:r w:rsidRPr="006E00F4">
        <w:rPr>
          <w:rFonts w:hint="eastAsia"/>
        </w:rPr>
        <w:t>财年前两个月的业绩表明，汉高和两</w:t>
      </w:r>
      <w:r w:rsidR="00F72B1C">
        <w:rPr>
          <w:rFonts w:hint="eastAsia"/>
        </w:rPr>
        <w:t>大</w:t>
      </w:r>
      <w:r w:rsidRPr="006E00F4">
        <w:rPr>
          <w:rFonts w:hint="eastAsia"/>
        </w:rPr>
        <w:t>业务部均进展顺利。</w:t>
      </w:r>
      <w:r w:rsidRPr="006E00F4">
        <w:rPr>
          <w:rFonts w:hint="eastAsia"/>
        </w:rPr>
        <w:t xml:space="preserve"> </w:t>
      </w:r>
    </w:p>
    <w:p w14:paraId="2C0C5656" w14:textId="77777777" w:rsidR="00B07F4F" w:rsidRDefault="00B07F4F" w:rsidP="00364F24">
      <w:pPr>
        <w:rPr>
          <w:rFonts w:cs="Segoe UI"/>
          <w:szCs w:val="22"/>
        </w:rPr>
      </w:pPr>
    </w:p>
    <w:p w14:paraId="349AB005" w14:textId="77777777" w:rsidR="00B07F4F" w:rsidRPr="006E00F4" w:rsidRDefault="00B07F4F" w:rsidP="00364F24">
      <w:pPr>
        <w:rPr>
          <w:rFonts w:cs="Segoe UI"/>
          <w:szCs w:val="22"/>
        </w:rPr>
      </w:pPr>
    </w:p>
    <w:bookmarkEnd w:id="2"/>
    <w:p w14:paraId="6EA63E65" w14:textId="04671D2A" w:rsidR="000E745A" w:rsidRPr="006E00F4" w:rsidRDefault="00B07F4F" w:rsidP="00B07F4F">
      <w:pPr>
        <w:spacing w:line="240" w:lineRule="auto"/>
        <w:jc w:val="center"/>
        <w:rPr>
          <w:rFonts w:cs="Segoe UI"/>
          <w:b/>
          <w:bCs/>
          <w:szCs w:val="22"/>
        </w:rPr>
      </w:pPr>
      <w:r>
        <w:rPr>
          <w:rFonts w:cs="Segoe UI" w:hint="eastAsia"/>
          <w:noProof/>
          <w:szCs w:val="22"/>
        </w:rPr>
        <w:drawing>
          <wp:inline distT="0" distB="0" distL="0" distR="0" wp14:anchorId="02D6815E" wp14:editId="7A2DB3F5">
            <wp:extent cx="4045306" cy="2862215"/>
            <wp:effectExtent l="0" t="0" r="0" b="0"/>
            <wp:docPr id="19625186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18644" name="图片 196251864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75718" cy="2883733"/>
                    </a:xfrm>
                    <a:prstGeom prst="rect">
                      <a:avLst/>
                    </a:prstGeom>
                  </pic:spPr>
                </pic:pic>
              </a:graphicData>
            </a:graphic>
          </wp:inline>
        </w:drawing>
      </w:r>
    </w:p>
    <w:p w14:paraId="71E90226" w14:textId="77777777" w:rsidR="00B07F4F" w:rsidRDefault="00B07F4F" w:rsidP="00B07F4F">
      <w:pPr>
        <w:spacing w:after="120"/>
        <w:jc w:val="center"/>
        <w:rPr>
          <w:rStyle w:val="normaltextrun"/>
          <w:rFonts w:asciiTheme="majorEastAsia" w:eastAsiaTheme="majorEastAsia" w:hAnsiTheme="majorEastAsia"/>
          <w:i/>
          <w:iCs/>
          <w:color w:val="000000"/>
          <w:shd w:val="clear" w:color="auto" w:fill="FFFFFF"/>
        </w:rPr>
      </w:pPr>
      <w:r w:rsidRPr="008D455D">
        <w:rPr>
          <w:rStyle w:val="normaltextrun"/>
          <w:rFonts w:asciiTheme="majorEastAsia" w:eastAsiaTheme="majorEastAsia" w:hAnsiTheme="majorEastAsia" w:hint="eastAsia"/>
          <w:i/>
          <w:iCs/>
          <w:color w:val="000000"/>
          <w:shd w:val="clear" w:color="auto" w:fill="FFFFFF"/>
        </w:rPr>
        <w:t>汉高2024年业绩</w:t>
      </w:r>
      <w:r>
        <w:rPr>
          <w:rStyle w:val="normaltextrun"/>
          <w:rFonts w:asciiTheme="majorEastAsia" w:eastAsiaTheme="majorEastAsia" w:hAnsiTheme="majorEastAsia" w:hint="eastAsia"/>
          <w:i/>
          <w:iCs/>
          <w:color w:val="000000"/>
          <w:shd w:val="clear" w:color="auto" w:fill="FFFFFF"/>
        </w:rPr>
        <w:t>报告</w:t>
      </w:r>
    </w:p>
    <w:p w14:paraId="6D51E62E" w14:textId="77777777" w:rsidR="00B07F4F" w:rsidRDefault="00B07F4F" w:rsidP="00B07F4F">
      <w:pPr>
        <w:spacing w:after="120"/>
        <w:jc w:val="center"/>
        <w:rPr>
          <w:rStyle w:val="normaltextrun"/>
          <w:rFonts w:asciiTheme="majorEastAsia" w:eastAsiaTheme="majorEastAsia" w:hAnsiTheme="majorEastAsia"/>
          <w:i/>
          <w:iCs/>
          <w:color w:val="000000"/>
          <w:shd w:val="clear" w:color="auto" w:fill="FFFFFF"/>
        </w:rPr>
      </w:pPr>
    </w:p>
    <w:p w14:paraId="6993F2B0" w14:textId="77777777" w:rsidR="00B07F4F" w:rsidRPr="008D455D" w:rsidRDefault="00B07F4F" w:rsidP="00B07F4F">
      <w:pPr>
        <w:spacing w:after="120"/>
        <w:jc w:val="center"/>
        <w:rPr>
          <w:rStyle w:val="normaltextrun"/>
          <w:rFonts w:asciiTheme="majorEastAsia" w:eastAsiaTheme="majorEastAsia" w:hAnsiTheme="majorEastAsia" w:hint="eastAsia"/>
          <w:i/>
          <w:iCs/>
          <w:color w:val="000000"/>
          <w:shd w:val="clear" w:color="auto" w:fill="FFFFFF"/>
        </w:rPr>
      </w:pPr>
    </w:p>
    <w:p w14:paraId="7E953862" w14:textId="77777777" w:rsidR="004B2C19" w:rsidRDefault="00B07F4F" w:rsidP="008558D0">
      <w:pPr>
        <w:spacing w:after="120"/>
        <w:rPr>
          <w:b/>
        </w:rPr>
      </w:pPr>
      <w:r w:rsidRPr="006E00F4">
        <w:rPr>
          <w:rFonts w:hint="eastAsia"/>
          <w:b/>
        </w:rPr>
        <w:lastRenderedPageBreak/>
        <w:t>2024</w:t>
      </w:r>
      <w:r w:rsidRPr="006E00F4">
        <w:rPr>
          <w:rFonts w:hint="eastAsia"/>
          <w:b/>
        </w:rPr>
        <w:t>财年集团销售额及盈利表现</w:t>
      </w:r>
    </w:p>
    <w:p w14:paraId="51DC178F" w14:textId="0A2DC5E0" w:rsidR="008D455D" w:rsidRPr="008D455D" w:rsidRDefault="00B07F4F" w:rsidP="008D455D">
      <w:r w:rsidRPr="006E00F4">
        <w:rPr>
          <w:rFonts w:hint="eastAsia"/>
        </w:rPr>
        <w:t>汉高集团</w:t>
      </w:r>
      <w:r w:rsidRPr="006E00F4">
        <w:rPr>
          <w:rFonts w:hint="eastAsia"/>
        </w:rPr>
        <w:t>2024</w:t>
      </w:r>
      <w:r w:rsidRPr="006E00F4">
        <w:rPr>
          <w:rFonts w:hint="eastAsia"/>
        </w:rPr>
        <w:t>财年的</w:t>
      </w:r>
      <w:r w:rsidRPr="006E00F4">
        <w:rPr>
          <w:rFonts w:hint="eastAsia"/>
          <w:b/>
          <w:bCs/>
        </w:rPr>
        <w:t>销售额</w:t>
      </w:r>
      <w:r w:rsidRPr="006E00F4">
        <w:rPr>
          <w:rFonts w:hint="eastAsia"/>
        </w:rPr>
        <w:t>达到</w:t>
      </w:r>
      <w:r w:rsidRPr="006E00F4">
        <w:rPr>
          <w:rFonts w:hint="eastAsia"/>
        </w:rPr>
        <w:t>215.86</w:t>
      </w:r>
      <w:r w:rsidRPr="006E00F4">
        <w:rPr>
          <w:rFonts w:hint="eastAsia"/>
        </w:rPr>
        <w:t>亿欧元，与去年相比名义增长</w:t>
      </w:r>
      <w:r w:rsidRPr="006E00F4">
        <w:rPr>
          <w:rFonts w:hint="eastAsia"/>
        </w:rPr>
        <w:t>0.3%</w:t>
      </w:r>
      <w:r w:rsidRPr="006E00F4">
        <w:rPr>
          <w:rFonts w:hint="eastAsia"/>
        </w:rPr>
        <w:t>。汇率因素导致销售额下滑</w:t>
      </w:r>
      <w:r w:rsidRPr="006E00F4">
        <w:rPr>
          <w:rFonts w:hint="eastAsia"/>
        </w:rPr>
        <w:t>1.8%</w:t>
      </w:r>
      <w:r w:rsidRPr="006E00F4">
        <w:rPr>
          <w:rFonts w:hint="eastAsia"/>
        </w:rPr>
        <w:t>。对汇率因素进行调整后，销售额增长幅度为</w:t>
      </w:r>
      <w:r w:rsidRPr="006E00F4">
        <w:rPr>
          <w:rFonts w:hint="eastAsia"/>
        </w:rPr>
        <w:t>2.1%</w:t>
      </w:r>
      <w:r w:rsidRPr="006E00F4">
        <w:rPr>
          <w:rFonts w:hint="eastAsia"/>
        </w:rPr>
        <w:t>。收购</w:t>
      </w:r>
      <w:r w:rsidRPr="006E00F4">
        <w:rPr>
          <w:rFonts w:hint="eastAsia"/>
        </w:rPr>
        <w:t>/</w:t>
      </w:r>
      <w:r w:rsidRPr="006E00F4">
        <w:rPr>
          <w:rFonts w:hint="eastAsia"/>
        </w:rPr>
        <w:t>撤资导致销售额小幅下降</w:t>
      </w:r>
      <w:r w:rsidRPr="006E00F4">
        <w:rPr>
          <w:rFonts w:hint="eastAsia"/>
        </w:rPr>
        <w:t>0.4%</w:t>
      </w:r>
      <w:r w:rsidRPr="006E00F4">
        <w:rPr>
          <w:rFonts w:hint="eastAsia"/>
        </w:rPr>
        <w:t>，这主要是由于</w:t>
      </w:r>
      <w:r w:rsidRPr="006E00F4">
        <w:rPr>
          <w:rFonts w:hint="eastAsia"/>
        </w:rPr>
        <w:t>2023</w:t>
      </w:r>
      <w:r w:rsidRPr="006E00F4">
        <w:rPr>
          <w:rFonts w:hint="eastAsia"/>
        </w:rPr>
        <w:t>年出售了在俄罗斯的业务活动。</w:t>
      </w:r>
      <w:r w:rsidRPr="006E00F4">
        <w:rPr>
          <w:rFonts w:hint="eastAsia"/>
          <w:b/>
          <w:bCs/>
        </w:rPr>
        <w:t>有机销售额增长</w:t>
      </w:r>
      <w:r w:rsidRPr="006E00F4">
        <w:rPr>
          <w:rFonts w:hint="eastAsia"/>
        </w:rPr>
        <w:t>，即对汇率因素和收购</w:t>
      </w:r>
      <w:r w:rsidRPr="006E00F4">
        <w:rPr>
          <w:rFonts w:hint="eastAsia"/>
        </w:rPr>
        <w:t>/</w:t>
      </w:r>
      <w:r w:rsidRPr="006E00F4">
        <w:rPr>
          <w:rFonts w:hint="eastAsia"/>
        </w:rPr>
        <w:t>撤资进行调整后的增长幅度为</w:t>
      </w:r>
      <w:r w:rsidRPr="006E00F4">
        <w:rPr>
          <w:rFonts w:hint="eastAsia"/>
        </w:rPr>
        <w:t>2.6%</w:t>
      </w:r>
      <w:r w:rsidRPr="006E00F4">
        <w:rPr>
          <w:rFonts w:hint="eastAsia"/>
        </w:rPr>
        <w:t>，呈现出良好的发展势头。这得益于价格和销量的增长。</w:t>
      </w:r>
    </w:p>
    <w:p w14:paraId="4524703E" w14:textId="77777777" w:rsidR="0037555D" w:rsidRPr="006E00F4" w:rsidRDefault="0037555D" w:rsidP="0037555D">
      <w:pPr>
        <w:rPr>
          <w:rFonts w:cs="Segoe UI"/>
          <w:szCs w:val="22"/>
        </w:rPr>
      </w:pPr>
    </w:p>
    <w:p w14:paraId="7D8FF105" w14:textId="77777777" w:rsidR="004B2C19" w:rsidRPr="006E00F4" w:rsidRDefault="00B07F4F" w:rsidP="0037555D">
      <w:pPr>
        <w:rPr>
          <w:rFonts w:cs="Segoe UI"/>
          <w:szCs w:val="22"/>
        </w:rPr>
      </w:pPr>
      <w:r w:rsidRPr="006E00F4">
        <w:rPr>
          <w:rFonts w:hint="eastAsia"/>
          <w:b/>
          <w:bCs/>
        </w:rPr>
        <w:t>粘合剂技术</w:t>
      </w:r>
      <w:r w:rsidRPr="006E00F4">
        <w:rPr>
          <w:rFonts w:hint="eastAsia"/>
        </w:rPr>
        <w:t>业务部的有机销售额增长</w:t>
      </w:r>
      <w:r w:rsidRPr="006E00F4">
        <w:rPr>
          <w:rFonts w:hint="eastAsia"/>
        </w:rPr>
        <w:t>2.4%</w:t>
      </w:r>
      <w:r w:rsidRPr="006E00F4">
        <w:rPr>
          <w:rFonts w:hint="eastAsia"/>
        </w:rPr>
        <w:t>，主要归功于移动与电子业务的推动。在美发业务领域的</w:t>
      </w:r>
      <w:r w:rsidR="004E5FD0">
        <w:rPr>
          <w:rFonts w:hint="eastAsia"/>
        </w:rPr>
        <w:t>主要</w:t>
      </w:r>
      <w:r w:rsidRPr="006E00F4">
        <w:rPr>
          <w:rFonts w:hint="eastAsia"/>
        </w:rPr>
        <w:t>推动下，</w:t>
      </w:r>
      <w:r w:rsidRPr="006E00F4">
        <w:rPr>
          <w:rFonts w:hint="eastAsia"/>
          <w:b/>
          <w:bCs/>
        </w:rPr>
        <w:t>消费品牌</w:t>
      </w:r>
      <w:r w:rsidRPr="006E00F4">
        <w:rPr>
          <w:rFonts w:hint="eastAsia"/>
        </w:rPr>
        <w:t>业务部实现了</w:t>
      </w:r>
      <w:r w:rsidRPr="006E00F4">
        <w:rPr>
          <w:rFonts w:hint="eastAsia"/>
        </w:rPr>
        <w:t>3.0%</w:t>
      </w:r>
      <w:r w:rsidRPr="006E00F4">
        <w:rPr>
          <w:rFonts w:hint="eastAsia"/>
        </w:rPr>
        <w:t>的强劲有机销售额增长。</w:t>
      </w:r>
    </w:p>
    <w:p w14:paraId="161E4D9F" w14:textId="77777777" w:rsidR="004B2C19" w:rsidRPr="006E00F4" w:rsidRDefault="004B2C19" w:rsidP="004B2C19">
      <w:pPr>
        <w:rPr>
          <w:rFonts w:cs="Segoe UI"/>
          <w:b/>
          <w:bCs/>
          <w:szCs w:val="22"/>
        </w:rPr>
      </w:pPr>
    </w:p>
    <w:p w14:paraId="146CE5CC" w14:textId="77777777" w:rsidR="00D24C2D" w:rsidRPr="006E00F4" w:rsidRDefault="00B07F4F" w:rsidP="00D24C2D">
      <w:pPr>
        <w:rPr>
          <w:rFonts w:cs="Segoe UI"/>
          <w:szCs w:val="22"/>
        </w:rPr>
      </w:pPr>
      <w:r w:rsidRPr="006E00F4">
        <w:rPr>
          <w:rFonts w:hint="eastAsia"/>
          <w:b/>
          <w:bCs/>
        </w:rPr>
        <w:t>调整后的营业利润（调整后的息税前利润率）</w:t>
      </w:r>
      <w:r w:rsidRPr="006E00F4">
        <w:rPr>
          <w:rFonts w:hint="eastAsia"/>
        </w:rPr>
        <w:t>大幅增长</w:t>
      </w:r>
      <w:r w:rsidRPr="006E00F4">
        <w:rPr>
          <w:rFonts w:hint="eastAsia"/>
        </w:rPr>
        <w:t>20.9%</w:t>
      </w:r>
      <w:r w:rsidRPr="006E00F4">
        <w:rPr>
          <w:rFonts w:hint="eastAsia"/>
        </w:rPr>
        <w:t>，达到</w:t>
      </w:r>
      <w:r w:rsidRPr="006E00F4">
        <w:rPr>
          <w:rFonts w:hint="eastAsia"/>
        </w:rPr>
        <w:t>30.89</w:t>
      </w:r>
      <w:r w:rsidRPr="006E00F4">
        <w:rPr>
          <w:rFonts w:hint="eastAsia"/>
        </w:rPr>
        <w:t>亿欧元（</w:t>
      </w:r>
      <w:r w:rsidR="008E4804">
        <w:rPr>
          <w:rFonts w:hint="eastAsia"/>
        </w:rPr>
        <w:t>2023</w:t>
      </w:r>
      <w:r w:rsidR="008E4804" w:rsidRPr="006E00F4">
        <w:rPr>
          <w:rFonts w:hint="eastAsia"/>
        </w:rPr>
        <w:t>年</w:t>
      </w:r>
      <w:r w:rsidRPr="006E00F4">
        <w:rPr>
          <w:rFonts w:hint="eastAsia"/>
        </w:rPr>
        <w:t>：</w:t>
      </w:r>
      <w:r w:rsidRPr="006E00F4">
        <w:rPr>
          <w:rFonts w:hint="eastAsia"/>
        </w:rPr>
        <w:t>25.56</w:t>
      </w:r>
      <w:r w:rsidRPr="006E00F4">
        <w:rPr>
          <w:rFonts w:hint="eastAsia"/>
        </w:rPr>
        <w:t>亿欧元）。</w:t>
      </w:r>
    </w:p>
    <w:p w14:paraId="30B89036" w14:textId="77777777" w:rsidR="00D24C2D" w:rsidRPr="006E00F4" w:rsidRDefault="00D24C2D" w:rsidP="00D24C2D">
      <w:pPr>
        <w:rPr>
          <w:rFonts w:cs="Segoe UI"/>
          <w:szCs w:val="22"/>
        </w:rPr>
      </w:pPr>
    </w:p>
    <w:p w14:paraId="0031DD42" w14:textId="77777777" w:rsidR="00D24C2D" w:rsidRPr="006E00F4" w:rsidRDefault="00B07F4F" w:rsidP="00D24C2D">
      <w:pPr>
        <w:rPr>
          <w:rFonts w:cs="Segoe UI"/>
          <w:szCs w:val="22"/>
        </w:rPr>
      </w:pPr>
      <w:r w:rsidRPr="006E00F4">
        <w:rPr>
          <w:rFonts w:hint="eastAsia"/>
        </w:rPr>
        <w:t>2024</w:t>
      </w:r>
      <w:r w:rsidRPr="006E00F4">
        <w:rPr>
          <w:rFonts w:hint="eastAsia"/>
        </w:rPr>
        <w:t>财年</w:t>
      </w:r>
      <w:r w:rsidRPr="006E00F4">
        <w:rPr>
          <w:rFonts w:hint="eastAsia"/>
          <w:b/>
          <w:bCs/>
        </w:rPr>
        <w:t>调整后的销售回报率（调整后的息税前利润率）</w:t>
      </w:r>
      <w:r w:rsidRPr="006E00F4">
        <w:rPr>
          <w:rFonts w:hint="eastAsia"/>
        </w:rPr>
        <w:t>同比大幅增长</w:t>
      </w:r>
      <w:r w:rsidRPr="006E00F4">
        <w:rPr>
          <w:rFonts w:hint="eastAsia"/>
        </w:rPr>
        <w:t>14.3%</w:t>
      </w:r>
      <w:r w:rsidRPr="006E00F4">
        <w:rPr>
          <w:rFonts w:hint="eastAsia"/>
        </w:rPr>
        <w:t>（</w:t>
      </w:r>
      <w:r w:rsidRPr="006E00F4">
        <w:rPr>
          <w:rFonts w:hint="eastAsia"/>
        </w:rPr>
        <w:t>2023</w:t>
      </w:r>
      <w:r w:rsidRPr="006E00F4">
        <w:rPr>
          <w:rFonts w:hint="eastAsia"/>
        </w:rPr>
        <w:t>年：</w:t>
      </w:r>
      <w:r w:rsidRPr="006E00F4">
        <w:rPr>
          <w:rFonts w:hint="eastAsia"/>
        </w:rPr>
        <w:t>11.9%</w:t>
      </w:r>
      <w:r w:rsidRPr="006E00F4">
        <w:rPr>
          <w:rFonts w:hint="eastAsia"/>
        </w:rPr>
        <w:t>）。</w:t>
      </w:r>
    </w:p>
    <w:p w14:paraId="1401E1E1" w14:textId="77777777" w:rsidR="00D24C2D" w:rsidRPr="006E00F4" w:rsidRDefault="00D24C2D" w:rsidP="00D24C2D">
      <w:pPr>
        <w:rPr>
          <w:rFonts w:cs="Segoe UI"/>
          <w:szCs w:val="22"/>
        </w:rPr>
      </w:pPr>
    </w:p>
    <w:p w14:paraId="57C9563E" w14:textId="77777777" w:rsidR="00D24C2D" w:rsidRPr="006E00F4" w:rsidRDefault="00B07F4F" w:rsidP="00D24C2D">
      <w:pPr>
        <w:rPr>
          <w:rFonts w:cs="Segoe UI"/>
          <w:szCs w:val="22"/>
        </w:rPr>
      </w:pPr>
      <w:r w:rsidRPr="006E00F4">
        <w:rPr>
          <w:rFonts w:hint="eastAsia"/>
          <w:b/>
          <w:bCs/>
        </w:rPr>
        <w:t>调整后的优先股每股收益</w:t>
      </w:r>
      <w:r w:rsidRPr="006E00F4">
        <w:rPr>
          <w:rFonts w:hint="eastAsia"/>
        </w:rPr>
        <w:t>也大幅增长</w:t>
      </w:r>
      <w:r w:rsidRPr="006E00F4">
        <w:rPr>
          <w:rFonts w:hint="eastAsia"/>
        </w:rPr>
        <w:t>23.2%</w:t>
      </w:r>
      <w:r w:rsidRPr="006E00F4">
        <w:rPr>
          <w:rFonts w:hint="eastAsia"/>
        </w:rPr>
        <w:t>，达到</w:t>
      </w:r>
      <w:r w:rsidRPr="006E00F4">
        <w:rPr>
          <w:rFonts w:hint="eastAsia"/>
        </w:rPr>
        <w:t>5.36</w:t>
      </w:r>
      <w:r w:rsidRPr="006E00F4">
        <w:rPr>
          <w:rFonts w:hint="eastAsia"/>
        </w:rPr>
        <w:t>欧元（</w:t>
      </w:r>
      <w:r w:rsidR="0095498F">
        <w:rPr>
          <w:rFonts w:hint="eastAsia"/>
        </w:rPr>
        <w:t>2023</w:t>
      </w:r>
      <w:r w:rsidR="0095498F" w:rsidRPr="006E00F4">
        <w:rPr>
          <w:rFonts w:hint="eastAsia"/>
        </w:rPr>
        <w:t>年</w:t>
      </w:r>
      <w:r w:rsidRPr="006E00F4">
        <w:rPr>
          <w:rFonts w:hint="eastAsia"/>
        </w:rPr>
        <w:t>：</w:t>
      </w:r>
      <w:r w:rsidRPr="006E00F4">
        <w:rPr>
          <w:rFonts w:hint="eastAsia"/>
        </w:rPr>
        <w:t>4.35</w:t>
      </w:r>
      <w:r w:rsidRPr="006E00F4">
        <w:rPr>
          <w:rFonts w:hint="eastAsia"/>
        </w:rPr>
        <w:t>欧元）。按固定汇率计算，调整后的优先股每股收益增长</w:t>
      </w:r>
      <w:r w:rsidRPr="006E00F4">
        <w:rPr>
          <w:rFonts w:hint="eastAsia"/>
        </w:rPr>
        <w:t>25.1%</w:t>
      </w:r>
      <w:r w:rsidRPr="006E00F4">
        <w:rPr>
          <w:rFonts w:hint="eastAsia"/>
        </w:rPr>
        <w:t>。</w:t>
      </w:r>
    </w:p>
    <w:p w14:paraId="61FE60F0" w14:textId="77777777" w:rsidR="004B2C19" w:rsidRPr="006E00F4" w:rsidRDefault="004B2C19" w:rsidP="004B2C19">
      <w:pPr>
        <w:rPr>
          <w:rFonts w:cs="Segoe UI"/>
          <w:szCs w:val="22"/>
        </w:rPr>
      </w:pPr>
    </w:p>
    <w:p w14:paraId="1A5794F9" w14:textId="77777777" w:rsidR="004B2C19" w:rsidRPr="006E00F4" w:rsidRDefault="00B07F4F" w:rsidP="00D24C2D">
      <w:pPr>
        <w:rPr>
          <w:rFonts w:cs="Segoe UI"/>
          <w:szCs w:val="22"/>
        </w:rPr>
      </w:pPr>
      <w:r w:rsidRPr="006E00F4">
        <w:rPr>
          <w:rFonts w:hint="eastAsia"/>
          <w:b/>
          <w:bCs/>
        </w:rPr>
        <w:t>净营运资本</w:t>
      </w:r>
      <w:r w:rsidRPr="006E00F4">
        <w:rPr>
          <w:rFonts w:hint="eastAsia"/>
        </w:rPr>
        <w:t>占销售额的</w:t>
      </w:r>
      <w:r w:rsidRPr="006E00F4">
        <w:rPr>
          <w:rFonts w:hint="eastAsia"/>
        </w:rPr>
        <w:t>3.0%</w:t>
      </w:r>
      <w:r w:rsidRPr="006E00F4">
        <w:rPr>
          <w:rFonts w:hint="eastAsia"/>
        </w:rPr>
        <w:t>，同比略有上升（</w:t>
      </w:r>
      <w:r w:rsidRPr="006E00F4">
        <w:rPr>
          <w:rFonts w:hint="eastAsia"/>
        </w:rPr>
        <w:t>2023</w:t>
      </w:r>
      <w:r w:rsidRPr="006E00F4">
        <w:rPr>
          <w:rFonts w:hint="eastAsia"/>
        </w:rPr>
        <w:t>年：</w:t>
      </w:r>
      <w:r w:rsidRPr="006E00F4">
        <w:rPr>
          <w:rFonts w:hint="eastAsia"/>
        </w:rPr>
        <w:t>2.6%</w:t>
      </w:r>
      <w:r w:rsidRPr="006E00F4">
        <w:rPr>
          <w:rFonts w:hint="eastAsia"/>
        </w:rPr>
        <w:t>）。</w:t>
      </w:r>
    </w:p>
    <w:p w14:paraId="2CFADB91" w14:textId="77777777" w:rsidR="004B2C19" w:rsidRPr="006E00F4" w:rsidRDefault="004B2C19" w:rsidP="004B2C19">
      <w:pPr>
        <w:rPr>
          <w:rFonts w:cs="Segoe UI"/>
          <w:szCs w:val="22"/>
        </w:rPr>
      </w:pPr>
    </w:p>
    <w:p w14:paraId="7EB859E0" w14:textId="77777777" w:rsidR="00D24C2D" w:rsidRPr="006E00F4" w:rsidRDefault="00B07F4F" w:rsidP="00D24C2D">
      <w:pPr>
        <w:rPr>
          <w:rFonts w:cs="Segoe UI"/>
          <w:szCs w:val="22"/>
        </w:rPr>
      </w:pPr>
      <w:r w:rsidRPr="006E00F4">
        <w:rPr>
          <w:rFonts w:hint="eastAsia"/>
          <w:b/>
          <w:bCs/>
        </w:rPr>
        <w:t>自由现金流</w:t>
      </w:r>
      <w:r w:rsidR="007E6F60">
        <w:rPr>
          <w:rFonts w:hint="eastAsia"/>
        </w:rPr>
        <w:t>总计</w:t>
      </w:r>
      <w:r w:rsidRPr="006E00F4">
        <w:rPr>
          <w:rFonts w:hint="eastAsia"/>
        </w:rPr>
        <w:t>23.62</w:t>
      </w:r>
      <w:r w:rsidRPr="006E00F4">
        <w:rPr>
          <w:rFonts w:hint="eastAsia"/>
        </w:rPr>
        <w:t>亿欧元，与去年同期</w:t>
      </w:r>
      <w:r w:rsidR="00D25100">
        <w:rPr>
          <w:rFonts w:hint="eastAsia"/>
        </w:rPr>
        <w:t>在</w:t>
      </w:r>
      <w:r w:rsidR="00DC71B8" w:rsidRPr="006E00F4">
        <w:rPr>
          <w:rFonts w:hint="eastAsia"/>
        </w:rPr>
        <w:t>净营运资本正常化积极影响</w:t>
      </w:r>
      <w:r w:rsidR="00D25100">
        <w:rPr>
          <w:rFonts w:hint="eastAsia"/>
        </w:rPr>
        <w:t>下的情况</w:t>
      </w:r>
      <w:r w:rsidRPr="006E00F4">
        <w:rPr>
          <w:rFonts w:hint="eastAsia"/>
        </w:rPr>
        <w:t>相比有所减少（</w:t>
      </w:r>
      <w:r w:rsidRPr="006E00F4">
        <w:rPr>
          <w:rFonts w:hint="eastAsia"/>
        </w:rPr>
        <w:t>2023</w:t>
      </w:r>
      <w:r w:rsidRPr="006E00F4">
        <w:rPr>
          <w:rFonts w:hint="eastAsia"/>
        </w:rPr>
        <w:t>年：</w:t>
      </w:r>
      <w:r w:rsidRPr="006E00F4">
        <w:rPr>
          <w:rFonts w:hint="eastAsia"/>
        </w:rPr>
        <w:t>26.03</w:t>
      </w:r>
      <w:r w:rsidRPr="006E00F4">
        <w:rPr>
          <w:rFonts w:hint="eastAsia"/>
        </w:rPr>
        <w:t>亿欧元）。</w:t>
      </w:r>
      <w:r w:rsidRPr="006E00F4">
        <w:rPr>
          <w:rFonts w:hint="eastAsia"/>
        </w:rPr>
        <w:t xml:space="preserve"> </w:t>
      </w:r>
    </w:p>
    <w:p w14:paraId="015CF066" w14:textId="77777777" w:rsidR="00D24C2D" w:rsidRPr="006E00F4" w:rsidRDefault="00D24C2D" w:rsidP="00D24C2D">
      <w:pPr>
        <w:rPr>
          <w:rFonts w:cs="Segoe UI"/>
          <w:szCs w:val="22"/>
        </w:rPr>
      </w:pPr>
    </w:p>
    <w:p w14:paraId="58750AC1" w14:textId="77777777" w:rsidR="004B2C19" w:rsidRPr="006E00F4" w:rsidRDefault="00B07F4F" w:rsidP="00D24C2D">
      <w:pPr>
        <w:rPr>
          <w:rFonts w:cs="Segoe UI"/>
          <w:szCs w:val="22"/>
        </w:rPr>
      </w:pPr>
      <w:r w:rsidRPr="006E00F4">
        <w:rPr>
          <w:rFonts w:hint="eastAsia"/>
          <w:b/>
          <w:bCs/>
        </w:rPr>
        <w:t>净财务状况</w:t>
      </w:r>
      <w:r w:rsidRPr="006E00F4">
        <w:rPr>
          <w:rFonts w:hint="eastAsia"/>
        </w:rPr>
        <w:t>为</w:t>
      </w:r>
      <w:r w:rsidRPr="006E00F4">
        <w:rPr>
          <w:rFonts w:hint="eastAsia"/>
        </w:rPr>
        <w:t>-9300</w:t>
      </w:r>
      <w:r w:rsidRPr="006E00F4">
        <w:rPr>
          <w:rFonts w:hint="eastAsia"/>
        </w:rPr>
        <w:t>万欧元，略低于去年水平，这主要是由于收购支出（</w:t>
      </w:r>
      <w:r w:rsidRPr="006E00F4">
        <w:rPr>
          <w:rFonts w:hint="eastAsia"/>
        </w:rPr>
        <w:t>2023</w:t>
      </w:r>
      <w:r w:rsidRPr="006E00F4">
        <w:rPr>
          <w:rFonts w:hint="eastAsia"/>
        </w:rPr>
        <w:t>年</w:t>
      </w:r>
      <w:r w:rsidRPr="006E00F4">
        <w:rPr>
          <w:rFonts w:hint="eastAsia"/>
        </w:rPr>
        <w:t>12</w:t>
      </w:r>
      <w:r w:rsidRPr="006E00F4">
        <w:rPr>
          <w:rFonts w:hint="eastAsia"/>
        </w:rPr>
        <w:t>月</w:t>
      </w:r>
      <w:r w:rsidRPr="006E00F4">
        <w:rPr>
          <w:rFonts w:hint="eastAsia"/>
        </w:rPr>
        <w:t>31</w:t>
      </w:r>
      <w:r w:rsidRPr="006E00F4">
        <w:rPr>
          <w:rFonts w:hint="eastAsia"/>
        </w:rPr>
        <w:t>日：</w:t>
      </w:r>
      <w:r w:rsidRPr="006E00F4">
        <w:rPr>
          <w:rFonts w:hint="eastAsia"/>
        </w:rPr>
        <w:t>1200</w:t>
      </w:r>
      <w:r w:rsidRPr="006E00F4">
        <w:rPr>
          <w:rFonts w:hint="eastAsia"/>
        </w:rPr>
        <w:t>万欧元）。</w:t>
      </w:r>
    </w:p>
    <w:p w14:paraId="1D2A7285" w14:textId="77777777" w:rsidR="00C8634B" w:rsidRPr="006E00F4" w:rsidRDefault="00C8634B">
      <w:pPr>
        <w:spacing w:line="240" w:lineRule="auto"/>
        <w:jc w:val="left"/>
        <w:rPr>
          <w:rFonts w:cs="Segoe UI"/>
        </w:rPr>
      </w:pPr>
    </w:p>
    <w:p w14:paraId="1AB3A20A" w14:textId="77777777" w:rsidR="004B2C19" w:rsidRPr="006E00F4" w:rsidRDefault="00B07F4F" w:rsidP="00D24C2D">
      <w:pPr>
        <w:rPr>
          <w:rFonts w:cs="Segoe UI"/>
        </w:rPr>
      </w:pPr>
      <w:r w:rsidRPr="006E00F4">
        <w:rPr>
          <w:rFonts w:hint="eastAsia"/>
        </w:rPr>
        <w:t>管理委员会、监事会和股东委员会将在</w:t>
      </w:r>
      <w:r w:rsidRPr="006E00F4">
        <w:rPr>
          <w:rFonts w:hint="eastAsia"/>
        </w:rPr>
        <w:t>2025</w:t>
      </w:r>
      <w:r w:rsidRPr="006E00F4">
        <w:rPr>
          <w:rFonts w:hint="eastAsia"/>
        </w:rPr>
        <w:t>年</w:t>
      </w:r>
      <w:r w:rsidRPr="006E00F4">
        <w:rPr>
          <w:rFonts w:hint="eastAsia"/>
        </w:rPr>
        <w:t>4</w:t>
      </w:r>
      <w:r w:rsidRPr="006E00F4">
        <w:rPr>
          <w:rFonts w:hint="eastAsia"/>
        </w:rPr>
        <w:t>月</w:t>
      </w:r>
      <w:r w:rsidRPr="006E00F4">
        <w:rPr>
          <w:rFonts w:hint="eastAsia"/>
        </w:rPr>
        <w:t>28</w:t>
      </w:r>
      <w:r w:rsidRPr="006E00F4">
        <w:rPr>
          <w:rFonts w:hint="eastAsia"/>
        </w:rPr>
        <w:t>日的年度股东大会上提议</w:t>
      </w:r>
      <w:r w:rsidRPr="006E00F4">
        <w:rPr>
          <w:rFonts w:hint="eastAsia"/>
          <w:b/>
          <w:bCs/>
        </w:rPr>
        <w:t>股息</w:t>
      </w:r>
      <w:r w:rsidRPr="006E00F4">
        <w:rPr>
          <w:rFonts w:hint="eastAsia"/>
        </w:rPr>
        <w:t>比去年增加</w:t>
      </w:r>
      <w:r w:rsidRPr="006E00F4">
        <w:rPr>
          <w:rFonts w:hint="eastAsia"/>
        </w:rPr>
        <w:t>10.3%</w:t>
      </w:r>
      <w:r w:rsidRPr="006E00F4">
        <w:rPr>
          <w:rFonts w:hint="eastAsia"/>
        </w:rPr>
        <w:t>，即优先股每股</w:t>
      </w:r>
      <w:r w:rsidRPr="006E00F4">
        <w:rPr>
          <w:rFonts w:hint="eastAsia"/>
        </w:rPr>
        <w:t>2.04</w:t>
      </w:r>
      <w:r w:rsidRPr="006E00F4">
        <w:rPr>
          <w:rFonts w:hint="eastAsia"/>
        </w:rPr>
        <w:t>欧元，普通股每股</w:t>
      </w:r>
      <w:r w:rsidRPr="006E00F4">
        <w:rPr>
          <w:rFonts w:hint="eastAsia"/>
        </w:rPr>
        <w:t>2.02</w:t>
      </w:r>
      <w:r w:rsidRPr="006E00F4">
        <w:rPr>
          <w:rFonts w:hint="eastAsia"/>
        </w:rPr>
        <w:t>欧元（增加</w:t>
      </w:r>
      <w:r w:rsidRPr="006E00F4">
        <w:rPr>
          <w:rFonts w:hint="eastAsia"/>
        </w:rPr>
        <w:t>10.4%</w:t>
      </w:r>
      <w:r w:rsidRPr="006E00F4">
        <w:rPr>
          <w:rFonts w:hint="eastAsia"/>
        </w:rPr>
        <w:t>）。这相当于</w:t>
      </w:r>
      <w:r w:rsidRPr="006E00F4">
        <w:rPr>
          <w:rFonts w:hint="eastAsia"/>
        </w:rPr>
        <w:t>37.9%</w:t>
      </w:r>
      <w:r w:rsidRPr="006E00F4">
        <w:rPr>
          <w:rFonts w:hint="eastAsia"/>
        </w:rPr>
        <w:t>的派息率，在</w:t>
      </w:r>
      <w:r w:rsidRPr="006E00F4">
        <w:rPr>
          <w:rFonts w:hint="eastAsia"/>
        </w:rPr>
        <w:t>30%</w:t>
      </w:r>
      <w:r w:rsidRPr="006E00F4">
        <w:rPr>
          <w:rFonts w:hint="eastAsia"/>
        </w:rPr>
        <w:t>至</w:t>
      </w:r>
      <w:r w:rsidRPr="006E00F4">
        <w:rPr>
          <w:rFonts w:hint="eastAsia"/>
        </w:rPr>
        <w:t>40%</w:t>
      </w:r>
      <w:r w:rsidRPr="006E00F4">
        <w:rPr>
          <w:rFonts w:hint="eastAsia"/>
        </w:rPr>
        <w:t>的目标范围之内。股息的增加得益于汉高集团上一财年的良好财务业绩和雄厚的财务基础。</w:t>
      </w:r>
    </w:p>
    <w:p w14:paraId="785C0FF4" w14:textId="77777777" w:rsidR="004B2C19" w:rsidRPr="006E00F4" w:rsidRDefault="004B2C19" w:rsidP="004B2C19">
      <w:pPr>
        <w:rPr>
          <w:rFonts w:cs="Segoe UI"/>
        </w:rPr>
      </w:pPr>
    </w:p>
    <w:p w14:paraId="7FD977E3" w14:textId="77777777" w:rsidR="004B2C19" w:rsidRPr="006E00F4" w:rsidRDefault="00B07F4F" w:rsidP="004B2C19">
      <w:pPr>
        <w:spacing w:after="120"/>
        <w:rPr>
          <w:rFonts w:cs="Segoe UI"/>
          <w:b/>
          <w:bCs/>
          <w:szCs w:val="22"/>
        </w:rPr>
      </w:pPr>
      <w:r w:rsidRPr="006E00F4">
        <w:rPr>
          <w:rFonts w:hint="eastAsia"/>
          <w:b/>
        </w:rPr>
        <w:t>2024</w:t>
      </w:r>
      <w:r w:rsidRPr="006E00F4">
        <w:rPr>
          <w:rFonts w:hint="eastAsia"/>
          <w:b/>
        </w:rPr>
        <w:t>财年业务部门业绩</w:t>
      </w:r>
    </w:p>
    <w:p w14:paraId="2B896A99" w14:textId="77777777" w:rsidR="004B2C19" w:rsidRPr="006E00F4" w:rsidRDefault="00B07F4F" w:rsidP="009E6215">
      <w:pPr>
        <w:rPr>
          <w:rFonts w:cs="Segoe UI"/>
          <w:szCs w:val="22"/>
        </w:rPr>
      </w:pPr>
      <w:r w:rsidRPr="006E00F4">
        <w:rPr>
          <w:rFonts w:hint="eastAsia"/>
          <w:b/>
          <w:bCs/>
        </w:rPr>
        <w:t>粘合剂技术</w:t>
      </w:r>
      <w:r w:rsidRPr="006E00F4">
        <w:rPr>
          <w:rFonts w:hint="eastAsia"/>
        </w:rPr>
        <w:t>业务部</w:t>
      </w:r>
      <w:r w:rsidRPr="006E00F4">
        <w:rPr>
          <w:rFonts w:hint="eastAsia"/>
        </w:rPr>
        <w:t>2024</w:t>
      </w:r>
      <w:r w:rsidRPr="006E00F4">
        <w:rPr>
          <w:rFonts w:hint="eastAsia"/>
        </w:rPr>
        <w:t>财年的总</w:t>
      </w:r>
      <w:r w:rsidRPr="006E00F4">
        <w:rPr>
          <w:rFonts w:hint="eastAsia"/>
          <w:b/>
          <w:bCs/>
        </w:rPr>
        <w:t>销售额</w:t>
      </w:r>
      <w:r w:rsidRPr="006E00F4">
        <w:rPr>
          <w:rFonts w:hint="eastAsia"/>
        </w:rPr>
        <w:t>为</w:t>
      </w:r>
      <w:r w:rsidRPr="006E00F4">
        <w:rPr>
          <w:rFonts w:hint="eastAsia"/>
        </w:rPr>
        <w:t>109.70</w:t>
      </w:r>
      <w:r w:rsidRPr="006E00F4">
        <w:rPr>
          <w:rFonts w:hint="eastAsia"/>
        </w:rPr>
        <w:t>亿欧元，同比名义增长</w:t>
      </w:r>
      <w:r w:rsidRPr="006E00F4">
        <w:rPr>
          <w:rFonts w:hint="eastAsia"/>
        </w:rPr>
        <w:t>1.7%</w:t>
      </w:r>
      <w:r w:rsidRPr="006E00F4">
        <w:rPr>
          <w:rFonts w:hint="eastAsia"/>
        </w:rPr>
        <w:t>。虽然汇率因素</w:t>
      </w:r>
      <w:r w:rsidR="00DC47F5">
        <w:rPr>
          <w:rFonts w:hint="eastAsia"/>
        </w:rPr>
        <w:t>造成</w:t>
      </w:r>
      <w:r w:rsidRPr="006E00F4">
        <w:rPr>
          <w:rFonts w:hint="eastAsia"/>
        </w:rPr>
        <w:t>1.8%</w:t>
      </w:r>
      <w:r w:rsidR="00DC47F5">
        <w:rPr>
          <w:rFonts w:hint="eastAsia"/>
        </w:rPr>
        <w:t>的负面影响</w:t>
      </w:r>
      <w:r w:rsidRPr="006E00F4">
        <w:rPr>
          <w:rFonts w:hint="eastAsia"/>
        </w:rPr>
        <w:t>，但收购</w:t>
      </w:r>
      <w:r w:rsidRPr="006E00F4">
        <w:rPr>
          <w:rFonts w:hint="eastAsia"/>
        </w:rPr>
        <w:t>/</w:t>
      </w:r>
      <w:r w:rsidRPr="006E00F4">
        <w:rPr>
          <w:rFonts w:hint="eastAsia"/>
        </w:rPr>
        <w:t>撤资促使销售额增长</w:t>
      </w:r>
      <w:r w:rsidRPr="006E00F4">
        <w:rPr>
          <w:rFonts w:hint="eastAsia"/>
        </w:rPr>
        <w:t>1.1%</w:t>
      </w:r>
      <w:r w:rsidRPr="006E00F4">
        <w:rPr>
          <w:rFonts w:hint="eastAsia"/>
        </w:rPr>
        <w:t>。</w:t>
      </w:r>
      <w:r w:rsidRPr="006E00F4">
        <w:rPr>
          <w:rFonts w:hint="eastAsia"/>
          <w:b/>
          <w:bCs/>
        </w:rPr>
        <w:t>有机销售额</w:t>
      </w:r>
      <w:r w:rsidRPr="006E00F4">
        <w:rPr>
          <w:rFonts w:hint="eastAsia"/>
        </w:rPr>
        <w:t>增长</w:t>
      </w:r>
      <w:r w:rsidRPr="006E00F4">
        <w:rPr>
          <w:rFonts w:hint="eastAsia"/>
        </w:rPr>
        <w:t>2.4%</w:t>
      </w:r>
      <w:r w:rsidR="009D2268">
        <w:rPr>
          <w:rFonts w:hint="eastAsia"/>
        </w:rPr>
        <w:t>，主要归因于</w:t>
      </w:r>
      <w:r w:rsidRPr="006E00F4">
        <w:rPr>
          <w:rFonts w:hint="eastAsia"/>
        </w:rPr>
        <w:t>下半年</w:t>
      </w:r>
      <w:r w:rsidR="007B6227">
        <w:rPr>
          <w:rFonts w:hint="eastAsia"/>
        </w:rPr>
        <w:t>因</w:t>
      </w:r>
      <w:r w:rsidR="007B6227" w:rsidRPr="006E00F4">
        <w:rPr>
          <w:rFonts w:hint="eastAsia"/>
        </w:rPr>
        <w:t>部分主要终端市场需求增加</w:t>
      </w:r>
      <w:r w:rsidR="007B6227">
        <w:rPr>
          <w:rFonts w:hint="eastAsia"/>
        </w:rPr>
        <w:t>而</w:t>
      </w:r>
      <w:r w:rsidR="00DE1422">
        <w:rPr>
          <w:rFonts w:hint="eastAsia"/>
        </w:rPr>
        <w:t>带来</w:t>
      </w:r>
      <w:r w:rsidRPr="006E00F4">
        <w:rPr>
          <w:rFonts w:hint="eastAsia"/>
        </w:rPr>
        <w:t>销量的强劲增长。价格与去年持平。</w:t>
      </w:r>
      <w:r w:rsidRPr="006E00F4">
        <w:rPr>
          <w:rFonts w:hint="eastAsia"/>
          <w:b/>
          <w:bCs/>
        </w:rPr>
        <w:t>调整后的营业</w:t>
      </w:r>
      <w:r w:rsidRPr="006E00F4">
        <w:rPr>
          <w:rFonts w:hint="eastAsia"/>
          <w:b/>
          <w:bCs/>
        </w:rPr>
        <w:lastRenderedPageBreak/>
        <w:t>利润</w:t>
      </w:r>
      <w:r w:rsidRPr="006E00F4">
        <w:rPr>
          <w:rFonts w:hint="eastAsia"/>
        </w:rPr>
        <w:t>为</w:t>
      </w:r>
      <w:r w:rsidRPr="006E00F4">
        <w:rPr>
          <w:rFonts w:hint="eastAsia"/>
        </w:rPr>
        <w:t>18.17</w:t>
      </w:r>
      <w:r w:rsidRPr="006E00F4">
        <w:rPr>
          <w:rFonts w:hint="eastAsia"/>
        </w:rPr>
        <w:t>亿欧元，同比实现两位数增长，创下该业务部的新高。</w:t>
      </w:r>
      <w:r w:rsidRPr="006E00F4">
        <w:rPr>
          <w:rFonts w:hint="eastAsia"/>
          <w:b/>
          <w:bCs/>
        </w:rPr>
        <w:t>调整后的销售回报率</w:t>
      </w:r>
      <w:r w:rsidRPr="006E00F4">
        <w:rPr>
          <w:rFonts w:hint="eastAsia"/>
        </w:rPr>
        <w:t>同比上浮</w:t>
      </w:r>
      <w:r w:rsidRPr="006E00F4">
        <w:rPr>
          <w:rFonts w:hint="eastAsia"/>
        </w:rPr>
        <w:t>190</w:t>
      </w:r>
      <w:r w:rsidRPr="006E00F4">
        <w:rPr>
          <w:rFonts w:hint="eastAsia"/>
        </w:rPr>
        <w:t>个基点，达到</w:t>
      </w:r>
      <w:r w:rsidRPr="006E00F4">
        <w:rPr>
          <w:rFonts w:hint="eastAsia"/>
        </w:rPr>
        <w:t>16.6%</w:t>
      </w:r>
      <w:r w:rsidRPr="006E00F4">
        <w:rPr>
          <w:rFonts w:hint="eastAsia"/>
        </w:rPr>
        <w:t>。</w:t>
      </w:r>
    </w:p>
    <w:p w14:paraId="51CB2B60" w14:textId="77777777" w:rsidR="004B2C19" w:rsidRPr="006E00F4" w:rsidRDefault="004B2C19" w:rsidP="004B2C19">
      <w:pPr>
        <w:rPr>
          <w:rFonts w:cs="Segoe UI"/>
          <w:szCs w:val="22"/>
        </w:rPr>
      </w:pPr>
    </w:p>
    <w:p w14:paraId="4AEE1084" w14:textId="77777777" w:rsidR="004B2C19" w:rsidRPr="006E00F4" w:rsidRDefault="00B07F4F" w:rsidP="009E6215">
      <w:pPr>
        <w:rPr>
          <w:rFonts w:cs="Segoe UI"/>
          <w:szCs w:val="22"/>
        </w:rPr>
      </w:pPr>
      <w:r w:rsidRPr="006E00F4">
        <w:rPr>
          <w:rFonts w:hint="eastAsia"/>
          <w:b/>
          <w:bCs/>
        </w:rPr>
        <w:t>消费品牌</w:t>
      </w:r>
      <w:r w:rsidRPr="006E00F4">
        <w:rPr>
          <w:rFonts w:hint="eastAsia"/>
        </w:rPr>
        <w:t>业务部</w:t>
      </w:r>
      <w:r w:rsidRPr="006E00F4">
        <w:rPr>
          <w:rFonts w:hint="eastAsia"/>
        </w:rPr>
        <w:t>2024</w:t>
      </w:r>
      <w:r w:rsidRPr="006E00F4">
        <w:rPr>
          <w:rFonts w:hint="eastAsia"/>
        </w:rPr>
        <w:t>财年的总</w:t>
      </w:r>
      <w:r w:rsidRPr="006E00F4">
        <w:rPr>
          <w:rFonts w:hint="eastAsia"/>
          <w:b/>
          <w:bCs/>
        </w:rPr>
        <w:t>销售额</w:t>
      </w:r>
      <w:r w:rsidRPr="006E00F4">
        <w:rPr>
          <w:rFonts w:hint="eastAsia"/>
        </w:rPr>
        <w:t>为</w:t>
      </w:r>
      <w:r w:rsidRPr="006E00F4">
        <w:rPr>
          <w:rFonts w:hint="eastAsia"/>
        </w:rPr>
        <w:t>104.67</w:t>
      </w:r>
      <w:r w:rsidRPr="006E00F4">
        <w:rPr>
          <w:rFonts w:hint="eastAsia"/>
        </w:rPr>
        <w:t>亿欧元，较去年名义下降</w:t>
      </w:r>
      <w:r w:rsidRPr="006E00F4">
        <w:rPr>
          <w:rFonts w:hint="eastAsia"/>
        </w:rPr>
        <w:t>0.9%</w:t>
      </w:r>
      <w:r w:rsidRPr="006E00F4">
        <w:rPr>
          <w:rFonts w:hint="eastAsia"/>
        </w:rPr>
        <w:t>。外汇因素导致销售额下降</w:t>
      </w:r>
      <w:r w:rsidRPr="006E00F4">
        <w:rPr>
          <w:rFonts w:hint="eastAsia"/>
        </w:rPr>
        <w:t>1.8%</w:t>
      </w:r>
      <w:r w:rsidRPr="006E00F4">
        <w:rPr>
          <w:rFonts w:hint="eastAsia"/>
        </w:rPr>
        <w:t>。收购</w:t>
      </w:r>
      <w:r w:rsidRPr="006E00F4">
        <w:rPr>
          <w:rFonts w:hint="eastAsia"/>
        </w:rPr>
        <w:t>/</w:t>
      </w:r>
      <w:r w:rsidRPr="006E00F4">
        <w:rPr>
          <w:rFonts w:hint="eastAsia"/>
        </w:rPr>
        <w:t>撤资也导致销售额下降</w:t>
      </w:r>
      <w:r w:rsidRPr="006E00F4">
        <w:rPr>
          <w:rFonts w:hint="eastAsia"/>
        </w:rPr>
        <w:t>2.0%</w:t>
      </w:r>
      <w:r w:rsidRPr="006E00F4">
        <w:rPr>
          <w:rFonts w:hint="eastAsia"/>
        </w:rPr>
        <w:t>，主要原因是我们于</w:t>
      </w:r>
      <w:r w:rsidRPr="006E00F4">
        <w:rPr>
          <w:rFonts w:hint="eastAsia"/>
        </w:rPr>
        <w:t>2023</w:t>
      </w:r>
      <w:r w:rsidRPr="006E00F4">
        <w:rPr>
          <w:rFonts w:hint="eastAsia"/>
        </w:rPr>
        <w:t>年</w:t>
      </w:r>
      <w:r w:rsidRPr="006E00F4">
        <w:rPr>
          <w:rFonts w:hint="eastAsia"/>
        </w:rPr>
        <w:t>4</w:t>
      </w:r>
      <w:r w:rsidRPr="006E00F4">
        <w:rPr>
          <w:rFonts w:hint="eastAsia"/>
        </w:rPr>
        <w:t>月出售了在俄罗斯的业务活动。</w:t>
      </w:r>
      <w:r w:rsidRPr="006E00F4">
        <w:rPr>
          <w:rFonts w:hint="eastAsia"/>
          <w:b/>
          <w:bCs/>
        </w:rPr>
        <w:t>有机</w:t>
      </w:r>
      <w:r w:rsidRPr="00D1154A">
        <w:rPr>
          <w:rFonts w:hint="eastAsia"/>
        </w:rPr>
        <w:t>销售额</w:t>
      </w:r>
      <w:r w:rsidRPr="006E00F4">
        <w:rPr>
          <w:rFonts w:hint="eastAsia"/>
        </w:rPr>
        <w:t>增长</w:t>
      </w:r>
      <w:r w:rsidRPr="006E00F4">
        <w:rPr>
          <w:rFonts w:hint="eastAsia"/>
        </w:rPr>
        <w:t>3.0%</w:t>
      </w:r>
      <w:r w:rsidRPr="006E00F4">
        <w:rPr>
          <w:rFonts w:hint="eastAsia"/>
        </w:rPr>
        <w:t>。销售额的增长主要得益于大幅的价格上涨，而销量的下滑则主要归因于持续的产品组合优化措施。</w:t>
      </w:r>
      <w:r w:rsidRPr="006E00F4">
        <w:rPr>
          <w:rFonts w:hint="eastAsia"/>
          <w:b/>
          <w:bCs/>
        </w:rPr>
        <w:t>调整后的营业利润</w:t>
      </w:r>
      <w:r w:rsidR="00F44F3C">
        <w:rPr>
          <w:rFonts w:hint="eastAsia"/>
        </w:rPr>
        <w:t>大幅增长至</w:t>
      </w:r>
      <w:r w:rsidRPr="006E00F4">
        <w:rPr>
          <w:rFonts w:hint="eastAsia"/>
        </w:rPr>
        <w:t>14.19</w:t>
      </w:r>
      <w:r w:rsidRPr="006E00F4">
        <w:rPr>
          <w:rFonts w:hint="eastAsia"/>
        </w:rPr>
        <w:t>亿欧元（</w:t>
      </w:r>
      <w:r w:rsidR="00F44F3C">
        <w:rPr>
          <w:rFonts w:hint="eastAsia"/>
        </w:rPr>
        <w:t>2023</w:t>
      </w:r>
      <w:r w:rsidR="00F44F3C">
        <w:rPr>
          <w:rFonts w:hint="eastAsia"/>
        </w:rPr>
        <w:t>年：</w:t>
      </w:r>
      <w:r w:rsidRPr="006E00F4">
        <w:rPr>
          <w:rFonts w:hint="eastAsia"/>
        </w:rPr>
        <w:t>11.15</w:t>
      </w:r>
      <w:r w:rsidRPr="006E00F4">
        <w:rPr>
          <w:rFonts w:hint="eastAsia"/>
        </w:rPr>
        <w:t>亿欧元）。</w:t>
      </w:r>
      <w:r w:rsidRPr="006E00F4">
        <w:rPr>
          <w:rFonts w:hint="eastAsia"/>
          <w:b/>
          <w:bCs/>
        </w:rPr>
        <w:t>调整后的销售回报率</w:t>
      </w:r>
      <w:r w:rsidRPr="006E00F4">
        <w:rPr>
          <w:rFonts w:hint="eastAsia"/>
        </w:rPr>
        <w:t>达</w:t>
      </w:r>
      <w:r w:rsidRPr="006E00F4">
        <w:rPr>
          <w:rFonts w:hint="eastAsia"/>
        </w:rPr>
        <w:t>13.6%</w:t>
      </w:r>
      <w:r w:rsidRPr="006E00F4">
        <w:rPr>
          <w:rFonts w:hint="eastAsia"/>
        </w:rPr>
        <w:t>，较去年大幅提高</w:t>
      </w:r>
      <w:r w:rsidRPr="006E00F4">
        <w:rPr>
          <w:rFonts w:hint="eastAsia"/>
        </w:rPr>
        <w:t>300</w:t>
      </w:r>
      <w:r w:rsidRPr="006E00F4">
        <w:rPr>
          <w:rFonts w:hint="eastAsia"/>
        </w:rPr>
        <w:t>个基点。</w:t>
      </w:r>
    </w:p>
    <w:p w14:paraId="29FC6967" w14:textId="77777777" w:rsidR="004B2C19" w:rsidRPr="006E00F4" w:rsidRDefault="004B2C19" w:rsidP="004B2C19">
      <w:pPr>
        <w:spacing w:after="120"/>
        <w:rPr>
          <w:rFonts w:cs="Segoe UI"/>
          <w:b/>
          <w:bCs/>
          <w:szCs w:val="22"/>
          <w:lang w:eastAsia="de-DE"/>
        </w:rPr>
      </w:pPr>
    </w:p>
    <w:p w14:paraId="4BB37082" w14:textId="77777777" w:rsidR="004B2C19" w:rsidRPr="006E00F4" w:rsidRDefault="00B07F4F" w:rsidP="004B2C19">
      <w:pPr>
        <w:spacing w:after="120"/>
        <w:rPr>
          <w:rFonts w:cs="Segoe UI"/>
          <w:szCs w:val="22"/>
        </w:rPr>
      </w:pPr>
      <w:r w:rsidRPr="006E00F4">
        <w:rPr>
          <w:rFonts w:hint="eastAsia"/>
          <w:b/>
        </w:rPr>
        <w:t>转型取得重大进展</w:t>
      </w:r>
    </w:p>
    <w:p w14:paraId="39B7A91A" w14:textId="77777777" w:rsidR="00D04EC3" w:rsidRPr="006E00F4" w:rsidRDefault="00B07F4F" w:rsidP="00D04EC3">
      <w:pPr>
        <w:rPr>
          <w:rFonts w:cs="Segoe UI"/>
          <w:bCs/>
          <w:szCs w:val="22"/>
        </w:rPr>
      </w:pPr>
      <w:r w:rsidRPr="006E00F4">
        <w:rPr>
          <w:rFonts w:hint="eastAsia"/>
        </w:rPr>
        <w:t>过去几年中，汉高在众多领域都进行了深刻变革，并</w:t>
      </w:r>
      <w:r w:rsidR="00921CAD">
        <w:rPr>
          <w:rFonts w:hint="eastAsia"/>
        </w:rPr>
        <w:t>持续贯彻</w:t>
      </w:r>
      <w:r w:rsidRPr="006E00F4">
        <w:rPr>
          <w:rFonts w:hint="eastAsia"/>
        </w:rPr>
        <w:t>自己的目标性增长战略议程。长期和可持续成功的关键驱动因素在于</w:t>
      </w:r>
      <w:r w:rsidR="006D2C34">
        <w:rPr>
          <w:rFonts w:hint="eastAsia"/>
        </w:rPr>
        <w:t>不断</w:t>
      </w:r>
      <w:r w:rsidRPr="006E00F4">
        <w:rPr>
          <w:rFonts w:hint="eastAsia"/>
        </w:rPr>
        <w:t>转型的意愿和决心。目的是实现业绩的可持续增长。为此，公司必须在各个领域不断变革，推动</w:t>
      </w:r>
      <w:r w:rsidR="00CE0C9F">
        <w:rPr>
          <w:rFonts w:hint="eastAsia"/>
        </w:rPr>
        <w:t>进一步</w:t>
      </w:r>
      <w:r w:rsidRPr="006E00F4">
        <w:rPr>
          <w:rFonts w:hint="eastAsia"/>
        </w:rPr>
        <w:t>发展。</w:t>
      </w:r>
    </w:p>
    <w:p w14:paraId="55DF1C6A" w14:textId="77777777" w:rsidR="00C8634B" w:rsidRPr="006E00F4" w:rsidRDefault="00C8634B" w:rsidP="00D04EC3">
      <w:pPr>
        <w:rPr>
          <w:rFonts w:cs="Segoe UI"/>
          <w:bCs/>
          <w:szCs w:val="22"/>
        </w:rPr>
      </w:pPr>
    </w:p>
    <w:p w14:paraId="446780AC" w14:textId="77777777" w:rsidR="004B2C19" w:rsidRPr="006E00F4" w:rsidRDefault="00B07F4F" w:rsidP="004B2C19">
      <w:pPr>
        <w:spacing w:after="120"/>
        <w:jc w:val="left"/>
        <w:rPr>
          <w:rFonts w:cs="Segoe UI"/>
          <w:b/>
          <w:bCs/>
          <w:szCs w:val="22"/>
        </w:rPr>
      </w:pPr>
      <w:r w:rsidRPr="006E00F4">
        <w:rPr>
          <w:rFonts w:hint="eastAsia"/>
          <w:b/>
        </w:rPr>
        <w:t>消费品牌业务部：合并进度快于计划</w:t>
      </w:r>
    </w:p>
    <w:p w14:paraId="50C1F78D" w14:textId="77777777" w:rsidR="00D407F1" w:rsidRPr="006E00F4" w:rsidRDefault="00B07F4F" w:rsidP="00D407F1">
      <w:pPr>
        <w:rPr>
          <w:rFonts w:cs="Segoe UI"/>
          <w:szCs w:val="22"/>
        </w:rPr>
      </w:pPr>
      <w:r w:rsidRPr="006E00F4">
        <w:rPr>
          <w:rFonts w:hint="eastAsia"/>
        </w:rPr>
        <w:t>汉高</w:t>
      </w:r>
      <w:r w:rsidR="00110D28">
        <w:rPr>
          <w:rFonts w:hint="eastAsia"/>
        </w:rPr>
        <w:t>近年来</w:t>
      </w:r>
      <w:r w:rsidRPr="006E00F4">
        <w:rPr>
          <w:rFonts w:hint="eastAsia"/>
        </w:rPr>
        <w:t>最重大的变革可能就是</w:t>
      </w:r>
      <w:r w:rsidRPr="006E00F4">
        <w:rPr>
          <w:rFonts w:hint="eastAsia"/>
        </w:rPr>
        <w:t>2022</w:t>
      </w:r>
      <w:r w:rsidRPr="006E00F4">
        <w:rPr>
          <w:rFonts w:hint="eastAsia"/>
        </w:rPr>
        <w:t>年初宣布将消费品业务</w:t>
      </w:r>
      <w:r w:rsidR="00E979D5">
        <w:rPr>
          <w:rFonts w:hint="eastAsia"/>
        </w:rPr>
        <w:t>整合为</w:t>
      </w:r>
      <w:r w:rsidRPr="006E00F4">
        <w:rPr>
          <w:rFonts w:hint="eastAsia"/>
          <w:b/>
          <w:bCs/>
        </w:rPr>
        <w:t>消费品牌</w:t>
      </w:r>
      <w:r w:rsidRPr="006E00F4">
        <w:rPr>
          <w:rFonts w:hint="eastAsia"/>
        </w:rPr>
        <w:t>业务部。自此，很多方面都发生了改变。自</w:t>
      </w:r>
      <w:r w:rsidRPr="006E00F4">
        <w:rPr>
          <w:rFonts w:hint="eastAsia"/>
        </w:rPr>
        <w:t>2023</w:t>
      </w:r>
      <w:r w:rsidRPr="006E00F4">
        <w:rPr>
          <w:rFonts w:hint="eastAsia"/>
        </w:rPr>
        <w:t>年初以来，该业务部已在其新</w:t>
      </w:r>
      <w:r w:rsidR="004A5AB1">
        <w:rPr>
          <w:rFonts w:hint="eastAsia"/>
        </w:rPr>
        <w:t>组织</w:t>
      </w:r>
      <w:r w:rsidRPr="006E00F4">
        <w:rPr>
          <w:rFonts w:hint="eastAsia"/>
        </w:rPr>
        <w:t>架构下运营，并在当年取得了明显的增长。刚刚过去的</w:t>
      </w:r>
      <w:r w:rsidRPr="006E00F4">
        <w:rPr>
          <w:rFonts w:hint="eastAsia"/>
        </w:rPr>
        <w:t>2024</w:t>
      </w:r>
      <w:r w:rsidRPr="006E00F4">
        <w:rPr>
          <w:rFonts w:hint="eastAsia"/>
        </w:rPr>
        <w:t>财年</w:t>
      </w:r>
      <w:r w:rsidR="003303B3">
        <w:rPr>
          <w:rFonts w:hint="eastAsia"/>
        </w:rPr>
        <w:t>表现</w:t>
      </w:r>
      <w:r w:rsidR="00B22925">
        <w:rPr>
          <w:rFonts w:hint="eastAsia"/>
        </w:rPr>
        <w:t>印证了</w:t>
      </w:r>
      <w:r w:rsidRPr="006E00F4">
        <w:rPr>
          <w:rFonts w:hint="eastAsia"/>
        </w:rPr>
        <w:t>我们将之前单独的消费品业务合并为一个平台</w:t>
      </w:r>
      <w:r w:rsidR="00B22925">
        <w:rPr>
          <w:rFonts w:hint="eastAsia"/>
        </w:rPr>
        <w:t>的决策</w:t>
      </w:r>
      <w:r w:rsidRPr="006E00F4">
        <w:rPr>
          <w:rFonts w:hint="eastAsia"/>
        </w:rPr>
        <w:t>显然是正确的。</w:t>
      </w:r>
    </w:p>
    <w:p w14:paraId="3C42B769" w14:textId="77777777" w:rsidR="00D407F1" w:rsidRPr="006E00F4" w:rsidRDefault="00D407F1" w:rsidP="00D407F1">
      <w:pPr>
        <w:rPr>
          <w:rFonts w:cs="Segoe UI"/>
          <w:szCs w:val="22"/>
          <w:lang w:eastAsia="de-DE"/>
        </w:rPr>
      </w:pPr>
    </w:p>
    <w:p w14:paraId="4D82C178" w14:textId="77777777" w:rsidR="00D407F1" w:rsidRPr="006E00F4" w:rsidRDefault="00B07F4F" w:rsidP="00D407F1">
      <w:r w:rsidRPr="006E00F4">
        <w:rPr>
          <w:rFonts w:hint="eastAsia"/>
        </w:rPr>
        <w:t>消费品牌业务部的整合工作在团队整合、产品组合重组和实现协同效应方面的进展速度</w:t>
      </w:r>
      <w:r w:rsidR="00F2681D">
        <w:rPr>
          <w:rFonts w:hint="eastAsia"/>
        </w:rPr>
        <w:t>都快于</w:t>
      </w:r>
      <w:r w:rsidRPr="006E00F4">
        <w:rPr>
          <w:rFonts w:hint="eastAsia"/>
        </w:rPr>
        <w:t>最初计划。整合的第一阶段</w:t>
      </w:r>
      <w:r w:rsidR="009D7585" w:rsidRPr="006E00F4">
        <w:rPr>
          <w:rFonts w:hint="eastAsia"/>
        </w:rPr>
        <w:t>于</w:t>
      </w:r>
      <w:r w:rsidR="009D7585" w:rsidRPr="006E00F4">
        <w:rPr>
          <w:rFonts w:hint="eastAsia"/>
        </w:rPr>
        <w:t>2024</w:t>
      </w:r>
      <w:r w:rsidR="009D7585" w:rsidRPr="006E00F4">
        <w:rPr>
          <w:rFonts w:hint="eastAsia"/>
        </w:rPr>
        <w:t>年完成</w:t>
      </w:r>
      <w:r w:rsidR="009D7585">
        <w:rPr>
          <w:rFonts w:hint="eastAsia"/>
        </w:rPr>
        <w:t>，</w:t>
      </w:r>
      <w:r w:rsidRPr="006E00F4">
        <w:rPr>
          <w:rFonts w:hint="eastAsia"/>
        </w:rPr>
        <w:t>主要涉及销售和营销团队的合并。第二阶段从</w:t>
      </w:r>
      <w:r w:rsidRPr="006E00F4">
        <w:rPr>
          <w:rFonts w:hint="eastAsia"/>
        </w:rPr>
        <w:t>2023</w:t>
      </w:r>
      <w:r w:rsidRPr="006E00F4">
        <w:rPr>
          <w:rFonts w:hint="eastAsia"/>
        </w:rPr>
        <w:t>年开始实施，通过改善供应链（即生产网络和供应链）</w:t>
      </w:r>
      <w:r w:rsidR="00801558">
        <w:rPr>
          <w:rFonts w:hint="eastAsia"/>
        </w:rPr>
        <w:t>，预计到</w:t>
      </w:r>
      <w:r w:rsidR="00801558">
        <w:rPr>
          <w:rFonts w:hint="eastAsia"/>
        </w:rPr>
        <w:t>2025</w:t>
      </w:r>
      <w:r w:rsidR="00801558">
        <w:rPr>
          <w:rFonts w:hint="eastAsia"/>
        </w:rPr>
        <w:t>年底</w:t>
      </w:r>
      <w:r w:rsidRPr="006E00F4">
        <w:rPr>
          <w:rFonts w:hint="eastAsia"/>
        </w:rPr>
        <w:t>实现全面的成本节约。</w:t>
      </w:r>
    </w:p>
    <w:p w14:paraId="2C44ED90" w14:textId="77777777" w:rsidR="00D407F1" w:rsidRPr="006E00F4" w:rsidRDefault="00D407F1" w:rsidP="00D407F1"/>
    <w:p w14:paraId="0AE2F623" w14:textId="77777777" w:rsidR="007E4FB6" w:rsidRPr="006E00F4" w:rsidRDefault="00B07F4F" w:rsidP="007E4FB6">
      <w:pPr>
        <w:rPr>
          <w:rFonts w:cs="Segoe UI"/>
          <w:szCs w:val="22"/>
        </w:rPr>
      </w:pPr>
      <w:r w:rsidRPr="006E00F4">
        <w:rPr>
          <w:rFonts w:hint="eastAsia"/>
        </w:rPr>
        <w:t>与此同时，消费品牌业务部始终关注</w:t>
      </w:r>
      <w:r w:rsidR="000157C5" w:rsidRPr="006E00F4">
        <w:rPr>
          <w:rFonts w:hint="eastAsia"/>
        </w:rPr>
        <w:t>高</w:t>
      </w:r>
      <w:r w:rsidRPr="006E00F4">
        <w:rPr>
          <w:rFonts w:hint="eastAsia"/>
        </w:rPr>
        <w:t>毛利率的</w:t>
      </w:r>
      <w:r w:rsidR="00FB223A">
        <w:rPr>
          <w:rFonts w:hint="eastAsia"/>
        </w:rPr>
        <w:t>强大</w:t>
      </w:r>
      <w:r w:rsidRPr="006E00F4">
        <w:rPr>
          <w:rFonts w:hint="eastAsia"/>
        </w:rPr>
        <w:t>品牌和业务，以及在市场和品类中的领先地位。专注于增长强劲和利润较高的品牌和业务</w:t>
      </w:r>
      <w:r w:rsidR="00240E4F" w:rsidRPr="006E00F4">
        <w:rPr>
          <w:rFonts w:hint="eastAsia"/>
        </w:rPr>
        <w:t>正显现</w:t>
      </w:r>
      <w:r w:rsidR="00240E4F">
        <w:rPr>
          <w:rFonts w:hint="eastAsia"/>
        </w:rPr>
        <w:t>出</w:t>
      </w:r>
      <w:r w:rsidRPr="006E00F4">
        <w:rPr>
          <w:rFonts w:hint="eastAsia"/>
        </w:rPr>
        <w:t>积极</w:t>
      </w:r>
      <w:r w:rsidR="00240E4F">
        <w:rPr>
          <w:rFonts w:hint="eastAsia"/>
        </w:rPr>
        <w:t>的</w:t>
      </w:r>
      <w:r w:rsidRPr="006E00F4">
        <w:rPr>
          <w:rFonts w:hint="eastAsia"/>
        </w:rPr>
        <w:t>效果：消费品牌</w:t>
      </w:r>
      <w:r w:rsidR="003B12EA">
        <w:rPr>
          <w:rFonts w:hint="eastAsia"/>
        </w:rPr>
        <w:t>业务部</w:t>
      </w:r>
      <w:r w:rsidRPr="006E00F4">
        <w:rPr>
          <w:rFonts w:hint="eastAsia"/>
        </w:rPr>
        <w:t>中的前十大品牌</w:t>
      </w:r>
      <w:r w:rsidR="006F2241" w:rsidRPr="006E00F4">
        <w:rPr>
          <w:rFonts w:hint="eastAsia"/>
        </w:rPr>
        <w:t>占了</w:t>
      </w:r>
      <w:r w:rsidRPr="006E00F4">
        <w:rPr>
          <w:rFonts w:hint="eastAsia"/>
        </w:rPr>
        <w:t>2024</w:t>
      </w:r>
      <w:r w:rsidRPr="006E00F4">
        <w:rPr>
          <w:rFonts w:hint="eastAsia"/>
        </w:rPr>
        <w:t>年总收入</w:t>
      </w:r>
      <w:r w:rsidR="006F2241" w:rsidRPr="006E00F4">
        <w:rPr>
          <w:rFonts w:hint="eastAsia"/>
        </w:rPr>
        <w:t>的</w:t>
      </w:r>
      <w:r w:rsidRPr="006E00F4">
        <w:rPr>
          <w:rFonts w:hint="eastAsia"/>
        </w:rPr>
        <w:t>一半以上，</w:t>
      </w:r>
      <w:r w:rsidR="00291992">
        <w:rPr>
          <w:rFonts w:hint="eastAsia"/>
        </w:rPr>
        <w:t>销量增长的同时也</w:t>
      </w:r>
      <w:r w:rsidRPr="006E00F4">
        <w:rPr>
          <w:rFonts w:hint="eastAsia"/>
        </w:rPr>
        <w:t>实现了非常强劲的有机增长。</w:t>
      </w:r>
      <w:r w:rsidRPr="006E00F4">
        <w:rPr>
          <w:rFonts w:hint="eastAsia"/>
        </w:rPr>
        <w:t xml:space="preserve"> </w:t>
      </w:r>
    </w:p>
    <w:p w14:paraId="40095297" w14:textId="77777777" w:rsidR="004B2C19" w:rsidRPr="006E00F4" w:rsidRDefault="004B2C19" w:rsidP="007E4FB6">
      <w:pPr>
        <w:rPr>
          <w:rFonts w:cs="Segoe UI"/>
          <w:szCs w:val="22"/>
          <w:lang w:eastAsia="de-DE"/>
        </w:rPr>
      </w:pPr>
    </w:p>
    <w:p w14:paraId="0FB4ECDA" w14:textId="77777777" w:rsidR="004B2C19" w:rsidRPr="006E00F4" w:rsidRDefault="00B07F4F" w:rsidP="004B2C19">
      <w:pPr>
        <w:spacing w:after="120"/>
        <w:rPr>
          <w:rFonts w:cs="Segoe UI"/>
          <w:b/>
          <w:bCs/>
          <w:szCs w:val="22"/>
        </w:rPr>
      </w:pPr>
      <w:r w:rsidRPr="006E00F4">
        <w:rPr>
          <w:rFonts w:hint="eastAsia"/>
          <w:b/>
        </w:rPr>
        <w:t>粘合剂技术业务部的进一步发展</w:t>
      </w:r>
    </w:p>
    <w:p w14:paraId="31ED6983" w14:textId="77777777" w:rsidR="007E4FB6" w:rsidRPr="006E00F4" w:rsidRDefault="00B07F4F" w:rsidP="007E4FB6">
      <w:pPr>
        <w:rPr>
          <w:rFonts w:cs="Segoe UI"/>
          <w:szCs w:val="22"/>
        </w:rPr>
      </w:pPr>
      <w:r w:rsidRPr="006E00F4">
        <w:rPr>
          <w:rFonts w:hint="eastAsia"/>
          <w:b/>
          <w:bCs/>
        </w:rPr>
        <w:t>粘合剂技术</w:t>
      </w:r>
      <w:r w:rsidRPr="006E00F4">
        <w:rPr>
          <w:rFonts w:hint="eastAsia"/>
        </w:rPr>
        <w:t>业务部在过去的一年里也取得了重大进展，总体业务表现良好。该业务部为全球</w:t>
      </w:r>
      <w:r w:rsidRPr="006E00F4">
        <w:rPr>
          <w:rFonts w:hint="eastAsia"/>
        </w:rPr>
        <w:t>800</w:t>
      </w:r>
      <w:r w:rsidRPr="006E00F4">
        <w:rPr>
          <w:rFonts w:hint="eastAsia"/>
        </w:rPr>
        <w:t>多个行业领域的超过</w:t>
      </w:r>
      <w:r w:rsidRPr="006E00F4">
        <w:rPr>
          <w:rFonts w:hint="eastAsia"/>
        </w:rPr>
        <w:t>10</w:t>
      </w:r>
      <w:r w:rsidRPr="006E00F4">
        <w:rPr>
          <w:rFonts w:hint="eastAsia"/>
        </w:rPr>
        <w:t>万个客户提供约</w:t>
      </w:r>
      <w:r w:rsidRPr="006E00F4">
        <w:rPr>
          <w:rFonts w:hint="eastAsia"/>
        </w:rPr>
        <w:t>20,000</w:t>
      </w:r>
      <w:r w:rsidRPr="006E00F4">
        <w:rPr>
          <w:rFonts w:hint="eastAsia"/>
        </w:rPr>
        <w:t>种产品和解决方案。</w:t>
      </w:r>
      <w:r w:rsidR="00A95915">
        <w:rPr>
          <w:rFonts w:hint="eastAsia"/>
        </w:rPr>
        <w:t>凭借</w:t>
      </w:r>
      <w:r w:rsidRPr="006E00F4">
        <w:rPr>
          <w:rFonts w:hint="eastAsia"/>
        </w:rPr>
        <w:t>产品组合的广度和深度</w:t>
      </w:r>
      <w:r w:rsidR="00940CA8">
        <w:rPr>
          <w:rFonts w:hint="eastAsia"/>
        </w:rPr>
        <w:t>、</w:t>
      </w:r>
      <w:r w:rsidRPr="006E00F4">
        <w:rPr>
          <w:rFonts w:hint="eastAsia"/>
        </w:rPr>
        <w:t>全球</w:t>
      </w:r>
      <w:r w:rsidR="001B18FB">
        <w:rPr>
          <w:rFonts w:hint="eastAsia"/>
        </w:rPr>
        <w:t>影响力</w:t>
      </w:r>
      <w:r w:rsidRPr="006E00F4">
        <w:rPr>
          <w:rFonts w:hint="eastAsia"/>
        </w:rPr>
        <w:t>以及</w:t>
      </w:r>
      <w:r w:rsidR="00F620A1">
        <w:rPr>
          <w:rFonts w:hint="eastAsia"/>
        </w:rPr>
        <w:t>为客户定制</w:t>
      </w:r>
      <w:r w:rsidRPr="006E00F4">
        <w:rPr>
          <w:rFonts w:hint="eastAsia"/>
        </w:rPr>
        <w:t>解决方案</w:t>
      </w:r>
      <w:r w:rsidR="00EB1C2C">
        <w:rPr>
          <w:rFonts w:hint="eastAsia"/>
        </w:rPr>
        <w:t>的专业</w:t>
      </w:r>
      <w:r w:rsidRPr="006E00F4">
        <w:rPr>
          <w:rFonts w:hint="eastAsia"/>
        </w:rPr>
        <w:t>，汉高在市场上独树一帜，并进一步扩大了全球领先的市场地位。</w:t>
      </w:r>
      <w:r w:rsidR="00455119">
        <w:rPr>
          <w:rFonts w:hint="eastAsia"/>
        </w:rPr>
        <w:t>携手</w:t>
      </w:r>
      <w:r w:rsidRPr="006E00F4">
        <w:rPr>
          <w:rFonts w:hint="eastAsia"/>
        </w:rPr>
        <w:t>移动和电子、包装和消费品</w:t>
      </w:r>
      <w:r w:rsidR="00780EEF">
        <w:rPr>
          <w:rFonts w:hint="eastAsia"/>
        </w:rPr>
        <w:t>，</w:t>
      </w:r>
      <w:r w:rsidRPr="006E00F4">
        <w:rPr>
          <w:rFonts w:hint="eastAsia"/>
        </w:rPr>
        <w:t>以及工匠、建筑和专业这三大业务领域，粘合剂技术业务部正专注于探索未来的主要发展趋势</w:t>
      </w:r>
      <w:r w:rsidR="006F56A8">
        <w:rPr>
          <w:rFonts w:hint="eastAsia"/>
        </w:rPr>
        <w:t>，</w:t>
      </w:r>
      <w:r w:rsidRPr="006E00F4">
        <w:rPr>
          <w:rFonts w:hint="eastAsia"/>
        </w:rPr>
        <w:t>其中包括电动</w:t>
      </w:r>
      <w:r w:rsidR="002D60C8">
        <w:rPr>
          <w:rFonts w:hint="eastAsia"/>
        </w:rPr>
        <w:t>出行</w:t>
      </w:r>
      <w:r w:rsidRPr="006E00F4">
        <w:rPr>
          <w:rFonts w:hint="eastAsia"/>
        </w:rPr>
        <w:t>和</w:t>
      </w:r>
      <w:r w:rsidR="00AA1EF3">
        <w:rPr>
          <w:rFonts w:hint="eastAsia"/>
        </w:rPr>
        <w:t>互联</w:t>
      </w:r>
      <w:r w:rsidR="000E1028">
        <w:rPr>
          <w:rFonts w:hint="eastAsia"/>
        </w:rPr>
        <w:t>互通</w:t>
      </w:r>
      <w:r w:rsidR="006866D7">
        <w:rPr>
          <w:rFonts w:hint="eastAsia"/>
        </w:rPr>
        <w:t>（</w:t>
      </w:r>
      <w:r w:rsidRPr="006E00F4">
        <w:rPr>
          <w:rFonts w:hint="eastAsia"/>
        </w:rPr>
        <w:t>即系统间</w:t>
      </w:r>
      <w:r w:rsidR="006F56A8">
        <w:rPr>
          <w:rFonts w:hint="eastAsia"/>
        </w:rPr>
        <w:t>日渐紧密</w:t>
      </w:r>
      <w:r w:rsidRPr="006E00F4">
        <w:rPr>
          <w:rFonts w:hint="eastAsia"/>
        </w:rPr>
        <w:t>的</w:t>
      </w:r>
      <w:r w:rsidR="008B0C47">
        <w:rPr>
          <w:rFonts w:hint="eastAsia"/>
        </w:rPr>
        <w:t>连接性</w:t>
      </w:r>
      <w:r w:rsidR="006866D7">
        <w:rPr>
          <w:rFonts w:hint="eastAsia"/>
        </w:rPr>
        <w:t>）</w:t>
      </w:r>
      <w:r w:rsidRPr="006E00F4">
        <w:rPr>
          <w:rFonts w:hint="eastAsia"/>
        </w:rPr>
        <w:t>以及可持续</w:t>
      </w:r>
      <w:r w:rsidR="000E1028">
        <w:rPr>
          <w:rFonts w:hint="eastAsia"/>
        </w:rPr>
        <w:t>性</w:t>
      </w:r>
      <w:r w:rsidRPr="006E00F4">
        <w:rPr>
          <w:rFonts w:hint="eastAsia"/>
        </w:rPr>
        <w:t>。</w:t>
      </w:r>
    </w:p>
    <w:p w14:paraId="7BF58B5F" w14:textId="77777777" w:rsidR="007E4FB6" w:rsidRPr="006E00F4" w:rsidRDefault="007E4FB6" w:rsidP="007E4FB6">
      <w:pPr>
        <w:rPr>
          <w:rFonts w:cs="Segoe UI"/>
          <w:szCs w:val="22"/>
          <w:lang w:eastAsia="de-DE"/>
        </w:rPr>
      </w:pPr>
    </w:p>
    <w:p w14:paraId="4DE87E0A" w14:textId="77777777" w:rsidR="007E4FB6" w:rsidRDefault="00B07F4F" w:rsidP="007E4FB6">
      <w:r w:rsidRPr="00671649">
        <w:lastRenderedPageBreak/>
        <w:t>在充满挑战的</w:t>
      </w:r>
      <w:r w:rsidRPr="00671649">
        <w:t>2024</w:t>
      </w:r>
      <w:r w:rsidRPr="00671649">
        <w:t>年，粘合剂技术业务部凭借精简</w:t>
      </w:r>
      <w:r w:rsidR="00A04A7C">
        <w:rPr>
          <w:rFonts w:hint="eastAsia"/>
        </w:rPr>
        <w:t>的</w:t>
      </w:r>
      <w:r w:rsidRPr="00671649">
        <w:t>架构、部分</w:t>
      </w:r>
      <w:r w:rsidR="002B2252">
        <w:rPr>
          <w:rFonts w:hint="eastAsia"/>
        </w:rPr>
        <w:t>新</w:t>
      </w:r>
      <w:r w:rsidRPr="00671649">
        <w:t>领导团队</w:t>
      </w:r>
      <w:r w:rsidR="00501C9E">
        <w:rPr>
          <w:rFonts w:hint="eastAsia"/>
        </w:rPr>
        <w:t>的组建</w:t>
      </w:r>
      <w:r w:rsidRPr="00671649">
        <w:t>、</w:t>
      </w:r>
      <w:r w:rsidR="00A04A7C">
        <w:rPr>
          <w:rFonts w:hint="eastAsia"/>
        </w:rPr>
        <w:t>以及对</w:t>
      </w:r>
      <w:r w:rsidRPr="00671649">
        <w:t>未来趋势</w:t>
      </w:r>
      <w:r w:rsidR="00A04A7C">
        <w:rPr>
          <w:rFonts w:hint="eastAsia"/>
        </w:rPr>
        <w:t>的</w:t>
      </w:r>
      <w:r w:rsidR="00A04A7C" w:rsidRPr="00671649">
        <w:t>持续关注</w:t>
      </w:r>
      <w:r w:rsidRPr="00671649">
        <w:t>，再次成功</w:t>
      </w:r>
      <w:r w:rsidR="00D50FD2">
        <w:rPr>
          <w:rFonts w:hint="eastAsia"/>
        </w:rPr>
        <w:t>推动了业务发展</w:t>
      </w:r>
      <w:r w:rsidRPr="00671649">
        <w:t>。</w:t>
      </w:r>
    </w:p>
    <w:p w14:paraId="6B3824A4" w14:textId="77777777" w:rsidR="00671649" w:rsidRPr="006E00F4" w:rsidRDefault="00671649" w:rsidP="007E4FB6">
      <w:pPr>
        <w:rPr>
          <w:rFonts w:cs="Segoe UI"/>
          <w:szCs w:val="22"/>
          <w:lang w:eastAsia="de-DE"/>
        </w:rPr>
      </w:pPr>
    </w:p>
    <w:p w14:paraId="0563226A" w14:textId="77777777" w:rsidR="004B2C19" w:rsidRPr="006E00F4" w:rsidRDefault="00B07F4F" w:rsidP="004B2C19">
      <w:pPr>
        <w:spacing w:after="120"/>
        <w:rPr>
          <w:rFonts w:cs="Segoe UI"/>
          <w:b/>
          <w:bCs/>
          <w:szCs w:val="22"/>
        </w:rPr>
      </w:pPr>
      <w:r w:rsidRPr="006E00F4">
        <w:rPr>
          <w:rFonts w:hint="eastAsia"/>
          <w:b/>
        </w:rPr>
        <w:t>所有战略优先事项均取得进一步进展</w:t>
      </w:r>
    </w:p>
    <w:p w14:paraId="791025D5" w14:textId="77777777" w:rsidR="004B2C19" w:rsidRPr="006E00F4" w:rsidRDefault="00B07F4F" w:rsidP="004B2C19">
      <w:pPr>
        <w:autoSpaceDE w:val="0"/>
        <w:autoSpaceDN w:val="0"/>
        <w:adjustRightInd w:val="0"/>
        <w:rPr>
          <w:rFonts w:cs="Segoe UI"/>
          <w:bCs/>
          <w:szCs w:val="22"/>
        </w:rPr>
      </w:pPr>
      <w:r w:rsidRPr="006E00F4">
        <w:rPr>
          <w:rFonts w:hint="eastAsia"/>
        </w:rPr>
        <w:t>在充满挑战的宏观经济和地缘政治环境下，汉高在</w:t>
      </w:r>
      <w:r w:rsidR="00DC50E8">
        <w:rPr>
          <w:rFonts w:hint="eastAsia"/>
        </w:rPr>
        <w:t>2024</w:t>
      </w:r>
      <w:r w:rsidR="00DC50E8">
        <w:rPr>
          <w:rFonts w:hint="eastAsia"/>
        </w:rPr>
        <w:t>财年</w:t>
      </w:r>
      <w:r w:rsidRPr="006E00F4">
        <w:rPr>
          <w:rFonts w:hint="eastAsia"/>
        </w:rPr>
        <w:t>继续实施其增长战略，并在各个领域取得了重要进展。公司进一步发展其业务和品牌组合，加强在创新、可持续发展和数字化领域的竞争优势，优化运营模式，并培养企业文化。</w:t>
      </w:r>
    </w:p>
    <w:p w14:paraId="7B884CC5" w14:textId="77777777" w:rsidR="004B2C19" w:rsidRPr="006E00F4" w:rsidRDefault="004B2C19" w:rsidP="004B2C19">
      <w:pPr>
        <w:autoSpaceDE w:val="0"/>
        <w:autoSpaceDN w:val="0"/>
        <w:adjustRightInd w:val="0"/>
        <w:rPr>
          <w:rFonts w:cs="Segoe UI"/>
          <w:bCs/>
          <w:szCs w:val="22"/>
        </w:rPr>
      </w:pPr>
    </w:p>
    <w:p w14:paraId="1860F803" w14:textId="77777777" w:rsidR="008F3112" w:rsidRPr="006E00F4" w:rsidRDefault="00B07F4F" w:rsidP="004B2C19">
      <w:pPr>
        <w:autoSpaceDE w:val="0"/>
        <w:autoSpaceDN w:val="0"/>
        <w:adjustRightInd w:val="0"/>
        <w:rPr>
          <w:rFonts w:cs="Segoe UI"/>
          <w:bCs/>
          <w:szCs w:val="22"/>
        </w:rPr>
      </w:pPr>
      <w:r w:rsidRPr="006E00F4">
        <w:rPr>
          <w:rFonts w:hint="eastAsia"/>
        </w:rPr>
        <w:t>作为</w:t>
      </w:r>
      <w:r w:rsidRPr="006E00F4">
        <w:rPr>
          <w:rFonts w:hint="eastAsia"/>
          <w:b/>
          <w:bCs/>
        </w:rPr>
        <w:t>积极产品组合管理</w:t>
      </w:r>
      <w:r w:rsidRPr="006E00F4">
        <w:rPr>
          <w:rFonts w:hint="eastAsia"/>
        </w:rPr>
        <w:t>的一部分，汉高通过终止或撤资以及收购业务，进一步优化和发展其产品组合。随着今年早些时候北美零售品牌业务的出售，汉高完成了产品组合调整措施。这些都是</w:t>
      </w:r>
      <w:r w:rsidR="00F1694D">
        <w:rPr>
          <w:rFonts w:hint="eastAsia"/>
        </w:rPr>
        <w:t>在合并</w:t>
      </w:r>
      <w:r w:rsidRPr="006E00F4">
        <w:rPr>
          <w:rFonts w:hint="eastAsia"/>
        </w:rPr>
        <w:t>独立的消费品业务</w:t>
      </w:r>
      <w:r w:rsidR="00E3642C">
        <w:rPr>
          <w:rFonts w:hint="eastAsia"/>
        </w:rPr>
        <w:t>初期</w:t>
      </w:r>
      <w:r w:rsidRPr="006E00F4">
        <w:rPr>
          <w:rFonts w:hint="eastAsia"/>
        </w:rPr>
        <w:t>宣布的。零售品牌业务</w:t>
      </w:r>
      <w:r w:rsidR="008C2822" w:rsidRPr="006E00F4">
        <w:rPr>
          <w:rFonts w:hint="eastAsia"/>
        </w:rPr>
        <w:t>因其发挥协同效应的潜力</w:t>
      </w:r>
      <w:r w:rsidR="00344C02">
        <w:rPr>
          <w:rFonts w:hint="eastAsia"/>
        </w:rPr>
        <w:t>不足</w:t>
      </w:r>
      <w:r w:rsidR="008C2822" w:rsidRPr="006E00F4">
        <w:rPr>
          <w:rFonts w:hint="eastAsia"/>
        </w:rPr>
        <w:t>以及未来与消费品牌综合平台的战略契合度有限</w:t>
      </w:r>
      <w:r w:rsidR="008C2822">
        <w:rPr>
          <w:rFonts w:hint="eastAsia"/>
        </w:rPr>
        <w:t>，</w:t>
      </w:r>
      <w:r w:rsidRPr="006E00F4">
        <w:rPr>
          <w:rFonts w:hint="eastAsia"/>
        </w:rPr>
        <w:t>已被确定为消费品牌业务部内的非核心业务。包括此次交易在内，汉高自</w:t>
      </w:r>
      <w:r w:rsidRPr="006E00F4">
        <w:rPr>
          <w:rFonts w:hint="eastAsia"/>
        </w:rPr>
        <w:t>2022</w:t>
      </w:r>
      <w:r w:rsidRPr="006E00F4">
        <w:rPr>
          <w:rFonts w:hint="eastAsia"/>
        </w:rPr>
        <w:t>年初以来撤资或终止的品牌和业务的总销售额略高于</w:t>
      </w:r>
      <w:r w:rsidRPr="006E00F4">
        <w:rPr>
          <w:rFonts w:hint="eastAsia"/>
        </w:rPr>
        <w:t>10</w:t>
      </w:r>
      <w:r w:rsidRPr="006E00F4">
        <w:rPr>
          <w:rFonts w:hint="eastAsia"/>
        </w:rPr>
        <w:t>亿欧元。</w:t>
      </w:r>
    </w:p>
    <w:p w14:paraId="5B173799" w14:textId="77777777" w:rsidR="008F3112" w:rsidRPr="006E00F4" w:rsidRDefault="008F3112" w:rsidP="004B2C19">
      <w:pPr>
        <w:autoSpaceDE w:val="0"/>
        <w:autoSpaceDN w:val="0"/>
        <w:adjustRightInd w:val="0"/>
        <w:rPr>
          <w:rFonts w:cs="Segoe UI"/>
          <w:bCs/>
          <w:szCs w:val="22"/>
        </w:rPr>
      </w:pPr>
    </w:p>
    <w:p w14:paraId="77E041E3" w14:textId="77777777" w:rsidR="004248C3" w:rsidRPr="006E00F4" w:rsidRDefault="00B07F4F" w:rsidP="004248C3">
      <w:pPr>
        <w:autoSpaceDE w:val="0"/>
        <w:autoSpaceDN w:val="0"/>
        <w:adjustRightInd w:val="0"/>
        <w:rPr>
          <w:rFonts w:cs="Segoe UI"/>
          <w:bCs/>
          <w:szCs w:val="22"/>
        </w:rPr>
      </w:pPr>
      <w:r w:rsidRPr="006E00F4">
        <w:rPr>
          <w:rFonts w:hint="eastAsia"/>
        </w:rPr>
        <w:t>积极的产品组合管理措施还包括通过</w:t>
      </w:r>
      <w:r w:rsidRPr="006E00F4">
        <w:rPr>
          <w:rFonts w:hint="eastAsia"/>
          <w:b/>
          <w:bCs/>
        </w:rPr>
        <w:t>收购</w:t>
      </w:r>
      <w:r w:rsidRPr="006E00F4">
        <w:rPr>
          <w:rFonts w:hint="eastAsia"/>
        </w:rPr>
        <w:t>加强和扩展产品组合：</w:t>
      </w:r>
      <w:r w:rsidRPr="006E00F4">
        <w:rPr>
          <w:rFonts w:hint="eastAsia"/>
        </w:rPr>
        <w:t>2024</w:t>
      </w:r>
      <w:r w:rsidRPr="006E00F4">
        <w:rPr>
          <w:rFonts w:hint="eastAsia"/>
        </w:rPr>
        <w:t>年初，汉高在中国收购了知名护发品牌沙宣。此次收购完美地补充了消费品牌业务部在中国的本地产品组合，</w:t>
      </w:r>
      <w:r w:rsidR="00A35F2E">
        <w:rPr>
          <w:rFonts w:hint="eastAsia"/>
        </w:rPr>
        <w:t>覆盖</w:t>
      </w:r>
      <w:r w:rsidRPr="006E00F4">
        <w:rPr>
          <w:rFonts w:hint="eastAsia"/>
        </w:rPr>
        <w:t>了零售业务中的高端市场。沙宣品牌的产品组合主要为高端护发市场提供洗发水和护发素，也包括造型和护理产品。</w:t>
      </w:r>
    </w:p>
    <w:p w14:paraId="714C9992" w14:textId="77777777" w:rsidR="004248C3" w:rsidRPr="006E00F4" w:rsidRDefault="004248C3" w:rsidP="004248C3">
      <w:pPr>
        <w:autoSpaceDE w:val="0"/>
        <w:autoSpaceDN w:val="0"/>
        <w:adjustRightInd w:val="0"/>
        <w:rPr>
          <w:rFonts w:cs="Segoe UI"/>
          <w:bCs/>
          <w:szCs w:val="22"/>
        </w:rPr>
      </w:pPr>
    </w:p>
    <w:p w14:paraId="4E3DEEE4" w14:textId="1BE1C43F" w:rsidR="004248C3" w:rsidRPr="006E00F4" w:rsidRDefault="00B07F4F" w:rsidP="004248C3">
      <w:pPr>
        <w:autoSpaceDE w:val="0"/>
        <w:autoSpaceDN w:val="0"/>
        <w:adjustRightInd w:val="0"/>
        <w:rPr>
          <w:rFonts w:cs="Segoe UI"/>
          <w:bCs/>
          <w:szCs w:val="22"/>
        </w:rPr>
      </w:pPr>
      <w:r w:rsidRPr="006E00F4">
        <w:rPr>
          <w:rFonts w:hint="eastAsia"/>
        </w:rPr>
        <w:t>汉高还通过收购</w:t>
      </w:r>
      <w:r>
        <w:rPr>
          <w:rFonts w:hint="eastAsia"/>
        </w:rPr>
        <w:t>总部位于</w:t>
      </w:r>
      <w:r w:rsidRPr="006E00F4">
        <w:rPr>
          <w:rFonts w:hint="eastAsia"/>
        </w:rPr>
        <w:t>美国的</w:t>
      </w:r>
      <w:r w:rsidRPr="006E00F4">
        <w:rPr>
          <w:rFonts w:hint="eastAsia"/>
        </w:rPr>
        <w:t>Seal for Life Industries</w:t>
      </w:r>
      <w:r w:rsidRPr="006E00F4">
        <w:rPr>
          <w:rFonts w:hint="eastAsia"/>
        </w:rPr>
        <w:t>公司，扩大粘合剂技术业务部的产品组合。该公司为可再生能源、天然气和供水等行业的基础设施提供保护涂层和密封解决方案。此次收购是对</w:t>
      </w:r>
      <w:r w:rsidRPr="006E00F4">
        <w:rPr>
          <w:rFonts w:hint="eastAsia"/>
        </w:rPr>
        <w:t>2023</w:t>
      </w:r>
      <w:r w:rsidRPr="006E00F4">
        <w:rPr>
          <w:rFonts w:hint="eastAsia"/>
        </w:rPr>
        <w:t>年收购</w:t>
      </w:r>
      <w:proofErr w:type="spellStart"/>
      <w:r w:rsidRPr="006E00F4">
        <w:rPr>
          <w:rFonts w:hint="eastAsia"/>
        </w:rPr>
        <w:t>Critica</w:t>
      </w:r>
      <w:proofErr w:type="spellEnd"/>
      <w:r w:rsidRPr="006E00F4">
        <w:rPr>
          <w:rFonts w:hint="eastAsia"/>
        </w:rPr>
        <w:t xml:space="preserve"> Infrastructure</w:t>
      </w:r>
      <w:r w:rsidRPr="006E00F4">
        <w:rPr>
          <w:rFonts w:hint="eastAsia"/>
        </w:rPr>
        <w:t>公司的补充，后者也是一家专门从事基础设施维护和维修的公司。通过这些收购，我们扩大了在极具吸引力和前景的维护、修理和大修业务领域的现有产品组合，从而为进一步增长奠定坚实的基础。</w:t>
      </w:r>
    </w:p>
    <w:p w14:paraId="39026FCE" w14:textId="77777777" w:rsidR="000E79CD" w:rsidRPr="006E00F4" w:rsidRDefault="000E79CD" w:rsidP="004248C3">
      <w:pPr>
        <w:autoSpaceDE w:val="0"/>
        <w:autoSpaceDN w:val="0"/>
        <w:adjustRightInd w:val="0"/>
        <w:rPr>
          <w:rFonts w:cs="Segoe UI"/>
          <w:bCs/>
          <w:szCs w:val="22"/>
        </w:rPr>
      </w:pPr>
    </w:p>
    <w:p w14:paraId="540A21FD" w14:textId="77777777" w:rsidR="00C8634B" w:rsidRPr="006E00F4" w:rsidRDefault="00B07F4F" w:rsidP="004248C3">
      <w:pPr>
        <w:rPr>
          <w:rFonts w:cs="Segoe UI"/>
          <w:bCs/>
          <w:szCs w:val="22"/>
        </w:rPr>
      </w:pPr>
      <w:r w:rsidRPr="006E00F4">
        <w:rPr>
          <w:rFonts w:hint="eastAsia"/>
        </w:rPr>
        <w:t>2024</w:t>
      </w:r>
      <w:r w:rsidRPr="006E00F4">
        <w:rPr>
          <w:rFonts w:hint="eastAsia"/>
        </w:rPr>
        <w:t>年，汉高</w:t>
      </w:r>
      <w:r w:rsidR="005A7E1D" w:rsidRPr="006E00F4">
        <w:rPr>
          <w:rFonts w:hint="eastAsia"/>
        </w:rPr>
        <w:t>响应重要趋势</w:t>
      </w:r>
      <w:r w:rsidR="005A7E1D">
        <w:rPr>
          <w:rFonts w:hint="eastAsia"/>
        </w:rPr>
        <w:t>，</w:t>
      </w:r>
      <w:r w:rsidRPr="006E00F4">
        <w:rPr>
          <w:rFonts w:hint="eastAsia"/>
        </w:rPr>
        <w:t>向市场推出众多</w:t>
      </w:r>
      <w:r w:rsidRPr="006E00F4">
        <w:rPr>
          <w:rFonts w:hint="eastAsia"/>
          <w:b/>
          <w:bCs/>
        </w:rPr>
        <w:t>创新产品</w:t>
      </w:r>
      <w:r w:rsidRPr="006E00F4">
        <w:rPr>
          <w:rFonts w:hint="eastAsia"/>
        </w:rPr>
        <w:t>，为客户和消费者创造价值。粘合剂技术业务部</w:t>
      </w:r>
      <w:r w:rsidR="006A60BF">
        <w:rPr>
          <w:rFonts w:hint="eastAsia"/>
        </w:rPr>
        <w:t>去年</w:t>
      </w:r>
      <w:r w:rsidRPr="006E00F4">
        <w:rPr>
          <w:rFonts w:hint="eastAsia"/>
        </w:rPr>
        <w:t>在总部</w:t>
      </w:r>
      <w:r w:rsidR="00DD08EF">
        <w:rPr>
          <w:rFonts w:hint="eastAsia"/>
        </w:rPr>
        <w:t>杜塞尔多夫</w:t>
      </w:r>
      <w:r w:rsidRPr="006E00F4">
        <w:rPr>
          <w:rFonts w:hint="eastAsia"/>
        </w:rPr>
        <w:t>设立了一个先进的电池测试中心，</w:t>
      </w:r>
      <w:r w:rsidR="00BC5BEA" w:rsidRPr="00BC5BEA">
        <w:t>与</w:t>
      </w:r>
      <w:r w:rsidR="00662E48">
        <w:rPr>
          <w:rFonts w:hint="eastAsia"/>
        </w:rPr>
        <w:t>该业务部</w:t>
      </w:r>
      <w:r w:rsidR="00BC5BEA" w:rsidRPr="00BC5BEA">
        <w:t>全球最大的创新中心</w:t>
      </w:r>
      <w:r w:rsidR="00C80081">
        <w:rPr>
          <w:rFonts w:hint="eastAsia"/>
        </w:rPr>
        <w:t>直接</w:t>
      </w:r>
      <w:r w:rsidR="00BC5BEA" w:rsidRPr="00BC5BEA">
        <w:t>相连</w:t>
      </w:r>
      <w:r w:rsidRPr="006E00F4">
        <w:rPr>
          <w:rFonts w:hint="eastAsia"/>
        </w:rPr>
        <w:t>。</w:t>
      </w:r>
      <w:r w:rsidRPr="006E00F4">
        <w:rPr>
          <w:rFonts w:hint="eastAsia"/>
        </w:rPr>
        <w:t xml:space="preserve"> </w:t>
      </w:r>
    </w:p>
    <w:p w14:paraId="14015B54" w14:textId="77777777" w:rsidR="008A180A" w:rsidRDefault="008A180A" w:rsidP="004248C3"/>
    <w:p w14:paraId="1C7B44CD" w14:textId="1B332439" w:rsidR="00C8634B" w:rsidRPr="006E00F4" w:rsidRDefault="00B07F4F" w:rsidP="004248C3">
      <w:pPr>
        <w:rPr>
          <w:rFonts w:cs="Segoe UI"/>
          <w:bCs/>
          <w:szCs w:val="22"/>
        </w:rPr>
      </w:pPr>
      <w:r w:rsidRPr="006E00F4">
        <w:rPr>
          <w:rFonts w:hint="eastAsia"/>
        </w:rPr>
        <w:t>凭借这个新的测试中心，汉高极大地扩展了其在电动汽车领域的能力，并巩固了作为汽车制造商和电池生产商领先</w:t>
      </w:r>
      <w:r w:rsidR="0090055B">
        <w:rPr>
          <w:rFonts w:hint="eastAsia"/>
        </w:rPr>
        <w:t>的</w:t>
      </w:r>
      <w:r w:rsidRPr="006E00F4">
        <w:rPr>
          <w:rFonts w:hint="eastAsia"/>
        </w:rPr>
        <w:t>开发和创新伙伴的地位。</w:t>
      </w:r>
      <w:r w:rsidRPr="006E00F4">
        <w:rPr>
          <w:rFonts w:hint="eastAsia"/>
        </w:rPr>
        <w:t xml:space="preserve"> </w:t>
      </w:r>
    </w:p>
    <w:p w14:paraId="400B33E1" w14:textId="77777777" w:rsidR="00C8634B" w:rsidRPr="006E00F4" w:rsidRDefault="00C8634B" w:rsidP="004248C3">
      <w:pPr>
        <w:rPr>
          <w:rFonts w:cs="Segoe UI"/>
          <w:bCs/>
          <w:szCs w:val="22"/>
        </w:rPr>
      </w:pPr>
    </w:p>
    <w:p w14:paraId="7F9E1094" w14:textId="77777777" w:rsidR="004248C3" w:rsidRPr="006E00F4" w:rsidRDefault="00B07F4F" w:rsidP="004248C3">
      <w:pPr>
        <w:rPr>
          <w:rFonts w:cs="Segoe UI"/>
          <w:bCs/>
          <w:szCs w:val="22"/>
        </w:rPr>
      </w:pPr>
      <w:r w:rsidRPr="006E00F4">
        <w:rPr>
          <w:rFonts w:hint="eastAsia"/>
        </w:rPr>
        <w:t>消费品牌业务创新的例子之一就是为</w:t>
      </w:r>
      <w:proofErr w:type="spellStart"/>
      <w:r w:rsidRPr="006E00F4">
        <w:rPr>
          <w:rFonts w:hint="eastAsia"/>
        </w:rPr>
        <w:t>Perwoll</w:t>
      </w:r>
      <w:proofErr w:type="spellEnd"/>
      <w:r w:rsidRPr="006E00F4">
        <w:rPr>
          <w:rFonts w:hint="eastAsia"/>
        </w:rPr>
        <w:t>新开发的酶技术，不仅能够护理纺织品，还能帮助保持衣物的颜色。经过十次洗涤后，纤维的更新</w:t>
      </w:r>
      <w:r w:rsidR="00D56A68">
        <w:rPr>
          <w:rFonts w:hint="eastAsia"/>
        </w:rPr>
        <w:t>作用</w:t>
      </w:r>
      <w:r w:rsidRPr="006E00F4">
        <w:rPr>
          <w:rFonts w:hint="eastAsia"/>
        </w:rPr>
        <w:t>就会很明显，从而延长纺织品的使用寿命。</w:t>
      </w:r>
    </w:p>
    <w:p w14:paraId="6DEF0948" w14:textId="77777777" w:rsidR="00C8634B" w:rsidRPr="006E00F4" w:rsidRDefault="00C8634B" w:rsidP="004248C3">
      <w:pPr>
        <w:rPr>
          <w:rFonts w:cs="Segoe UI"/>
          <w:bCs/>
          <w:szCs w:val="22"/>
        </w:rPr>
      </w:pPr>
    </w:p>
    <w:p w14:paraId="778A8228" w14:textId="77777777" w:rsidR="002376A9" w:rsidRPr="006E00F4" w:rsidRDefault="00B07F4F" w:rsidP="00595E5A">
      <w:pPr>
        <w:rPr>
          <w:rFonts w:cs="Segoe UI"/>
          <w:bCs/>
          <w:szCs w:val="22"/>
        </w:rPr>
      </w:pPr>
      <w:r w:rsidRPr="006E00F4">
        <w:rPr>
          <w:rFonts w:hint="eastAsia"/>
        </w:rPr>
        <w:t>此外，汉高</w:t>
      </w:r>
      <w:r w:rsidR="00A1184D">
        <w:rPr>
          <w:rFonts w:hint="eastAsia"/>
        </w:rPr>
        <w:t>在业务领域中</w:t>
      </w:r>
      <w:r w:rsidRPr="006E00F4">
        <w:rPr>
          <w:rFonts w:hint="eastAsia"/>
        </w:rPr>
        <w:t>进一步</w:t>
      </w:r>
      <w:r w:rsidR="00A1184D">
        <w:rPr>
          <w:rFonts w:hint="eastAsia"/>
        </w:rPr>
        <w:t>强调了</w:t>
      </w:r>
      <w:r w:rsidR="00A1184D" w:rsidRPr="00D1154A">
        <w:rPr>
          <w:rFonts w:hint="eastAsia"/>
          <w:b/>
          <w:bCs/>
        </w:rPr>
        <w:t>可持续发展</w:t>
      </w:r>
      <w:r w:rsidRPr="006E00F4">
        <w:rPr>
          <w:rFonts w:hint="eastAsia"/>
        </w:rPr>
        <w:t>，并加强了在这一领域的承诺。为此，汉高制定了净零排放路线图，其中包括在整个价值链减少排放的进一步目标。公司的目标是按照</w:t>
      </w:r>
      <w:r w:rsidRPr="006E00F4">
        <w:rPr>
          <w:rFonts w:hint="eastAsia"/>
        </w:rPr>
        <w:lastRenderedPageBreak/>
        <w:t>《巴黎气候协定》的约定，为将全球升温幅度控制在</w:t>
      </w:r>
      <w:r w:rsidRPr="006E00F4">
        <w:rPr>
          <w:rFonts w:hint="eastAsia"/>
        </w:rPr>
        <w:t>1.5</w:t>
      </w:r>
      <w:r w:rsidRPr="006E00F4">
        <w:rPr>
          <w:rFonts w:hint="eastAsia"/>
        </w:rPr>
        <w:t>°</w:t>
      </w:r>
      <w:r w:rsidRPr="006E00F4">
        <w:rPr>
          <w:rFonts w:hint="eastAsia"/>
        </w:rPr>
        <w:t>C</w:t>
      </w:r>
      <w:r w:rsidRPr="006E00F4">
        <w:rPr>
          <w:rFonts w:hint="eastAsia"/>
        </w:rPr>
        <w:t>以内做出切实贡献。汉高的路线图已通过“科学碳目标倡议”（</w:t>
      </w:r>
      <w:r w:rsidRPr="006E00F4">
        <w:rPr>
          <w:rFonts w:hint="eastAsia"/>
        </w:rPr>
        <w:t>Science Based Targets initiative</w:t>
      </w:r>
      <w:r w:rsidRPr="006E00F4">
        <w:rPr>
          <w:rFonts w:hint="eastAsia"/>
        </w:rPr>
        <w:t>）的认证，概述了公司为在</w:t>
      </w:r>
      <w:r w:rsidRPr="006E00F4">
        <w:rPr>
          <w:rFonts w:hint="eastAsia"/>
        </w:rPr>
        <w:t>2045</w:t>
      </w:r>
      <w:r w:rsidRPr="006E00F4">
        <w:rPr>
          <w:rFonts w:hint="eastAsia"/>
        </w:rPr>
        <w:t>年前实现温室气体净零排放而采取的措施。其中包括整个价值链上的一系列措施。此外，汉高还成为</w:t>
      </w:r>
      <w:r w:rsidRPr="006E00F4">
        <w:rPr>
          <w:rFonts w:hint="eastAsia"/>
        </w:rPr>
        <w:t>DAX</w:t>
      </w:r>
      <w:r w:rsidRPr="006E00F4">
        <w:rPr>
          <w:rFonts w:hint="eastAsia"/>
        </w:rPr>
        <w:t>指数中首家在全球范围内推出</w:t>
      </w:r>
      <w:r w:rsidR="004822BA">
        <w:rPr>
          <w:rFonts w:hint="eastAsia"/>
        </w:rPr>
        <w:t>性别中立</w:t>
      </w:r>
      <w:r w:rsidRPr="006E00F4">
        <w:rPr>
          <w:rFonts w:hint="eastAsia"/>
        </w:rPr>
        <w:t>全薪育儿假的公司。这一举措得到了员工和公众的高度评价。</w:t>
      </w:r>
    </w:p>
    <w:p w14:paraId="17B01FEF" w14:textId="77777777" w:rsidR="002376A9" w:rsidRPr="006E00F4" w:rsidRDefault="002376A9" w:rsidP="004B2C19">
      <w:pPr>
        <w:rPr>
          <w:rFonts w:cs="Segoe UI"/>
          <w:bCs/>
          <w:szCs w:val="22"/>
        </w:rPr>
      </w:pPr>
    </w:p>
    <w:p w14:paraId="744CFAAC" w14:textId="77777777" w:rsidR="00B166F8" w:rsidRPr="006E00F4" w:rsidRDefault="00B07F4F" w:rsidP="00B166F8">
      <w:pPr>
        <w:rPr>
          <w:rFonts w:cs="Segoe UI"/>
          <w:szCs w:val="22"/>
        </w:rPr>
      </w:pPr>
      <w:r w:rsidRPr="006E00F4">
        <w:rPr>
          <w:rFonts w:hint="eastAsia"/>
        </w:rPr>
        <w:t>汉高在</w:t>
      </w:r>
      <w:r w:rsidRPr="006E00F4">
        <w:rPr>
          <w:rFonts w:hint="eastAsia"/>
          <w:b/>
          <w:bCs/>
        </w:rPr>
        <w:t>数字化</w:t>
      </w:r>
      <w:r w:rsidRPr="006E00F4">
        <w:rPr>
          <w:rFonts w:hint="eastAsia"/>
        </w:rPr>
        <w:t>领域也取得了进一步进展。</w:t>
      </w:r>
      <w:r w:rsidRPr="006E00F4">
        <w:rPr>
          <w:rFonts w:hint="eastAsia"/>
        </w:rPr>
        <w:t>2024</w:t>
      </w:r>
      <w:r w:rsidRPr="006E00F4">
        <w:rPr>
          <w:rFonts w:hint="eastAsia"/>
        </w:rPr>
        <w:t>年，人工智能（</w:t>
      </w:r>
      <w:r w:rsidRPr="006E00F4">
        <w:rPr>
          <w:rFonts w:hint="eastAsia"/>
        </w:rPr>
        <w:t>AI</w:t>
      </w:r>
      <w:r w:rsidRPr="006E00F4">
        <w:rPr>
          <w:rFonts w:hint="eastAsia"/>
        </w:rPr>
        <w:t>）的飞速发展是一个重要话题。</w:t>
      </w:r>
      <w:r w:rsidRPr="006E00F4">
        <w:rPr>
          <w:rFonts w:hint="eastAsia"/>
        </w:rPr>
        <w:t>AI</w:t>
      </w:r>
      <w:r w:rsidRPr="006E00F4">
        <w:rPr>
          <w:rFonts w:hint="eastAsia"/>
        </w:rPr>
        <w:t>多年来一直是汉高数字</w:t>
      </w:r>
      <w:r w:rsidR="00FC7110">
        <w:rPr>
          <w:rFonts w:hint="eastAsia"/>
        </w:rPr>
        <w:t>化</w:t>
      </w:r>
      <w:r w:rsidRPr="006E00F4">
        <w:rPr>
          <w:rFonts w:hint="eastAsia"/>
        </w:rPr>
        <w:t>战略不可或缺的一部分。例如，</w:t>
      </w:r>
      <w:r w:rsidRPr="006E00F4">
        <w:rPr>
          <w:rFonts w:hint="eastAsia"/>
        </w:rPr>
        <w:t>AI</w:t>
      </w:r>
      <w:r w:rsidRPr="006E00F4">
        <w:rPr>
          <w:rFonts w:hint="eastAsia"/>
        </w:rPr>
        <w:t>被应用于</w:t>
      </w:r>
      <w:r w:rsidR="00742708">
        <w:rPr>
          <w:rFonts w:hint="eastAsia"/>
        </w:rPr>
        <w:t>流程</w:t>
      </w:r>
      <w:r w:rsidRPr="006E00F4">
        <w:rPr>
          <w:rFonts w:hint="eastAsia"/>
        </w:rPr>
        <w:t>自动化、粘合剂开发实验室、通过虚拟连接的全球生产设施、生产设施中的自主机器人以及汉高品牌网站上的聊天机器人。</w:t>
      </w:r>
      <w:r w:rsidRPr="006E00F4">
        <w:rPr>
          <w:rFonts w:hint="eastAsia"/>
        </w:rPr>
        <w:t>2024</w:t>
      </w:r>
      <w:r w:rsidRPr="006E00F4">
        <w:rPr>
          <w:rFonts w:hint="eastAsia"/>
        </w:rPr>
        <w:t>年，汉高的数字部门</w:t>
      </w:r>
      <w:r w:rsidRPr="006E00F4">
        <w:rPr>
          <w:rFonts w:hint="eastAsia"/>
        </w:rPr>
        <w:t>dx</w:t>
      </w:r>
      <w:r w:rsidRPr="006E00F4">
        <w:rPr>
          <w:rFonts w:hint="eastAsia"/>
        </w:rPr>
        <w:t>进一步优化了内部架构，加强了数字</w:t>
      </w:r>
      <w:r w:rsidR="00916C87">
        <w:rPr>
          <w:rFonts w:hint="eastAsia"/>
        </w:rPr>
        <w:t>化</w:t>
      </w:r>
      <w:r w:rsidRPr="006E00F4">
        <w:rPr>
          <w:rFonts w:hint="eastAsia"/>
        </w:rPr>
        <w:t>专业知识，并培养了开放式创新文化。此外，汉高还受益于与</w:t>
      </w:r>
      <w:r w:rsidRPr="006E00F4">
        <w:rPr>
          <w:rFonts w:hint="eastAsia"/>
        </w:rPr>
        <w:t>SAP</w:t>
      </w:r>
      <w:r w:rsidRPr="006E00F4">
        <w:rPr>
          <w:rFonts w:hint="eastAsia"/>
        </w:rPr>
        <w:t>、微软和</w:t>
      </w:r>
      <w:r w:rsidRPr="006E00F4">
        <w:rPr>
          <w:rFonts w:hint="eastAsia"/>
        </w:rPr>
        <w:t>Adobe</w:t>
      </w:r>
      <w:r w:rsidRPr="006E00F4">
        <w:rPr>
          <w:rFonts w:hint="eastAsia"/>
        </w:rPr>
        <w:t>等全球领先数字化公司的战略合作伙伴关系。这使得汉高能够将尖端技术整合到自己的数字平台和项目中。通过加快数字创新、完善平台战略以及加强所有业务和职能部门的跨职能协作，汉高显著提高了</w:t>
      </w:r>
      <w:r w:rsidRPr="006E00F4">
        <w:rPr>
          <w:rFonts w:hint="eastAsia"/>
        </w:rPr>
        <w:t>IT</w:t>
      </w:r>
      <w:r w:rsidRPr="006E00F4">
        <w:rPr>
          <w:rFonts w:hint="eastAsia"/>
        </w:rPr>
        <w:t>效率。</w:t>
      </w:r>
    </w:p>
    <w:p w14:paraId="48398428" w14:textId="77777777" w:rsidR="004B2C19" w:rsidRPr="006E00F4" w:rsidRDefault="004B2C19" w:rsidP="004B2C19">
      <w:pPr>
        <w:rPr>
          <w:rFonts w:cs="Segoe UI"/>
          <w:szCs w:val="22"/>
          <w:lang w:eastAsia="de-DE"/>
        </w:rPr>
      </w:pPr>
    </w:p>
    <w:p w14:paraId="64BCE8E3" w14:textId="77777777" w:rsidR="00C8634B" w:rsidRDefault="00B07F4F" w:rsidP="004B2C19">
      <w:r w:rsidRPr="006E00F4">
        <w:rPr>
          <w:rFonts w:hint="eastAsia"/>
        </w:rPr>
        <w:t>作为长期增长战略的一部分，汉高不断</w:t>
      </w:r>
      <w:r w:rsidR="00C6532D">
        <w:rPr>
          <w:rFonts w:hint="eastAsia"/>
        </w:rPr>
        <w:t>调整业务部门</w:t>
      </w:r>
      <w:r w:rsidR="001814D5">
        <w:rPr>
          <w:rFonts w:hint="eastAsia"/>
        </w:rPr>
        <w:t>以适应</w:t>
      </w:r>
      <w:r w:rsidR="00CD1C97">
        <w:rPr>
          <w:rFonts w:hint="eastAsia"/>
        </w:rPr>
        <w:t>活跃</w:t>
      </w:r>
      <w:r w:rsidRPr="006E00F4">
        <w:rPr>
          <w:rFonts w:hint="eastAsia"/>
        </w:rPr>
        <w:t>市场的要求和不断变化的客户期望，通过</w:t>
      </w:r>
      <w:r w:rsidRPr="006E00F4">
        <w:rPr>
          <w:rFonts w:hint="eastAsia"/>
          <w:b/>
          <w:bCs/>
        </w:rPr>
        <w:t>面向未来的运营模式</w:t>
      </w:r>
      <w:r w:rsidRPr="006E00F4">
        <w:rPr>
          <w:rFonts w:hint="eastAsia"/>
        </w:rPr>
        <w:t>取得长期成功。这还包括不断改进整个公司的业务流程。</w:t>
      </w:r>
      <w:r w:rsidRPr="006E00F4">
        <w:rPr>
          <w:rFonts w:hint="eastAsia"/>
        </w:rPr>
        <w:t xml:space="preserve"> </w:t>
      </w:r>
    </w:p>
    <w:p w14:paraId="3E3F495F" w14:textId="77777777" w:rsidR="00CC4A57" w:rsidRPr="006E00F4" w:rsidRDefault="00CC4A57" w:rsidP="004B2C19">
      <w:pPr>
        <w:rPr>
          <w:rFonts w:cs="Segoe UI"/>
          <w:szCs w:val="22"/>
        </w:rPr>
      </w:pPr>
    </w:p>
    <w:p w14:paraId="079CCAF3" w14:textId="77777777" w:rsidR="00D407F1" w:rsidRPr="006E00F4" w:rsidRDefault="00B07F4F" w:rsidP="004B2C19">
      <w:pPr>
        <w:rPr>
          <w:rFonts w:cs="Segoe UI"/>
          <w:szCs w:val="22"/>
        </w:rPr>
      </w:pPr>
      <w:r w:rsidRPr="006E00F4">
        <w:rPr>
          <w:rFonts w:hint="eastAsia"/>
        </w:rPr>
        <w:t>其中例子之一就是在印度班加罗尔建立了一个全球技术中心，</w:t>
      </w:r>
      <w:r w:rsidRPr="006E00F4">
        <w:rPr>
          <w:rFonts w:hint="eastAsia"/>
        </w:rPr>
        <w:t>500</w:t>
      </w:r>
      <w:r w:rsidRPr="006E00F4">
        <w:rPr>
          <w:rFonts w:hint="eastAsia"/>
        </w:rPr>
        <w:t>多名</w:t>
      </w:r>
      <w:r w:rsidRPr="006E00F4">
        <w:rPr>
          <w:rFonts w:hint="eastAsia"/>
        </w:rPr>
        <w:t>IT</w:t>
      </w:r>
      <w:r w:rsidRPr="006E00F4">
        <w:rPr>
          <w:rFonts w:hint="eastAsia"/>
        </w:rPr>
        <w:t>专家</w:t>
      </w:r>
      <w:r w:rsidR="00A44721">
        <w:rPr>
          <w:rFonts w:hint="eastAsia"/>
        </w:rPr>
        <w:t>将在此</w:t>
      </w:r>
      <w:r w:rsidRPr="006E00F4">
        <w:rPr>
          <w:rFonts w:hint="eastAsia"/>
        </w:rPr>
        <w:t>创建一个完全整合的内部数字中心。由此，汉高得以不断提高成本效率，并强化内部专业知识。该技术中心计划在未来几年进行进一步扩建。汉高还实现了对风险投资活动的整合。在</w:t>
      </w:r>
      <w:r w:rsidRPr="006E00F4">
        <w:rPr>
          <w:rFonts w:hint="eastAsia"/>
        </w:rPr>
        <w:t>2025</w:t>
      </w:r>
      <w:r w:rsidRPr="006E00F4">
        <w:rPr>
          <w:rFonts w:hint="eastAsia"/>
        </w:rPr>
        <w:t>年至</w:t>
      </w:r>
      <w:r w:rsidRPr="006E00F4">
        <w:rPr>
          <w:rFonts w:hint="eastAsia"/>
        </w:rPr>
        <w:t>2028</w:t>
      </w:r>
      <w:r w:rsidRPr="006E00F4">
        <w:rPr>
          <w:rFonts w:hint="eastAsia"/>
        </w:rPr>
        <w:t>年迁移到</w:t>
      </w:r>
      <w:r w:rsidRPr="006E00F4">
        <w:rPr>
          <w:rFonts w:hint="eastAsia"/>
        </w:rPr>
        <w:t>S/4Hana</w:t>
      </w:r>
      <w:r w:rsidRPr="006E00F4">
        <w:rPr>
          <w:rFonts w:hint="eastAsia"/>
        </w:rPr>
        <w:t>之际，汉高还将评估如何使其架构和流程更加灵活。例如，汉高正在考虑为现有的两个业务部建立独立的法律实体，</w:t>
      </w:r>
      <w:r w:rsidR="00141568">
        <w:rPr>
          <w:rFonts w:hint="eastAsia"/>
        </w:rPr>
        <w:t>从</w:t>
      </w:r>
      <w:r w:rsidRPr="006E00F4">
        <w:rPr>
          <w:rFonts w:hint="eastAsia"/>
        </w:rPr>
        <w:t>德国</w:t>
      </w:r>
      <w:r w:rsidR="00141568">
        <w:rPr>
          <w:rFonts w:hint="eastAsia"/>
        </w:rPr>
        <w:t>开始</w:t>
      </w:r>
      <w:r w:rsidRPr="006E00F4">
        <w:rPr>
          <w:rFonts w:hint="eastAsia"/>
        </w:rPr>
        <w:t>，然后在</w:t>
      </w:r>
      <w:r w:rsidR="002A6B23">
        <w:rPr>
          <w:rFonts w:hint="eastAsia"/>
        </w:rPr>
        <w:t>适用的主要国家</w:t>
      </w:r>
      <w:r w:rsidRPr="006E00F4">
        <w:rPr>
          <w:rFonts w:hint="eastAsia"/>
        </w:rPr>
        <w:t>逐步</w:t>
      </w:r>
      <w:r w:rsidR="002A6B23">
        <w:rPr>
          <w:rFonts w:hint="eastAsia"/>
        </w:rPr>
        <w:t>实行</w:t>
      </w:r>
      <w:r w:rsidRPr="006E00F4">
        <w:rPr>
          <w:rFonts w:hint="eastAsia"/>
        </w:rPr>
        <w:t>。集团及业务部</w:t>
      </w:r>
      <w:r w:rsidR="005A7514">
        <w:rPr>
          <w:rFonts w:hint="eastAsia"/>
        </w:rPr>
        <w:t>门</w:t>
      </w:r>
      <w:r w:rsidRPr="006E00F4">
        <w:rPr>
          <w:rFonts w:hint="eastAsia"/>
        </w:rPr>
        <w:t>的战略和运营管理模式将保持不变。目的是支持相关业务的未来需求和汉高的增长议程。</w:t>
      </w:r>
    </w:p>
    <w:p w14:paraId="25228A05" w14:textId="77777777" w:rsidR="00D407F1" w:rsidRPr="006E00F4" w:rsidRDefault="00D407F1" w:rsidP="004B2C19">
      <w:pPr>
        <w:rPr>
          <w:rFonts w:cs="Segoe UI"/>
          <w:szCs w:val="22"/>
          <w:lang w:eastAsia="de-DE"/>
        </w:rPr>
      </w:pPr>
    </w:p>
    <w:p w14:paraId="0FEA036F" w14:textId="77777777" w:rsidR="003E275E" w:rsidRPr="006E00F4" w:rsidRDefault="00B07F4F" w:rsidP="003E275E">
      <w:pPr>
        <w:rPr>
          <w:rFonts w:cs="Segoe UI"/>
          <w:szCs w:val="22"/>
        </w:rPr>
      </w:pPr>
      <w:r w:rsidRPr="006E00F4">
        <w:rPr>
          <w:rFonts w:hint="eastAsia"/>
        </w:rPr>
        <w:t>去年，汉高还进一步加强了</w:t>
      </w:r>
      <w:r w:rsidR="005A7514">
        <w:rPr>
          <w:rFonts w:hint="eastAsia"/>
          <w:b/>
          <w:bCs/>
        </w:rPr>
        <w:t>企业</w:t>
      </w:r>
      <w:r w:rsidRPr="006E00F4">
        <w:rPr>
          <w:rFonts w:hint="eastAsia"/>
          <w:b/>
          <w:bCs/>
        </w:rPr>
        <w:t>文化</w:t>
      </w:r>
      <w:r w:rsidRPr="006E00F4">
        <w:rPr>
          <w:rFonts w:hint="eastAsia"/>
        </w:rPr>
        <w:t>。</w:t>
      </w:r>
      <w:r w:rsidRPr="006E00F4">
        <w:rPr>
          <w:rFonts w:hint="eastAsia"/>
        </w:rPr>
        <w:t>2023</w:t>
      </w:r>
      <w:r w:rsidRPr="006E00F4">
        <w:rPr>
          <w:rFonts w:hint="eastAsia"/>
        </w:rPr>
        <w:t>年启动的“加速文化转型”</w:t>
      </w:r>
      <w:r w:rsidR="009E20E2" w:rsidRPr="006E00F4">
        <w:rPr>
          <w:rFonts w:hint="eastAsia"/>
        </w:rPr>
        <w:t>计划</w:t>
      </w:r>
      <w:r w:rsidRPr="006E00F4">
        <w:rPr>
          <w:rFonts w:hint="eastAsia"/>
        </w:rPr>
        <w:t>在整个全球组织中得到了成功延续。该计划促进了团队内部更深入的对话和更紧密的联系。</w:t>
      </w:r>
      <w:r w:rsidR="001D012C">
        <w:rPr>
          <w:rFonts w:hint="eastAsia"/>
        </w:rPr>
        <w:t>2024</w:t>
      </w:r>
      <w:r w:rsidRPr="006E00F4">
        <w:rPr>
          <w:rFonts w:hint="eastAsia"/>
        </w:rPr>
        <w:t>年，</w:t>
      </w:r>
      <w:r w:rsidR="007E66F3">
        <w:rPr>
          <w:rFonts w:hint="eastAsia"/>
        </w:rPr>
        <w:t>该</w:t>
      </w:r>
      <w:r w:rsidRPr="006E00F4">
        <w:rPr>
          <w:rFonts w:hint="eastAsia"/>
        </w:rPr>
        <w:t>计划的重点是公开提供和处理建设性</w:t>
      </w:r>
      <w:r w:rsidR="007E66F3">
        <w:rPr>
          <w:rFonts w:hint="eastAsia"/>
        </w:rPr>
        <w:t>的</w:t>
      </w:r>
      <w:r w:rsidRPr="006E00F4">
        <w:rPr>
          <w:rFonts w:hint="eastAsia"/>
        </w:rPr>
        <w:t>反馈。合作文化与促进</w:t>
      </w:r>
      <w:r w:rsidR="007E66F3">
        <w:rPr>
          <w:rFonts w:hint="eastAsia"/>
        </w:rPr>
        <w:t>多元、平等与</w:t>
      </w:r>
      <w:r w:rsidRPr="006E00F4">
        <w:rPr>
          <w:rFonts w:hint="eastAsia"/>
        </w:rPr>
        <w:t>包容密切相关。为进一步加强</w:t>
      </w:r>
      <w:r w:rsidR="0034139E">
        <w:rPr>
          <w:rFonts w:hint="eastAsia"/>
        </w:rPr>
        <w:t>多元化</w:t>
      </w:r>
      <w:r w:rsidRPr="006E00F4">
        <w:rPr>
          <w:rFonts w:hint="eastAsia"/>
        </w:rPr>
        <w:t>，汉高遵循基于三大支柱的战略：首先，通过活动</w:t>
      </w:r>
      <w:r w:rsidR="00CF474E">
        <w:rPr>
          <w:rFonts w:hint="eastAsia"/>
        </w:rPr>
        <w:t>等</w:t>
      </w:r>
      <w:r w:rsidRPr="006E00F4">
        <w:rPr>
          <w:rFonts w:hint="eastAsia"/>
        </w:rPr>
        <w:t>各种形式提高意识。其次，通过针对领导者和员工的培训</w:t>
      </w:r>
      <w:r w:rsidR="00EA305A">
        <w:rPr>
          <w:rFonts w:hint="eastAsia"/>
        </w:rPr>
        <w:t>项目</w:t>
      </w:r>
      <w:r w:rsidRPr="006E00F4">
        <w:rPr>
          <w:rFonts w:hint="eastAsia"/>
        </w:rPr>
        <w:t>加强包容行为。</w:t>
      </w:r>
      <w:r w:rsidR="006A1709">
        <w:rPr>
          <w:rFonts w:hint="eastAsia"/>
        </w:rPr>
        <w:t>第三</w:t>
      </w:r>
      <w:r w:rsidRPr="006E00F4">
        <w:rPr>
          <w:rFonts w:hint="eastAsia"/>
        </w:rPr>
        <w:t>，不断改善结构性条件，</w:t>
      </w:r>
      <w:r w:rsidR="006C3C77" w:rsidRPr="006E00F4">
        <w:rPr>
          <w:rFonts w:hint="eastAsia"/>
        </w:rPr>
        <w:t>消除结构性障碍</w:t>
      </w:r>
      <w:r w:rsidR="006C3C77">
        <w:rPr>
          <w:rFonts w:hint="eastAsia"/>
        </w:rPr>
        <w:t>，</w:t>
      </w:r>
      <w:r w:rsidRPr="006E00F4">
        <w:rPr>
          <w:rFonts w:hint="eastAsia"/>
        </w:rPr>
        <w:t>如</w:t>
      </w:r>
      <w:r w:rsidR="00035CFA">
        <w:rPr>
          <w:rFonts w:hint="eastAsia"/>
        </w:rPr>
        <w:t>为平衡生活与工作</w:t>
      </w:r>
      <w:r w:rsidRPr="006E00F4">
        <w:rPr>
          <w:rFonts w:hint="eastAsia"/>
        </w:rPr>
        <w:t>提供支持。</w:t>
      </w:r>
    </w:p>
    <w:p w14:paraId="1F926E27" w14:textId="77777777" w:rsidR="003E275E" w:rsidRPr="006E00F4" w:rsidRDefault="003E275E" w:rsidP="003E275E">
      <w:pPr>
        <w:rPr>
          <w:rFonts w:cs="Segoe UI"/>
          <w:szCs w:val="22"/>
          <w:lang w:eastAsia="de-DE"/>
        </w:rPr>
      </w:pPr>
    </w:p>
    <w:p w14:paraId="2905C4DD" w14:textId="77777777" w:rsidR="003E275E" w:rsidRPr="006E00F4" w:rsidRDefault="00B07F4F" w:rsidP="003E275E">
      <w:pPr>
        <w:rPr>
          <w:rFonts w:cs="Segoe UI"/>
          <w:szCs w:val="22"/>
        </w:rPr>
      </w:pPr>
      <w:r w:rsidRPr="006E00F4">
        <w:rPr>
          <w:rFonts w:hint="eastAsia"/>
        </w:rPr>
        <w:t>汉高的目标之一是到</w:t>
      </w:r>
      <w:r w:rsidRPr="006E00F4">
        <w:rPr>
          <w:rFonts w:hint="eastAsia"/>
        </w:rPr>
        <w:t>2025</w:t>
      </w:r>
      <w:r w:rsidRPr="006E00F4">
        <w:rPr>
          <w:rFonts w:hint="eastAsia"/>
        </w:rPr>
        <w:t>年底在所有管理</w:t>
      </w:r>
      <w:r w:rsidR="00C57710">
        <w:rPr>
          <w:rFonts w:hint="eastAsia"/>
        </w:rPr>
        <w:t>岗位</w:t>
      </w:r>
      <w:r w:rsidRPr="006E00F4">
        <w:rPr>
          <w:rFonts w:hint="eastAsia"/>
        </w:rPr>
        <w:t>实现性别均等。如今，汉高全球约</w:t>
      </w:r>
      <w:r w:rsidRPr="006E00F4">
        <w:rPr>
          <w:rFonts w:hint="eastAsia"/>
        </w:rPr>
        <w:t>42%</w:t>
      </w:r>
      <w:r w:rsidRPr="006E00F4">
        <w:rPr>
          <w:rFonts w:hint="eastAsia"/>
        </w:rPr>
        <w:t>的管理职位由女性担任。</w:t>
      </w:r>
    </w:p>
    <w:p w14:paraId="5D5E2741" w14:textId="77777777" w:rsidR="003E275E" w:rsidRPr="006E00F4" w:rsidRDefault="003E275E" w:rsidP="00521834">
      <w:pPr>
        <w:rPr>
          <w:rFonts w:cs="Segoe UI"/>
          <w:szCs w:val="22"/>
        </w:rPr>
      </w:pPr>
    </w:p>
    <w:p w14:paraId="3757EF1B" w14:textId="77777777" w:rsidR="004B2C19" w:rsidRPr="006E00F4" w:rsidRDefault="00B07F4F" w:rsidP="00521834">
      <w:pPr>
        <w:rPr>
          <w:rFonts w:cs="Segoe UI"/>
          <w:szCs w:val="22"/>
        </w:rPr>
      </w:pPr>
      <w:r w:rsidRPr="006E00F4">
        <w:rPr>
          <w:rFonts w:hint="eastAsia"/>
        </w:rPr>
        <w:t>卡斯滕·诺贝尔总结道：“</w:t>
      </w:r>
      <w:r w:rsidRPr="006E00F4">
        <w:rPr>
          <w:rFonts w:hint="eastAsia"/>
        </w:rPr>
        <w:t>2024</w:t>
      </w:r>
      <w:r w:rsidRPr="006E00F4">
        <w:rPr>
          <w:rFonts w:hint="eastAsia"/>
        </w:rPr>
        <w:t>财年对汉高来说是非常成功和重要的一年。我们在年内两次提高了财务目标，并最终成功实现了这些目标。我们</w:t>
      </w:r>
      <w:r w:rsidR="00B47FE8">
        <w:rPr>
          <w:rFonts w:hint="eastAsia"/>
        </w:rPr>
        <w:t>持续</w:t>
      </w:r>
      <w:r w:rsidRPr="006E00F4">
        <w:rPr>
          <w:rFonts w:hint="eastAsia"/>
        </w:rPr>
        <w:t>地在所有战略层面</w:t>
      </w:r>
      <w:r w:rsidR="001D012C">
        <w:rPr>
          <w:rFonts w:hint="eastAsia"/>
        </w:rPr>
        <w:t>贯彻</w:t>
      </w:r>
      <w:r w:rsidRPr="006E00F4">
        <w:rPr>
          <w:rFonts w:hint="eastAsia"/>
        </w:rPr>
        <w:t>目标性增长议程，</w:t>
      </w:r>
      <w:r w:rsidRPr="006E00F4">
        <w:rPr>
          <w:rFonts w:hint="eastAsia"/>
        </w:rPr>
        <w:lastRenderedPageBreak/>
        <w:t>坚定不移地推进转型，并取得了成功。我们正走在正确的道路上，公司的转型正显现出切实的成果。凭借明确的战略、强大的团队和独特的公司文化，我们已经为未来做好了充分准备。”</w:t>
      </w:r>
    </w:p>
    <w:p w14:paraId="437CBB0C" w14:textId="77777777" w:rsidR="00A83DDB" w:rsidRDefault="00A83DDB">
      <w:pPr>
        <w:spacing w:line="240" w:lineRule="auto"/>
        <w:jc w:val="left"/>
      </w:pPr>
    </w:p>
    <w:p w14:paraId="0B8DC8F0" w14:textId="77777777" w:rsidR="00DC3878" w:rsidRDefault="00DC3878">
      <w:pPr>
        <w:spacing w:line="240" w:lineRule="auto"/>
        <w:jc w:val="left"/>
      </w:pPr>
    </w:p>
    <w:p w14:paraId="596248D9" w14:textId="77777777" w:rsidR="00DC3878" w:rsidRDefault="00DC3878">
      <w:pPr>
        <w:spacing w:line="240" w:lineRule="auto"/>
        <w:jc w:val="left"/>
      </w:pPr>
    </w:p>
    <w:p w14:paraId="2A91865F" w14:textId="77777777" w:rsidR="00DC3878" w:rsidRPr="006E00F4" w:rsidRDefault="00B07F4F" w:rsidP="00DC3878">
      <w:pPr>
        <w:pStyle w:val="He04Funote"/>
        <w:rPr>
          <w:rFonts w:eastAsia="宋体"/>
          <w:sz w:val="12"/>
          <w:szCs w:val="12"/>
        </w:rPr>
      </w:pPr>
      <w:r w:rsidRPr="006E00F4">
        <w:rPr>
          <w:rFonts w:hint="eastAsia"/>
          <w:sz w:val="12"/>
          <w:lang w:val="en-US"/>
        </w:rPr>
        <w:t>* Adjusted for one-time expenses and income, and for restructuring expenses.</w:t>
      </w:r>
    </w:p>
    <w:p w14:paraId="2BDCC6AD" w14:textId="77777777" w:rsidR="00DC3878" w:rsidRPr="006E00F4" w:rsidRDefault="00B07F4F" w:rsidP="00DC3878">
      <w:r w:rsidRPr="006E00F4">
        <w:rPr>
          <w:rFonts w:hint="eastAsia"/>
          <w:sz w:val="12"/>
        </w:rPr>
        <w:t>*</w:t>
      </w:r>
      <w:r w:rsidRPr="006E00F4">
        <w:rPr>
          <w:rFonts w:hint="eastAsia"/>
          <w:sz w:val="12"/>
        </w:rPr>
        <w:t>对一次性费用和收入以及重组费用进行了调整。</w:t>
      </w:r>
    </w:p>
    <w:p w14:paraId="4FBE9E5B" w14:textId="77777777" w:rsidR="00DC3878" w:rsidRDefault="00DC3878">
      <w:pPr>
        <w:spacing w:line="240" w:lineRule="auto"/>
        <w:jc w:val="left"/>
      </w:pPr>
    </w:p>
    <w:p w14:paraId="5ECDFC26" w14:textId="77777777" w:rsidR="00DC3878" w:rsidRDefault="00DC3878">
      <w:pPr>
        <w:spacing w:line="240" w:lineRule="auto"/>
        <w:jc w:val="left"/>
      </w:pPr>
    </w:p>
    <w:p w14:paraId="2C7DEE6D" w14:textId="77777777" w:rsidR="00B47FE8" w:rsidRDefault="00B47FE8">
      <w:pPr>
        <w:spacing w:line="240" w:lineRule="auto"/>
        <w:jc w:val="left"/>
      </w:pPr>
    </w:p>
    <w:p w14:paraId="763099D2" w14:textId="77777777" w:rsidR="00B47FE8" w:rsidRDefault="00B07F4F" w:rsidP="00B47FE8">
      <w:pPr>
        <w:spacing w:line="240" w:lineRule="auto"/>
        <w:jc w:val="center"/>
      </w:pPr>
      <w:r>
        <w:rPr>
          <w:rFonts w:hint="eastAsia"/>
        </w:rPr>
        <w:t>***</w:t>
      </w:r>
    </w:p>
    <w:p w14:paraId="4189FF68" w14:textId="77777777" w:rsidR="00DC3878" w:rsidRDefault="00DC3878">
      <w:pPr>
        <w:spacing w:line="240" w:lineRule="auto"/>
        <w:jc w:val="left"/>
      </w:pPr>
    </w:p>
    <w:p w14:paraId="661804D5" w14:textId="77777777" w:rsidR="00DC3878" w:rsidRDefault="00DC3878">
      <w:pPr>
        <w:spacing w:line="240" w:lineRule="auto"/>
        <w:jc w:val="left"/>
      </w:pPr>
    </w:p>
    <w:p w14:paraId="427E473B" w14:textId="77777777" w:rsidR="00C8634B" w:rsidRPr="006E00F4" w:rsidRDefault="00C8634B">
      <w:pPr>
        <w:spacing w:line="240" w:lineRule="auto"/>
        <w:jc w:val="left"/>
        <w:rPr>
          <w:rStyle w:val="AboutandContactHeadline"/>
          <w:szCs w:val="18"/>
        </w:rPr>
      </w:pPr>
    </w:p>
    <w:p w14:paraId="713EAF9C" w14:textId="77777777" w:rsidR="0058377F" w:rsidRDefault="0058377F" w:rsidP="0058377F">
      <w:pPr>
        <w:pStyle w:val="He01Flietext"/>
        <w:rPr>
          <w:rStyle w:val="AboutandContactBody"/>
          <w:rFonts w:eastAsiaTheme="minorEastAsia" w:cs="Times New Roman"/>
          <w:sz w:val="14"/>
          <w:szCs w:val="14"/>
          <w:lang w:val="en-US"/>
        </w:rPr>
      </w:pPr>
    </w:p>
    <w:p w14:paraId="0CE3EAEC" w14:textId="77777777" w:rsidR="00DC3878" w:rsidRPr="007B24F3" w:rsidRDefault="00B07F4F" w:rsidP="00DC3878">
      <w:pPr>
        <w:rPr>
          <w:rStyle w:val="AboutandContactHeadline"/>
          <w:rFonts w:asciiTheme="majorHAnsi" w:hAnsiTheme="majorHAnsi" w:cstheme="majorHAnsi"/>
          <w:sz w:val="20"/>
          <w:szCs w:val="28"/>
        </w:rPr>
      </w:pPr>
      <w:r w:rsidRPr="007B24F3">
        <w:rPr>
          <w:rStyle w:val="AboutandContactHeadline"/>
          <w:rFonts w:asciiTheme="majorHAnsi" w:hAnsiTheme="majorHAnsi" w:cstheme="majorHAnsi"/>
          <w:sz w:val="20"/>
          <w:szCs w:val="28"/>
        </w:rPr>
        <w:t>关于汉高</w:t>
      </w:r>
    </w:p>
    <w:p w14:paraId="1EB8298B" w14:textId="77777777" w:rsidR="00DC3878" w:rsidRPr="007B24F3" w:rsidRDefault="00B07F4F" w:rsidP="00DC3878">
      <w:pPr>
        <w:rPr>
          <w:rStyle w:val="AboutandContactBody"/>
          <w:rFonts w:asciiTheme="majorHAnsi" w:hAnsiTheme="majorHAnsi" w:cstheme="majorHAnsi"/>
          <w:sz w:val="20"/>
          <w:szCs w:val="28"/>
        </w:rPr>
      </w:pPr>
      <w:r w:rsidRPr="007B24F3">
        <w:rPr>
          <w:rStyle w:val="AboutandContactBody"/>
          <w:rFonts w:asciiTheme="majorHAnsi" w:hAnsiTheme="majorHAnsi" w:cstheme="majorHAnsi"/>
          <w:sz w:val="20"/>
          <w:szCs w:val="28"/>
        </w:rPr>
        <w:t>汉高凭借其品牌、创新和技术，在全球工业和消费品领域中拥有领先的市场地位。汉高粘合剂技术业务部是全球粘合剂、密封剂和功能性涂层市场的领导者。汉高消费品牌在各国市场和品类占据领先地位，在洗涤剂及家用护理和美发领域尤为突出。乐泰（</w:t>
      </w:r>
      <w:r w:rsidRPr="007B24F3">
        <w:rPr>
          <w:rStyle w:val="AboutandContactBody"/>
          <w:rFonts w:asciiTheme="majorHAnsi" w:hAnsiTheme="majorHAnsi" w:cstheme="majorHAnsi"/>
          <w:sz w:val="20"/>
          <w:szCs w:val="28"/>
        </w:rPr>
        <w:t>Loctite</w:t>
      </w:r>
      <w:r w:rsidRPr="007B24F3">
        <w:rPr>
          <w:rStyle w:val="AboutandContactBody"/>
          <w:rFonts w:asciiTheme="majorHAnsi" w:hAnsiTheme="majorHAnsi" w:cstheme="majorHAnsi"/>
          <w:sz w:val="20"/>
          <w:szCs w:val="28"/>
        </w:rPr>
        <w:t>）、宝莹（</w:t>
      </w:r>
      <w:r w:rsidRPr="007B24F3">
        <w:rPr>
          <w:rStyle w:val="AboutandContactBody"/>
          <w:rFonts w:asciiTheme="majorHAnsi" w:hAnsiTheme="majorHAnsi" w:cstheme="majorHAnsi"/>
          <w:sz w:val="20"/>
          <w:szCs w:val="28"/>
        </w:rPr>
        <w:t xml:space="preserve"> Persil</w:t>
      </w:r>
      <w:r w:rsidRPr="007B24F3">
        <w:rPr>
          <w:rStyle w:val="AboutandContactBody"/>
          <w:rFonts w:asciiTheme="majorHAnsi" w:hAnsiTheme="majorHAnsi" w:cstheme="majorHAnsi"/>
          <w:sz w:val="20"/>
          <w:szCs w:val="28"/>
        </w:rPr>
        <w:t>）和施华蔻（</w:t>
      </w:r>
      <w:r w:rsidRPr="007B24F3">
        <w:rPr>
          <w:rStyle w:val="AboutandContactBody"/>
          <w:rFonts w:asciiTheme="majorHAnsi" w:hAnsiTheme="majorHAnsi" w:cstheme="majorHAnsi"/>
          <w:sz w:val="20"/>
          <w:szCs w:val="28"/>
        </w:rPr>
        <w:t>Schwarzkopf</w:t>
      </w:r>
      <w:r w:rsidRPr="007B24F3">
        <w:rPr>
          <w:rStyle w:val="AboutandContactBody"/>
          <w:rFonts w:asciiTheme="majorHAnsi" w:hAnsiTheme="majorHAnsi" w:cstheme="majorHAnsi"/>
          <w:sz w:val="20"/>
          <w:szCs w:val="28"/>
        </w:rPr>
        <w:t>）是公司的三大核心品牌。</w:t>
      </w:r>
      <w:r w:rsidRPr="007B24F3">
        <w:rPr>
          <w:rStyle w:val="AboutandContactBody"/>
          <w:rFonts w:asciiTheme="majorHAnsi" w:hAnsiTheme="majorHAnsi" w:cstheme="majorHAnsi"/>
          <w:sz w:val="20"/>
          <w:szCs w:val="28"/>
        </w:rPr>
        <w:t>202</w:t>
      </w:r>
      <w:r w:rsidR="00F54369">
        <w:rPr>
          <w:rStyle w:val="AboutandContactBody"/>
          <w:rFonts w:asciiTheme="majorHAnsi" w:hAnsiTheme="majorHAnsi" w:cstheme="majorHAnsi" w:hint="eastAsia"/>
          <w:sz w:val="20"/>
          <w:szCs w:val="28"/>
        </w:rPr>
        <w:t>4</w:t>
      </w:r>
      <w:r w:rsidRPr="007B24F3">
        <w:rPr>
          <w:rStyle w:val="AboutandContactBody"/>
          <w:rFonts w:asciiTheme="majorHAnsi" w:hAnsiTheme="majorHAnsi" w:cstheme="majorHAnsi"/>
          <w:sz w:val="20"/>
          <w:szCs w:val="28"/>
        </w:rPr>
        <w:t>财年，汉高实现销售额逾</w:t>
      </w:r>
      <w:r w:rsidRPr="007B24F3">
        <w:rPr>
          <w:rStyle w:val="AboutandContactBody"/>
          <w:rFonts w:asciiTheme="majorHAnsi" w:hAnsiTheme="majorHAnsi" w:cstheme="majorHAnsi"/>
          <w:sz w:val="20"/>
          <w:szCs w:val="28"/>
        </w:rPr>
        <w:t>21</w:t>
      </w:r>
      <w:r w:rsidR="00F54369">
        <w:rPr>
          <w:rStyle w:val="AboutandContactBody"/>
          <w:rFonts w:asciiTheme="majorHAnsi" w:hAnsiTheme="majorHAnsi" w:cstheme="majorHAnsi" w:hint="eastAsia"/>
          <w:sz w:val="20"/>
          <w:szCs w:val="28"/>
        </w:rPr>
        <w:t>6</w:t>
      </w:r>
      <w:r w:rsidRPr="007B24F3">
        <w:rPr>
          <w:rStyle w:val="AboutandContactBody"/>
          <w:rFonts w:asciiTheme="majorHAnsi" w:hAnsiTheme="majorHAnsi" w:cstheme="majorHAnsi"/>
          <w:sz w:val="20"/>
          <w:szCs w:val="28"/>
        </w:rPr>
        <w:t>亿欧元，调整后营业利润约为</w:t>
      </w:r>
      <w:r w:rsidR="00F54369">
        <w:rPr>
          <w:rStyle w:val="AboutandContactBody"/>
          <w:rFonts w:asciiTheme="majorHAnsi" w:hAnsiTheme="majorHAnsi" w:cstheme="majorHAnsi" w:hint="eastAsia"/>
          <w:sz w:val="20"/>
          <w:szCs w:val="28"/>
        </w:rPr>
        <w:t>31</w:t>
      </w:r>
      <w:r w:rsidRPr="007B24F3">
        <w:rPr>
          <w:rStyle w:val="AboutandContactBody"/>
          <w:rFonts w:asciiTheme="majorHAnsi" w:hAnsiTheme="majorHAnsi" w:cstheme="majorHAnsi"/>
          <w:sz w:val="20"/>
          <w:szCs w:val="28"/>
        </w:rPr>
        <w:t>亿欧元。汉高的优先股已列入德国</w:t>
      </w:r>
      <w:r w:rsidRPr="007B24F3">
        <w:rPr>
          <w:rStyle w:val="AboutandContactBody"/>
          <w:rFonts w:asciiTheme="majorHAnsi" w:hAnsiTheme="majorHAnsi" w:cstheme="majorHAnsi"/>
          <w:sz w:val="20"/>
          <w:szCs w:val="28"/>
        </w:rPr>
        <w:t>DAX</w:t>
      </w:r>
      <w:r w:rsidRPr="007B24F3">
        <w:rPr>
          <w:rStyle w:val="AboutandContactBody"/>
          <w:rFonts w:asciiTheme="majorHAnsi" w:hAnsiTheme="majorHAnsi" w:cstheme="majorHAnsi"/>
          <w:sz w:val="20"/>
          <w:szCs w:val="28"/>
        </w:rPr>
        <w:t>指数。可持续发展在汉高有着悠久的传统，公司确立有明晰的可持续发展战略和具体目标。成立于</w:t>
      </w:r>
      <w:r w:rsidRPr="007B24F3">
        <w:rPr>
          <w:rStyle w:val="AboutandContactBody"/>
          <w:rFonts w:asciiTheme="majorHAnsi" w:hAnsiTheme="majorHAnsi" w:cstheme="majorHAnsi"/>
          <w:sz w:val="20"/>
          <w:szCs w:val="28"/>
        </w:rPr>
        <w:t>1876</w:t>
      </w:r>
      <w:r w:rsidRPr="007B24F3">
        <w:rPr>
          <w:rStyle w:val="AboutandContactBody"/>
          <w:rFonts w:asciiTheme="majorHAnsi" w:hAnsiTheme="majorHAnsi" w:cstheme="majorHAnsi"/>
          <w:sz w:val="20"/>
          <w:szCs w:val="28"/>
        </w:rPr>
        <w:t>年，汉高如今在全球范围内约有</w:t>
      </w:r>
      <w:r w:rsidRPr="007B24F3">
        <w:rPr>
          <w:rStyle w:val="AboutandContactBody"/>
          <w:rFonts w:asciiTheme="majorHAnsi" w:hAnsiTheme="majorHAnsi" w:cstheme="majorHAnsi"/>
          <w:sz w:val="20"/>
          <w:szCs w:val="28"/>
        </w:rPr>
        <w:t>4.</w:t>
      </w:r>
      <w:r w:rsidR="008C2246">
        <w:rPr>
          <w:rStyle w:val="AboutandContactBody"/>
          <w:rFonts w:asciiTheme="majorHAnsi" w:hAnsiTheme="majorHAnsi" w:cstheme="majorHAnsi" w:hint="eastAsia"/>
          <w:sz w:val="20"/>
          <w:szCs w:val="28"/>
        </w:rPr>
        <w:t>7</w:t>
      </w:r>
      <w:r w:rsidRPr="007B24F3">
        <w:rPr>
          <w:rStyle w:val="AboutandContactBody"/>
          <w:rFonts w:asciiTheme="majorHAnsi" w:hAnsiTheme="majorHAnsi" w:cstheme="majorHAnsi"/>
          <w:sz w:val="20"/>
          <w:szCs w:val="28"/>
        </w:rPr>
        <w:t>万名员工，在强大的企业文化、共同的价值观与企业目标</w:t>
      </w:r>
      <w:r w:rsidRPr="007B24F3">
        <w:rPr>
          <w:rStyle w:val="AboutandContactBody"/>
          <w:rFonts w:asciiTheme="majorHAnsi" w:hAnsiTheme="majorHAnsi" w:cstheme="majorHAnsi"/>
          <w:sz w:val="20"/>
          <w:szCs w:val="28"/>
        </w:rPr>
        <w:t>“Pioneers at heart for the good of generations”</w:t>
      </w:r>
      <w:r w:rsidRPr="007B24F3">
        <w:rPr>
          <w:rStyle w:val="AboutandContactBody"/>
          <w:rFonts w:asciiTheme="majorHAnsi" w:hAnsiTheme="majorHAnsi" w:cstheme="majorHAnsi"/>
          <w:sz w:val="20"/>
          <w:szCs w:val="28"/>
        </w:rPr>
        <w:t>的引领下，融合为一支多元化的团队。更多资讯，敬请访问</w:t>
      </w:r>
      <w:r w:rsidRPr="007B24F3">
        <w:rPr>
          <w:rStyle w:val="AboutandContactBody"/>
          <w:rFonts w:asciiTheme="majorHAnsi" w:hAnsiTheme="majorHAnsi" w:cstheme="majorHAnsi"/>
          <w:sz w:val="20"/>
          <w:szCs w:val="28"/>
        </w:rPr>
        <w:t xml:space="preserve"> </w:t>
      </w:r>
      <w:hyperlink r:id="rId14" w:history="1">
        <w:r w:rsidR="00DC3878" w:rsidRPr="007B24F3">
          <w:rPr>
            <w:rStyle w:val="Hyperlink"/>
            <w:rFonts w:asciiTheme="majorHAnsi" w:hAnsiTheme="majorHAnsi" w:cstheme="majorHAnsi"/>
            <w:sz w:val="20"/>
            <w:szCs w:val="20"/>
          </w:rPr>
          <w:t>www.henkel.com</w:t>
        </w:r>
      </w:hyperlink>
      <w:r w:rsidRPr="007B24F3">
        <w:rPr>
          <w:rStyle w:val="AboutandContactBody"/>
          <w:rFonts w:asciiTheme="majorHAnsi" w:hAnsiTheme="majorHAnsi" w:cstheme="majorHAnsi"/>
          <w:sz w:val="20"/>
          <w:szCs w:val="28"/>
        </w:rPr>
        <w:t xml:space="preserve"> </w:t>
      </w:r>
    </w:p>
    <w:p w14:paraId="1A1E69C1" w14:textId="77777777" w:rsidR="00DC3878" w:rsidRPr="00DC3878" w:rsidRDefault="00DC3878" w:rsidP="0058377F">
      <w:pPr>
        <w:pStyle w:val="He01Flietext"/>
        <w:rPr>
          <w:rStyle w:val="AboutandContactBody"/>
          <w:rFonts w:eastAsiaTheme="minorEastAsia" w:cs="Times New Roman"/>
          <w:sz w:val="14"/>
          <w:szCs w:val="14"/>
          <w:lang w:val="en-US"/>
        </w:rPr>
      </w:pPr>
    </w:p>
    <w:p w14:paraId="1BCBC3B1" w14:textId="77777777" w:rsidR="00835910" w:rsidRPr="006E00F4" w:rsidRDefault="00835910">
      <w:pPr>
        <w:spacing w:line="240" w:lineRule="auto"/>
        <w:jc w:val="left"/>
        <w:rPr>
          <w:rStyle w:val="AboutandContactBody"/>
          <w:sz w:val="14"/>
          <w:szCs w:val="14"/>
        </w:rPr>
      </w:pPr>
    </w:p>
    <w:p w14:paraId="04A1566C" w14:textId="77777777" w:rsidR="0058377F" w:rsidRPr="006E00F4" w:rsidRDefault="0058377F" w:rsidP="0058377F">
      <w:pPr>
        <w:tabs>
          <w:tab w:val="left" w:pos="1080"/>
          <w:tab w:val="left" w:pos="4500"/>
        </w:tabs>
        <w:spacing w:line="264" w:lineRule="auto"/>
        <w:rPr>
          <w:rFonts w:asciiTheme="majorHAnsi" w:eastAsia="PMingLiU" w:hAnsiTheme="majorHAnsi" w:cs="Calibri Light"/>
          <w:b/>
          <w:sz w:val="18"/>
          <w:szCs w:val="18"/>
        </w:rPr>
      </w:pPr>
    </w:p>
    <w:p w14:paraId="3C7D1FD0" w14:textId="77777777" w:rsidR="00DC373A" w:rsidRPr="00620AC6" w:rsidRDefault="00B07F4F" w:rsidP="00DC373A">
      <w:pPr>
        <w:pStyle w:val="He01Flietext"/>
        <w:rPr>
          <w:sz w:val="14"/>
          <w:szCs w:val="14"/>
        </w:rPr>
      </w:pPr>
      <w:r w:rsidRPr="00620AC6">
        <w:rPr>
          <w:rFonts w:hint="eastAsia"/>
          <w:sz w:val="14"/>
        </w:rPr>
        <w:t>本文件所含提及未来业务发展、财务业绩及其他与汉高未来相关的事件或发展的声明，由此构成前瞻性声明。前瞻性表述的特点是使用诸如期望、打算、计划、预测、假设、相信、预计、预期、预见和类似的表述。这些表述乃汉高股份及两合公司管理层基于现有的预测和假设。该等表述在任何情况下都不应该被理解成保证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p>
    <w:p w14:paraId="273A3958" w14:textId="77777777" w:rsidR="00DC373A" w:rsidRPr="00620AC6" w:rsidRDefault="00B07F4F" w:rsidP="00DC373A">
      <w:pPr>
        <w:pStyle w:val="He01Flietext"/>
        <w:rPr>
          <w:sz w:val="14"/>
          <w:szCs w:val="14"/>
        </w:rPr>
      </w:pPr>
      <w:r w:rsidRPr="00620AC6">
        <w:rPr>
          <w:rFonts w:hint="eastAsia"/>
          <w:sz w:val="14"/>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7FB6A315" w14:textId="77777777" w:rsidR="00DC373A" w:rsidRDefault="00B07F4F" w:rsidP="00DC373A">
      <w:pPr>
        <w:spacing w:line="240" w:lineRule="auto"/>
        <w:jc w:val="left"/>
        <w:rPr>
          <w:sz w:val="14"/>
        </w:rPr>
      </w:pPr>
      <w:r w:rsidRPr="00620AC6">
        <w:rPr>
          <w:rFonts w:hint="eastAsia"/>
          <w:sz w:val="14"/>
        </w:rPr>
        <w:t>本文件仅供参考，并不构成任何对证券的投资建议、出售要约或购买要约。</w:t>
      </w:r>
    </w:p>
    <w:p w14:paraId="1C9B4CB9" w14:textId="77777777" w:rsidR="00DC373A" w:rsidRDefault="00DC373A" w:rsidP="00DC373A">
      <w:pPr>
        <w:spacing w:line="240" w:lineRule="auto"/>
        <w:jc w:val="left"/>
        <w:rPr>
          <w:sz w:val="14"/>
        </w:rPr>
      </w:pPr>
    </w:p>
    <w:p w14:paraId="0CDB24DC" w14:textId="77777777" w:rsidR="00DC373A" w:rsidRDefault="00DC373A" w:rsidP="00DC373A">
      <w:pPr>
        <w:spacing w:line="240" w:lineRule="auto"/>
        <w:jc w:val="left"/>
        <w:rPr>
          <w:sz w:val="14"/>
        </w:rPr>
      </w:pPr>
    </w:p>
    <w:p w14:paraId="4E21C29E" w14:textId="77777777" w:rsidR="00DC373A" w:rsidRPr="00596CED" w:rsidRDefault="00B07F4F" w:rsidP="00DC373A">
      <w:pPr>
        <w:tabs>
          <w:tab w:val="left" w:pos="1080"/>
          <w:tab w:val="left" w:pos="4500"/>
        </w:tabs>
        <w:spacing w:line="264" w:lineRule="auto"/>
        <w:rPr>
          <w:rStyle w:val="AboutandContactBody"/>
          <w:rFonts w:cs="Segoe UI"/>
          <w:b/>
          <w:bCs/>
          <w:szCs w:val="18"/>
        </w:rPr>
      </w:pPr>
      <w:r w:rsidRPr="00596CED">
        <w:rPr>
          <w:rStyle w:val="AboutandContactBody"/>
          <w:rFonts w:cs="Segoe UI" w:hint="eastAsia"/>
          <w:b/>
          <w:bCs/>
          <w:szCs w:val="18"/>
        </w:rPr>
        <w:t>媒体联系人</w:t>
      </w:r>
    </w:p>
    <w:p w14:paraId="0034182B" w14:textId="77777777" w:rsidR="00DC373A" w:rsidRPr="00596CED" w:rsidRDefault="00DC373A" w:rsidP="00DC373A">
      <w:pPr>
        <w:tabs>
          <w:tab w:val="left" w:pos="1080"/>
          <w:tab w:val="left" w:pos="4500"/>
        </w:tabs>
        <w:spacing w:line="264" w:lineRule="auto"/>
        <w:rPr>
          <w:rStyle w:val="AboutandContactBody"/>
          <w:rFonts w:cs="Segoe UI"/>
          <w:b/>
          <w:szCs w:val="18"/>
        </w:rPr>
      </w:pPr>
    </w:p>
    <w:p w14:paraId="698FEB42" w14:textId="77777777" w:rsidR="00DC373A" w:rsidRPr="00596CED" w:rsidRDefault="00B07F4F" w:rsidP="00DC373A">
      <w:pPr>
        <w:tabs>
          <w:tab w:val="left" w:pos="1080"/>
          <w:tab w:val="left" w:pos="4500"/>
        </w:tabs>
        <w:spacing w:line="264" w:lineRule="auto"/>
        <w:rPr>
          <w:rStyle w:val="AboutandContactBody"/>
          <w:rFonts w:cs="Segoe UI"/>
          <w:bCs/>
          <w:szCs w:val="18"/>
        </w:rPr>
      </w:pPr>
      <w:r w:rsidRPr="006A390A">
        <w:rPr>
          <w:rFonts w:cs="Arial"/>
          <w:b/>
          <w:sz w:val="20"/>
          <w:lang w:val="en-CA" w:eastAsia="de-DE"/>
        </w:rPr>
        <w:t>Louise Cheung</w:t>
      </w:r>
      <w:r w:rsidRPr="00596CED">
        <w:rPr>
          <w:rStyle w:val="AboutandContactBody"/>
          <w:rFonts w:cs="Segoe UI"/>
          <w:szCs w:val="18"/>
        </w:rPr>
        <w:tab/>
      </w:r>
    </w:p>
    <w:p w14:paraId="51412150" w14:textId="77777777" w:rsidR="00DC373A" w:rsidRPr="00596CED" w:rsidRDefault="00B07F4F" w:rsidP="00DC373A">
      <w:pPr>
        <w:tabs>
          <w:tab w:val="left" w:pos="709"/>
          <w:tab w:val="left" w:pos="4500"/>
          <w:tab w:val="left" w:pos="5245"/>
        </w:tabs>
        <w:spacing w:line="264" w:lineRule="auto"/>
        <w:rPr>
          <w:rStyle w:val="AboutandContactBody"/>
          <w:rFonts w:cs="Segoe UI"/>
          <w:szCs w:val="18"/>
        </w:rPr>
      </w:pPr>
      <w:r w:rsidRPr="00596CED">
        <w:rPr>
          <w:rStyle w:val="AboutandContactBody"/>
          <w:rFonts w:cs="Segoe UI" w:hint="eastAsia"/>
          <w:szCs w:val="18"/>
        </w:rPr>
        <w:t>电话：</w:t>
      </w:r>
      <w:r w:rsidRPr="00596CED">
        <w:rPr>
          <w:rStyle w:val="AboutandContactBody"/>
          <w:rFonts w:cs="Segoe UI"/>
          <w:szCs w:val="18"/>
        </w:rPr>
        <w:t>+86</w:t>
      </w:r>
      <w:r>
        <w:rPr>
          <w:rStyle w:val="AboutandContactBody"/>
          <w:rFonts w:cs="Segoe UI"/>
          <w:szCs w:val="18"/>
        </w:rPr>
        <w:t xml:space="preserve"> </w:t>
      </w:r>
      <w:r w:rsidRPr="00596CED">
        <w:rPr>
          <w:rStyle w:val="AboutandContactBody"/>
          <w:rFonts w:cs="Segoe UI"/>
          <w:szCs w:val="18"/>
        </w:rPr>
        <w:t>21</w:t>
      </w:r>
      <w:r>
        <w:rPr>
          <w:rStyle w:val="AboutandContactBody"/>
          <w:rFonts w:cs="Segoe UI"/>
          <w:szCs w:val="18"/>
        </w:rPr>
        <w:t xml:space="preserve"> </w:t>
      </w:r>
      <w:r w:rsidRPr="00596CED">
        <w:rPr>
          <w:rStyle w:val="AboutandContactBody"/>
          <w:rFonts w:cs="Segoe UI"/>
          <w:szCs w:val="18"/>
        </w:rPr>
        <w:t>2891</w:t>
      </w:r>
      <w:r>
        <w:rPr>
          <w:rStyle w:val="AboutandContactBody"/>
          <w:rFonts w:cs="Segoe UI"/>
          <w:szCs w:val="18"/>
        </w:rPr>
        <w:t xml:space="preserve"> </w:t>
      </w:r>
      <w:r w:rsidRPr="00596CED">
        <w:rPr>
          <w:rStyle w:val="AboutandContactBody"/>
          <w:rFonts w:cs="Segoe UI"/>
          <w:szCs w:val="18"/>
        </w:rPr>
        <w:t>5152</w:t>
      </w:r>
      <w:r w:rsidRPr="00596CED">
        <w:rPr>
          <w:rStyle w:val="AboutandContactBody"/>
          <w:rFonts w:cs="Segoe UI"/>
          <w:szCs w:val="18"/>
        </w:rPr>
        <w:tab/>
      </w:r>
    </w:p>
    <w:p w14:paraId="4AA7D639" w14:textId="77777777" w:rsidR="00DC373A" w:rsidRDefault="00B07F4F" w:rsidP="00DC373A">
      <w:pPr>
        <w:spacing w:line="240" w:lineRule="auto"/>
        <w:jc w:val="left"/>
        <w:rPr>
          <w:rFonts w:cs="Segoe UI"/>
          <w:sz w:val="18"/>
          <w:szCs w:val="18"/>
        </w:rPr>
      </w:pPr>
      <w:r w:rsidRPr="00596CED">
        <w:rPr>
          <w:rStyle w:val="AboutandContactBody"/>
          <w:rFonts w:cs="Segoe UI" w:hint="eastAsia"/>
          <w:szCs w:val="18"/>
        </w:rPr>
        <w:t>邮箱：</w:t>
      </w:r>
      <w:hyperlink r:id="rId15" w:history="1">
        <w:r w:rsidR="00DC373A" w:rsidRPr="00E5636F">
          <w:rPr>
            <w:rStyle w:val="Hyperlink"/>
            <w:rFonts w:cs="Segoe UI"/>
          </w:rPr>
          <w:t>louise.cheung@henkel.com</w:t>
        </w:r>
      </w:hyperlink>
    </w:p>
    <w:p w14:paraId="23D23295" w14:textId="77777777" w:rsidR="00DC373A" w:rsidRDefault="00DC373A" w:rsidP="00DC373A">
      <w:pPr>
        <w:spacing w:line="240" w:lineRule="auto"/>
        <w:jc w:val="left"/>
        <w:rPr>
          <w:rFonts w:cs="Segoe UI"/>
          <w:sz w:val="18"/>
          <w:szCs w:val="18"/>
        </w:rPr>
      </w:pPr>
    </w:p>
    <w:p w14:paraId="51EB4ADB" w14:textId="77777777" w:rsidR="00DC373A" w:rsidRPr="00D014F1" w:rsidRDefault="00B07F4F" w:rsidP="00DC373A">
      <w:pPr>
        <w:tabs>
          <w:tab w:val="left" w:pos="851"/>
          <w:tab w:val="left" w:pos="4536"/>
          <w:tab w:val="left" w:pos="4962"/>
          <w:tab w:val="left" w:pos="5387"/>
        </w:tabs>
        <w:spacing w:line="360" w:lineRule="auto"/>
        <w:rPr>
          <w:rFonts w:cs="Arial"/>
          <w:b/>
          <w:sz w:val="20"/>
          <w:szCs w:val="18"/>
        </w:rPr>
      </w:pPr>
      <w:r w:rsidRPr="00D014F1">
        <w:rPr>
          <w:rFonts w:cs="Arial"/>
          <w:b/>
          <w:sz w:val="20"/>
          <w:szCs w:val="18"/>
          <w:lang w:val="en-CA" w:eastAsia="de-DE"/>
        </w:rPr>
        <w:t xml:space="preserve">Liki </w:t>
      </w:r>
      <w:r w:rsidRPr="00D014F1">
        <w:rPr>
          <w:rFonts w:cs="Arial"/>
          <w:b/>
          <w:sz w:val="20"/>
          <w:szCs w:val="18"/>
          <w:lang w:val="en-CA"/>
        </w:rPr>
        <w:t>Qin</w:t>
      </w:r>
      <w:r w:rsidRPr="00D014F1">
        <w:rPr>
          <w:rFonts w:cs="Arial" w:hint="eastAsia"/>
          <w:b/>
          <w:sz w:val="20"/>
          <w:szCs w:val="18"/>
          <w:lang w:val="en-CA"/>
        </w:rPr>
        <w:t>秦莉佳</w:t>
      </w:r>
      <w:r w:rsidRPr="00D014F1">
        <w:rPr>
          <w:rFonts w:cs="Arial"/>
          <w:b/>
          <w:sz w:val="20"/>
          <w:szCs w:val="18"/>
          <w:lang w:eastAsia="de-DE"/>
        </w:rPr>
        <w:tab/>
      </w:r>
    </w:p>
    <w:p w14:paraId="4AA38D66" w14:textId="77777777" w:rsidR="00DC373A" w:rsidRPr="00D014F1" w:rsidRDefault="00B07F4F" w:rsidP="00DC373A">
      <w:pPr>
        <w:tabs>
          <w:tab w:val="left" w:pos="709"/>
          <w:tab w:val="left" w:pos="4500"/>
          <w:tab w:val="left" w:pos="5245"/>
        </w:tabs>
        <w:spacing w:line="264" w:lineRule="auto"/>
        <w:rPr>
          <w:rFonts w:cs="Arial"/>
          <w:color w:val="000000"/>
          <w:sz w:val="20"/>
          <w:szCs w:val="18"/>
          <w:lang w:eastAsia="de-DE"/>
        </w:rPr>
      </w:pPr>
      <w:r w:rsidRPr="006A390A">
        <w:rPr>
          <w:rStyle w:val="AboutandContactBody"/>
          <w:rFonts w:cs="Segoe UI" w:hint="eastAsia"/>
        </w:rPr>
        <w:t>电话</w:t>
      </w:r>
      <w:r w:rsidRPr="006A390A">
        <w:rPr>
          <w:rStyle w:val="AboutandContactBody"/>
          <w:rFonts w:cs="Segoe UI"/>
        </w:rPr>
        <w:t>: +86 21 2891 4386</w:t>
      </w:r>
      <w:r w:rsidRPr="00D014F1">
        <w:rPr>
          <w:rFonts w:cs="Arial"/>
          <w:sz w:val="20"/>
          <w:szCs w:val="18"/>
          <w:lang w:eastAsia="de-DE"/>
        </w:rPr>
        <w:tab/>
      </w:r>
    </w:p>
    <w:p w14:paraId="7F7453B9" w14:textId="77777777" w:rsidR="00DC373A" w:rsidRPr="00A12BF7" w:rsidRDefault="00B07F4F" w:rsidP="00DC373A">
      <w:pPr>
        <w:tabs>
          <w:tab w:val="left" w:pos="1080"/>
          <w:tab w:val="left" w:pos="4500"/>
        </w:tabs>
        <w:rPr>
          <w:rFonts w:cs="Arial"/>
          <w:sz w:val="18"/>
          <w:szCs w:val="18"/>
          <w:lang w:val="en-CA"/>
        </w:rPr>
      </w:pPr>
      <w:r w:rsidRPr="00A12BF7">
        <w:rPr>
          <w:rFonts w:cs="Arial" w:hint="eastAsia"/>
          <w:sz w:val="18"/>
          <w:szCs w:val="18"/>
        </w:rPr>
        <w:t>邮件</w:t>
      </w:r>
      <w:r w:rsidRPr="00A12BF7">
        <w:rPr>
          <w:rFonts w:cs="Arial"/>
          <w:sz w:val="18"/>
          <w:szCs w:val="18"/>
          <w:lang w:eastAsia="de-DE"/>
        </w:rPr>
        <w:t xml:space="preserve">: </w:t>
      </w:r>
      <w:hyperlink r:id="rId16" w:history="1">
        <w:r w:rsidR="00DC373A" w:rsidRPr="00A12BF7">
          <w:rPr>
            <w:rStyle w:val="Hyperlink"/>
            <w:rFonts w:cs="Arial"/>
            <w:lang w:val="en-CA"/>
          </w:rPr>
          <w:t>liki.qin@henkel.com</w:t>
        </w:r>
      </w:hyperlink>
    </w:p>
    <w:p w14:paraId="2CBCDFF6" w14:textId="77777777" w:rsidR="00A15D78" w:rsidRPr="00461D39" w:rsidRDefault="00A15D78" w:rsidP="00DC373A">
      <w:pPr>
        <w:spacing w:line="240" w:lineRule="auto"/>
        <w:jc w:val="left"/>
        <w:rPr>
          <w:rStyle w:val="Hyperlink"/>
          <w:rFonts w:eastAsia="PMingLiU"/>
          <w:vanish/>
          <w:color w:val="9A141B"/>
          <w:szCs w:val="24"/>
          <w:u w:val="none"/>
        </w:rPr>
      </w:pPr>
    </w:p>
    <w:sectPr w:rsidR="00A15D78" w:rsidRPr="00461D39" w:rsidSect="00A41DBE">
      <w:headerReference w:type="even" r:id="rId17"/>
      <w:footerReference w:type="default" r:id="rId18"/>
      <w:headerReference w:type="first" r:id="rId19"/>
      <w:footerReference w:type="first" r:id="rId20"/>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61284" w14:textId="77777777" w:rsidR="007D33B6" w:rsidRDefault="007D33B6">
      <w:pPr>
        <w:spacing w:line="240" w:lineRule="auto"/>
      </w:pPr>
      <w:r>
        <w:separator/>
      </w:r>
    </w:p>
  </w:endnote>
  <w:endnote w:type="continuationSeparator" w:id="0">
    <w:p w14:paraId="49491552" w14:textId="77777777" w:rsidR="007D33B6" w:rsidRDefault="007D3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F3A6" w14:textId="77777777" w:rsidR="00CF6F33" w:rsidRPr="006E00F4" w:rsidRDefault="00B07F4F" w:rsidP="00112A28">
    <w:pPr>
      <w:pStyle w:val="Footer"/>
      <w:tabs>
        <w:tab w:val="clear" w:pos="7083"/>
        <w:tab w:val="clear" w:pos="8640"/>
        <w:tab w:val="right" w:pos="9071"/>
      </w:tabs>
      <w:jc w:val="both"/>
    </w:pPr>
    <w:r w:rsidRPr="006E00F4">
      <w:rPr>
        <w:rFonts w:hint="eastAsia"/>
      </w:rPr>
      <w:t>Henkel AG &amp; Co. KGaA</w:t>
    </w:r>
    <w:r w:rsidRPr="006E00F4">
      <w:rPr>
        <w:rFonts w:hint="eastAsia"/>
      </w:rPr>
      <w:tab/>
      <w:t xml:space="preserve">Page </w:t>
    </w:r>
    <w:r w:rsidRPr="006E00F4">
      <w:rPr>
        <w:rFonts w:hint="eastAsia"/>
      </w:rPr>
      <w:fldChar w:fldCharType="begin"/>
    </w:r>
    <w:r w:rsidRPr="006E00F4">
      <w:rPr>
        <w:rFonts w:hint="eastAsia"/>
      </w:rPr>
      <w:instrText xml:space="preserve"> PAGE  \* Arabic  \* MERGEFORMAT </w:instrText>
    </w:r>
    <w:r w:rsidRPr="006E00F4">
      <w:rPr>
        <w:rFonts w:hint="eastAsia"/>
      </w:rPr>
      <w:fldChar w:fldCharType="separate"/>
    </w:r>
    <w:r w:rsidRPr="006E00F4">
      <w:rPr>
        <w:rFonts w:hint="eastAsia"/>
      </w:rPr>
      <w:t>2</w:t>
    </w:r>
    <w:r w:rsidRPr="006E00F4">
      <w:rPr>
        <w:rFonts w:hint="eastAsia"/>
      </w:rPr>
      <w:fldChar w:fldCharType="end"/>
    </w:r>
    <w:r w:rsidRPr="006E00F4">
      <w:rPr>
        <w:rFonts w:hint="eastAsia"/>
      </w:rPr>
      <w:t>/</w:t>
    </w:r>
    <w:r w:rsidRPr="006E00F4">
      <w:rPr>
        <w:rFonts w:hint="eastAsia"/>
      </w:rPr>
      <w:fldChar w:fldCharType="begin"/>
    </w:r>
    <w:r>
      <w:instrText>NUMPAGES  \* Arabic  \* MERGEFORMAT</w:instrText>
    </w:r>
    <w:r w:rsidRPr="006E00F4">
      <w:rPr>
        <w:rFonts w:hint="eastAsia"/>
      </w:rPr>
      <w:fldChar w:fldCharType="separate"/>
    </w:r>
    <w:r w:rsidRPr="006E00F4">
      <w:rPr>
        <w:rFonts w:hint="eastAsia"/>
      </w:rPr>
      <w:t>2</w:t>
    </w:r>
    <w:r w:rsidRPr="006E00F4">
      <w:rPr>
        <w:rFonts w:hint="eastAsia"/>
      </w:rPr>
      <w:fldChar w:fldCharType="end"/>
    </w:r>
  </w:p>
  <w:p w14:paraId="435CE93E" w14:textId="77777777" w:rsidR="00461D39" w:rsidRPr="006E00F4" w:rsidRDefault="00B07F4F" w:rsidP="00112A28">
    <w:pPr>
      <w:pStyle w:val="Footer"/>
      <w:tabs>
        <w:tab w:val="clear" w:pos="7083"/>
        <w:tab w:val="clear" w:pos="8640"/>
        <w:tab w:val="right" w:pos="9071"/>
      </w:tabs>
      <w:jc w:val="both"/>
    </w:pPr>
    <w:r w:rsidRPr="006E00F4">
      <w:rPr>
        <w:rFonts w:hint="eastAsia"/>
      </w:rPr>
      <w:t>汉高股份有限及两合公司</w:t>
    </w:r>
    <w:r w:rsidRPr="006E00F4">
      <w:rPr>
        <w:rFonts w:hint="eastAsia"/>
      </w:rPr>
      <w:tab/>
    </w:r>
    <w:r w:rsidRPr="006E00F4">
      <w:fldChar w:fldCharType="begin"/>
    </w:r>
    <w:r w:rsidRPr="006E00F4">
      <w:instrText xml:space="preserve"> PAGE  \* Arabic  \* MERGEFORMAT </w:instrText>
    </w:r>
    <w:r w:rsidRPr="006E00F4">
      <w:fldChar w:fldCharType="separate"/>
    </w:r>
    <w:r w:rsidRPr="006E00F4">
      <w:rPr>
        <w:rFonts w:hint="eastAsia"/>
      </w:rPr>
      <w:t>19</w:t>
    </w:r>
    <w:r w:rsidRPr="006E00F4">
      <w:fldChar w:fldCharType="end"/>
    </w:r>
    <w:r w:rsidRPr="006E00F4">
      <w:rPr>
        <w:rFonts w:hint="eastAsia"/>
      </w:rPr>
      <w:t>/</w:t>
    </w:r>
    <w:r w:rsidRPr="006E00F4">
      <w:rPr>
        <w:rFonts w:hint="eastAsia"/>
      </w:rPr>
      <w:fldChar w:fldCharType="begin"/>
    </w:r>
    <w:r>
      <w:instrText xml:space="preserve">NUMPAGES  \* Arabic  \* </w:instrText>
    </w:r>
    <w:r>
      <w:instrText>MERGEFORMAT</w:instrText>
    </w:r>
    <w:r w:rsidRPr="006E00F4">
      <w:rPr>
        <w:rFonts w:hint="eastAsia"/>
      </w:rPr>
      <w:fldChar w:fldCharType="separate"/>
    </w:r>
    <w:r w:rsidRPr="006E00F4">
      <w:rPr>
        <w:rFonts w:hint="eastAsia"/>
      </w:rPr>
      <w:t>20</w:t>
    </w:r>
    <w:r w:rsidRPr="006E00F4">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C231" w14:textId="77777777" w:rsidR="00CF6F33" w:rsidRPr="006E00F4" w:rsidRDefault="00B07F4F" w:rsidP="00992A11">
    <w:pPr>
      <w:pStyle w:val="Footer"/>
    </w:pPr>
    <w:r w:rsidRPr="006E00F4">
      <w:rPr>
        <w:rFonts w:hint="eastAsia"/>
      </w:rPr>
      <w:drawing>
        <wp:inline distT="0" distB="0" distL="0" distR="0" wp14:anchorId="3A779E79" wp14:editId="1A07568F">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83408" name="Grafik 1" descr="Ein Bild, das Text, Logo, Schrift, Symbol enthält.&#10;&#10;Automatisch generierte Beschreibung"/>
                  <pic:cNvPicPr/>
                </pic:nvPicPr>
                <pic:blipFill>
                  <a:blip r:embed="rId1"/>
                  <a:srcRect b="19511"/>
                  <a:stretch>
                    <a:fillRect/>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sidRPr="006E00F4">
      <w:rPr>
        <w:rFonts w:hint="eastAsia"/>
      </w:rPr>
      <w:t xml:space="preserve">Page </w:t>
    </w:r>
    <w:r w:rsidRPr="006E00F4">
      <w:rPr>
        <w:rFonts w:hint="eastAsia"/>
      </w:rPr>
      <w:fldChar w:fldCharType="begin"/>
    </w:r>
    <w:r w:rsidRPr="006E00F4">
      <w:rPr>
        <w:rFonts w:hint="eastAsia"/>
      </w:rPr>
      <w:instrText xml:space="preserve"> </w:instrText>
    </w:r>
    <w:r w:rsidR="00262C05" w:rsidRPr="006E00F4">
      <w:rPr>
        <w:rFonts w:hint="eastAsia"/>
      </w:rPr>
      <w:instrText>PAGE</w:instrText>
    </w:r>
    <w:r w:rsidRPr="006E00F4">
      <w:rPr>
        <w:rFonts w:hint="eastAsia"/>
      </w:rPr>
      <w:instrText xml:space="preserve">  \* Arabic  \* MERGEFORMAT </w:instrText>
    </w:r>
    <w:r w:rsidRPr="006E00F4">
      <w:rPr>
        <w:rFonts w:hint="eastAsia"/>
      </w:rPr>
      <w:fldChar w:fldCharType="separate"/>
    </w:r>
    <w:r w:rsidR="006A0A3C" w:rsidRPr="006E00F4">
      <w:rPr>
        <w:rFonts w:hint="eastAsia"/>
      </w:rPr>
      <w:t>1</w:t>
    </w:r>
    <w:r w:rsidRPr="006E00F4">
      <w:rPr>
        <w:rFonts w:hint="eastAsia"/>
      </w:rPr>
      <w:fldChar w:fldCharType="end"/>
    </w:r>
    <w:r w:rsidRPr="006E00F4">
      <w:rPr>
        <w:rFonts w:hint="eastAsia"/>
      </w:rPr>
      <w:t>/</w:t>
    </w:r>
    <w:r w:rsidRPr="006E00F4">
      <w:rPr>
        <w:rFonts w:hint="eastAsia"/>
      </w:rPr>
      <w:fldChar w:fldCharType="begin"/>
    </w:r>
    <w:r w:rsidRPr="006E00F4">
      <w:rPr>
        <w:rFonts w:hint="eastAsia"/>
      </w:rPr>
      <w:instrText xml:space="preserve"> </w:instrText>
    </w:r>
    <w:r w:rsidR="00262C05" w:rsidRPr="006E00F4">
      <w:rPr>
        <w:rFonts w:hint="eastAsia"/>
      </w:rPr>
      <w:instrText>NUMPAGES</w:instrText>
    </w:r>
    <w:r w:rsidRPr="006E00F4">
      <w:rPr>
        <w:rFonts w:hint="eastAsia"/>
      </w:rPr>
      <w:instrText xml:space="preserve">  \* Arabic  \* MERGEFORMAT </w:instrText>
    </w:r>
    <w:r w:rsidRPr="006E00F4">
      <w:rPr>
        <w:rFonts w:hint="eastAsia"/>
      </w:rPr>
      <w:fldChar w:fldCharType="separate"/>
    </w:r>
    <w:r w:rsidR="006A0A3C" w:rsidRPr="006E00F4">
      <w:rPr>
        <w:rFonts w:hint="eastAsia"/>
      </w:rPr>
      <w:t>1</w:t>
    </w:r>
    <w:r w:rsidRPr="006E00F4">
      <w:rPr>
        <w:rFonts w:hint="eastAsia"/>
      </w:rPr>
      <w:fldChar w:fldCharType="end"/>
    </w:r>
  </w:p>
  <w:p w14:paraId="7C05D11A" w14:textId="77777777" w:rsidR="00461D39" w:rsidRPr="006E00F4" w:rsidRDefault="00B07F4F" w:rsidP="00992A11">
    <w:pPr>
      <w:pStyle w:val="Footer"/>
    </w:pPr>
    <w:r w:rsidRPr="006E00F4">
      <w:fldChar w:fldCharType="begin"/>
    </w:r>
    <w:r w:rsidRPr="006E00F4">
      <w:instrText xml:space="preserve"> PAGE  \* Arabic  \* MERGEFORMAT </w:instrText>
    </w:r>
    <w:r w:rsidRPr="006E00F4">
      <w:fldChar w:fldCharType="separate"/>
    </w:r>
    <w:r w:rsidRPr="006E00F4">
      <w:t>1</w:t>
    </w:r>
    <w:r w:rsidRPr="006E00F4">
      <w:fldChar w:fldCharType="end"/>
    </w:r>
    <w:r w:rsidRPr="006E00F4">
      <w:rPr>
        <w:rFonts w:hint="eastAsia"/>
      </w:rPr>
      <w:t>/</w:t>
    </w:r>
    <w:r w:rsidR="006E00F4">
      <w:rPr>
        <w:rFonts w:hint="eastAsia"/>
      </w:rPr>
      <w:fldChar w:fldCharType="begin"/>
    </w:r>
    <w:r>
      <w:instrText xml:space="preserve"> NUMPAGES  \* Arabic  \* MERGEFORMAT </w:instrText>
    </w:r>
    <w:r w:rsidR="006E00F4">
      <w:rPr>
        <w:rFonts w:hint="eastAsia"/>
      </w:rPr>
      <w:fldChar w:fldCharType="separate"/>
    </w:r>
    <w:r w:rsidR="006E00F4">
      <w:rPr>
        <w:rFonts w:hint="eastAsia"/>
      </w:rPr>
      <w:t>19</w:t>
    </w:r>
    <w:r w:rsidR="006E00F4">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7512" w14:textId="77777777" w:rsidR="007D33B6" w:rsidRDefault="007D33B6">
      <w:pPr>
        <w:spacing w:line="240" w:lineRule="auto"/>
      </w:pPr>
      <w:r>
        <w:separator/>
      </w:r>
    </w:p>
  </w:footnote>
  <w:footnote w:type="continuationSeparator" w:id="0">
    <w:p w14:paraId="3EAEDDE3" w14:textId="77777777" w:rsidR="007D33B6" w:rsidRDefault="007D33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7BD8"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D0CE" w14:textId="6D25C458" w:rsidR="00CF6F33" w:rsidRPr="006E00F4" w:rsidRDefault="00B07F4F" w:rsidP="00EB46D9">
    <w:pPr>
      <w:pStyle w:val="Header"/>
    </w:pPr>
    <w:r w:rsidRPr="006E00F4">
      <w:rPr>
        <w:rFonts w:hint="eastAsia"/>
        <w:noProof/>
      </w:rPr>
      <w:drawing>
        <wp:anchor distT="0" distB="0" distL="114300" distR="114300" simplePos="0" relativeHeight="251660288" behindDoc="0" locked="1" layoutInCell="1" allowOverlap="1" wp14:anchorId="37E3A4F3" wp14:editId="333BCA2E">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85599"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6E00F4">
      <w:rPr>
        <w:rFonts w:hint="eastAsia"/>
        <w:noProof/>
      </w:rPr>
      <mc:AlternateContent>
        <mc:Choice Requires="wpg">
          <w:drawing>
            <wp:anchor distT="0" distB="0" distL="114300" distR="114300" simplePos="0" relativeHeight="251658240" behindDoc="0" locked="0" layoutInCell="1" allowOverlap="1" wp14:anchorId="17C820A1" wp14:editId="739872C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 xmlns:a="http://schemas.openxmlformats.org/drawingml/2006/main">
                <a:graphicData uri="http://schemas.microsoft.com/office/word/2010/wordprocessingGroup">
                  <wpg:wgp>
                    <wpg:cNvGrpSpPr/>
                    <wpg:grpSpPr>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2049" style="width:14.15pt;height:297.65pt;margin-top:297.7pt;margin-left:14.2pt;mso-position-horizontal-relative:page;mso-position-vertical-relative:page;position:absolute;z-index:251659264" coordorigin="0,5954" coordsize="283,5953">
              <v:line id="Line 17" o:spid="_x0000_s2050" style="mso-wrap-style:square;position:absolute;visibility:visible" from="0,5954" to="283,5954" o:connectortype="straight" stroked="f" strokecolor="#e1000f" strokeweight="0.5pt"/>
              <v:line id="Line 18" o:spid="_x0000_s2051" style="mso-wrap-style:square;position:absolute;visibility:visible" from="0,8420" to="283,8420" o:connectortype="straight" stroked="f" strokecolor="#e1000f" strokeweight="0.5pt"/>
              <v:line id="Line 19" o:spid="_x0000_s2052" style="mso-wrap-style:square;position:absolute;visibility:visible" from="0,11907" to="283,11907" o:connectortype="straight" stroked="f" strokecolor="#e1000f" strokeweight="0.5pt"/>
            </v:group>
          </w:pict>
        </mc:Fallback>
      </mc:AlternateContent>
    </w:r>
    <w:r w:rsidRPr="006E00F4">
      <w:rPr>
        <w:rFonts w:hint="eastAsia"/>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FFB0B670">
      <w:start w:val="1"/>
      <w:numFmt w:val="bullet"/>
      <w:pStyle w:val="He01FlietextAufzhlung1Ebene"/>
      <w:lvlText w:val=""/>
      <w:lvlJc w:val="left"/>
      <w:pPr>
        <w:ind w:left="360" w:hanging="360"/>
      </w:pPr>
      <w:rPr>
        <w:rFonts w:ascii="Wingdings" w:hAnsi="Wingdings" w:hint="default"/>
        <w:color w:val="E1000F"/>
      </w:rPr>
    </w:lvl>
    <w:lvl w:ilvl="1" w:tplc="56D2414E">
      <w:start w:val="1"/>
      <w:numFmt w:val="bullet"/>
      <w:lvlText w:val="o"/>
      <w:lvlJc w:val="left"/>
      <w:pPr>
        <w:ind w:left="1440" w:hanging="360"/>
      </w:pPr>
      <w:rPr>
        <w:rFonts w:ascii="Courier New" w:hAnsi="Courier New" w:cs="Courier New" w:hint="default"/>
      </w:rPr>
    </w:lvl>
    <w:lvl w:ilvl="2" w:tplc="9756502E">
      <w:start w:val="1"/>
      <w:numFmt w:val="bullet"/>
      <w:lvlText w:val=""/>
      <w:lvlJc w:val="left"/>
      <w:pPr>
        <w:ind w:left="2160" w:hanging="360"/>
      </w:pPr>
      <w:rPr>
        <w:rFonts w:ascii="Wingdings" w:hAnsi="Wingdings" w:hint="default"/>
      </w:rPr>
    </w:lvl>
    <w:lvl w:ilvl="3" w:tplc="4C5487FC">
      <w:start w:val="1"/>
      <w:numFmt w:val="bullet"/>
      <w:lvlText w:val=""/>
      <w:lvlJc w:val="left"/>
      <w:pPr>
        <w:ind w:left="2880" w:hanging="360"/>
      </w:pPr>
      <w:rPr>
        <w:rFonts w:ascii="Symbol" w:hAnsi="Symbol" w:hint="default"/>
      </w:rPr>
    </w:lvl>
    <w:lvl w:ilvl="4" w:tplc="5BE4C876">
      <w:start w:val="1"/>
      <w:numFmt w:val="bullet"/>
      <w:lvlText w:val="o"/>
      <w:lvlJc w:val="left"/>
      <w:pPr>
        <w:ind w:left="3600" w:hanging="360"/>
      </w:pPr>
      <w:rPr>
        <w:rFonts w:ascii="Courier New" w:hAnsi="Courier New" w:cs="Courier New" w:hint="default"/>
      </w:rPr>
    </w:lvl>
    <w:lvl w:ilvl="5" w:tplc="D46E0E64">
      <w:start w:val="1"/>
      <w:numFmt w:val="bullet"/>
      <w:lvlText w:val=""/>
      <w:lvlJc w:val="left"/>
      <w:pPr>
        <w:ind w:left="4320" w:hanging="360"/>
      </w:pPr>
      <w:rPr>
        <w:rFonts w:ascii="Wingdings" w:hAnsi="Wingdings" w:hint="default"/>
      </w:rPr>
    </w:lvl>
    <w:lvl w:ilvl="6" w:tplc="5784E940">
      <w:start w:val="1"/>
      <w:numFmt w:val="bullet"/>
      <w:lvlText w:val=""/>
      <w:lvlJc w:val="left"/>
      <w:pPr>
        <w:ind w:left="5040" w:hanging="360"/>
      </w:pPr>
      <w:rPr>
        <w:rFonts w:ascii="Symbol" w:hAnsi="Symbol" w:hint="default"/>
      </w:rPr>
    </w:lvl>
    <w:lvl w:ilvl="7" w:tplc="B84CD728">
      <w:start w:val="1"/>
      <w:numFmt w:val="bullet"/>
      <w:lvlText w:val="o"/>
      <w:lvlJc w:val="left"/>
      <w:pPr>
        <w:ind w:left="5760" w:hanging="360"/>
      </w:pPr>
      <w:rPr>
        <w:rFonts w:ascii="Courier New" w:hAnsi="Courier New" w:cs="Courier New" w:hint="default"/>
      </w:rPr>
    </w:lvl>
    <w:lvl w:ilvl="8" w:tplc="AF226134">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5E30DC28">
      <w:start w:val="1"/>
      <w:numFmt w:val="decimal"/>
      <w:lvlText w:val="%1."/>
      <w:lvlJc w:val="left"/>
      <w:pPr>
        <w:ind w:left="720" w:hanging="360"/>
      </w:pPr>
      <w:rPr>
        <w:rFonts w:hint="default"/>
      </w:rPr>
    </w:lvl>
    <w:lvl w:ilvl="1" w:tplc="905C820C" w:tentative="1">
      <w:start w:val="1"/>
      <w:numFmt w:val="lowerLetter"/>
      <w:lvlText w:val="%2."/>
      <w:lvlJc w:val="left"/>
      <w:pPr>
        <w:ind w:left="1440" w:hanging="360"/>
      </w:pPr>
    </w:lvl>
    <w:lvl w:ilvl="2" w:tplc="80E8CBCE" w:tentative="1">
      <w:start w:val="1"/>
      <w:numFmt w:val="lowerRoman"/>
      <w:lvlText w:val="%3."/>
      <w:lvlJc w:val="right"/>
      <w:pPr>
        <w:ind w:left="2160" w:hanging="180"/>
      </w:pPr>
    </w:lvl>
    <w:lvl w:ilvl="3" w:tplc="1DAEEF84" w:tentative="1">
      <w:start w:val="1"/>
      <w:numFmt w:val="decimal"/>
      <w:lvlText w:val="%4."/>
      <w:lvlJc w:val="left"/>
      <w:pPr>
        <w:ind w:left="2880" w:hanging="360"/>
      </w:pPr>
    </w:lvl>
    <w:lvl w:ilvl="4" w:tplc="507CFFA4" w:tentative="1">
      <w:start w:val="1"/>
      <w:numFmt w:val="lowerLetter"/>
      <w:lvlText w:val="%5."/>
      <w:lvlJc w:val="left"/>
      <w:pPr>
        <w:ind w:left="3600" w:hanging="360"/>
      </w:pPr>
    </w:lvl>
    <w:lvl w:ilvl="5" w:tplc="C94AD0F8" w:tentative="1">
      <w:start w:val="1"/>
      <w:numFmt w:val="lowerRoman"/>
      <w:lvlText w:val="%6."/>
      <w:lvlJc w:val="right"/>
      <w:pPr>
        <w:ind w:left="4320" w:hanging="180"/>
      </w:pPr>
    </w:lvl>
    <w:lvl w:ilvl="6" w:tplc="71487734" w:tentative="1">
      <w:start w:val="1"/>
      <w:numFmt w:val="decimal"/>
      <w:lvlText w:val="%7."/>
      <w:lvlJc w:val="left"/>
      <w:pPr>
        <w:ind w:left="5040" w:hanging="360"/>
      </w:pPr>
    </w:lvl>
    <w:lvl w:ilvl="7" w:tplc="9AA655F6" w:tentative="1">
      <w:start w:val="1"/>
      <w:numFmt w:val="lowerLetter"/>
      <w:lvlText w:val="%8."/>
      <w:lvlJc w:val="left"/>
      <w:pPr>
        <w:ind w:left="5760" w:hanging="360"/>
      </w:pPr>
    </w:lvl>
    <w:lvl w:ilvl="8" w:tplc="47A01138"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2A2E7748">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7EF4BFF8" w:tentative="1">
      <w:start w:val="1"/>
      <w:numFmt w:val="bullet"/>
      <w:lvlText w:val="o"/>
      <w:lvlJc w:val="left"/>
      <w:pPr>
        <w:tabs>
          <w:tab w:val="num" w:pos="1440"/>
        </w:tabs>
        <w:ind w:left="1440" w:hanging="360"/>
      </w:pPr>
      <w:rPr>
        <w:rFonts w:ascii="Courier New" w:hAnsi="Courier New" w:cs="Arial" w:hint="default"/>
      </w:rPr>
    </w:lvl>
    <w:lvl w:ilvl="2" w:tplc="3CDE6EFC" w:tentative="1">
      <w:start w:val="1"/>
      <w:numFmt w:val="bullet"/>
      <w:lvlText w:val=""/>
      <w:lvlJc w:val="left"/>
      <w:pPr>
        <w:tabs>
          <w:tab w:val="num" w:pos="2160"/>
        </w:tabs>
        <w:ind w:left="2160" w:hanging="360"/>
      </w:pPr>
      <w:rPr>
        <w:rFonts w:ascii="Wingdings" w:hAnsi="Wingdings" w:hint="default"/>
      </w:rPr>
    </w:lvl>
    <w:lvl w:ilvl="3" w:tplc="23F248D6" w:tentative="1">
      <w:start w:val="1"/>
      <w:numFmt w:val="bullet"/>
      <w:lvlText w:val=""/>
      <w:lvlJc w:val="left"/>
      <w:pPr>
        <w:tabs>
          <w:tab w:val="num" w:pos="2880"/>
        </w:tabs>
        <w:ind w:left="2880" w:hanging="360"/>
      </w:pPr>
      <w:rPr>
        <w:rFonts w:ascii="Symbol" w:hAnsi="Symbol" w:hint="default"/>
      </w:rPr>
    </w:lvl>
    <w:lvl w:ilvl="4" w:tplc="A0E2A36E" w:tentative="1">
      <w:start w:val="1"/>
      <w:numFmt w:val="bullet"/>
      <w:lvlText w:val="o"/>
      <w:lvlJc w:val="left"/>
      <w:pPr>
        <w:tabs>
          <w:tab w:val="num" w:pos="3600"/>
        </w:tabs>
        <w:ind w:left="3600" w:hanging="360"/>
      </w:pPr>
      <w:rPr>
        <w:rFonts w:ascii="Courier New" w:hAnsi="Courier New" w:cs="Arial" w:hint="default"/>
      </w:rPr>
    </w:lvl>
    <w:lvl w:ilvl="5" w:tplc="424A88FA" w:tentative="1">
      <w:start w:val="1"/>
      <w:numFmt w:val="bullet"/>
      <w:lvlText w:val=""/>
      <w:lvlJc w:val="left"/>
      <w:pPr>
        <w:tabs>
          <w:tab w:val="num" w:pos="4320"/>
        </w:tabs>
        <w:ind w:left="4320" w:hanging="360"/>
      </w:pPr>
      <w:rPr>
        <w:rFonts w:ascii="Wingdings" w:hAnsi="Wingdings" w:hint="default"/>
      </w:rPr>
    </w:lvl>
    <w:lvl w:ilvl="6" w:tplc="8126FA46" w:tentative="1">
      <w:start w:val="1"/>
      <w:numFmt w:val="bullet"/>
      <w:lvlText w:val=""/>
      <w:lvlJc w:val="left"/>
      <w:pPr>
        <w:tabs>
          <w:tab w:val="num" w:pos="5040"/>
        </w:tabs>
        <w:ind w:left="5040" w:hanging="360"/>
      </w:pPr>
      <w:rPr>
        <w:rFonts w:ascii="Symbol" w:hAnsi="Symbol" w:hint="default"/>
      </w:rPr>
    </w:lvl>
    <w:lvl w:ilvl="7" w:tplc="1178A6DE" w:tentative="1">
      <w:start w:val="1"/>
      <w:numFmt w:val="bullet"/>
      <w:lvlText w:val="o"/>
      <w:lvlJc w:val="left"/>
      <w:pPr>
        <w:tabs>
          <w:tab w:val="num" w:pos="5760"/>
        </w:tabs>
        <w:ind w:left="5760" w:hanging="360"/>
      </w:pPr>
      <w:rPr>
        <w:rFonts w:ascii="Courier New" w:hAnsi="Courier New" w:cs="Arial" w:hint="default"/>
      </w:rPr>
    </w:lvl>
    <w:lvl w:ilvl="8" w:tplc="2F4031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4BCEB754">
      <w:start w:val="1"/>
      <w:numFmt w:val="bullet"/>
      <w:lvlText w:val=""/>
      <w:lvlJc w:val="left"/>
      <w:pPr>
        <w:ind w:left="1429" w:hanging="360"/>
      </w:pPr>
      <w:rPr>
        <w:rFonts w:ascii="Symbol" w:hAnsi="Symbol" w:hint="default"/>
      </w:rPr>
    </w:lvl>
    <w:lvl w:ilvl="1" w:tplc="942AA76E" w:tentative="1">
      <w:start w:val="1"/>
      <w:numFmt w:val="bullet"/>
      <w:lvlText w:val="o"/>
      <w:lvlJc w:val="left"/>
      <w:pPr>
        <w:ind w:left="2149" w:hanging="360"/>
      </w:pPr>
      <w:rPr>
        <w:rFonts w:ascii="Courier New" w:hAnsi="Courier New" w:cs="Courier New" w:hint="default"/>
      </w:rPr>
    </w:lvl>
    <w:lvl w:ilvl="2" w:tplc="BB623A1C" w:tentative="1">
      <w:start w:val="1"/>
      <w:numFmt w:val="bullet"/>
      <w:lvlText w:val=""/>
      <w:lvlJc w:val="left"/>
      <w:pPr>
        <w:ind w:left="2869" w:hanging="360"/>
      </w:pPr>
      <w:rPr>
        <w:rFonts w:ascii="Wingdings" w:hAnsi="Wingdings" w:hint="default"/>
      </w:rPr>
    </w:lvl>
    <w:lvl w:ilvl="3" w:tplc="8E9EB1F4" w:tentative="1">
      <w:start w:val="1"/>
      <w:numFmt w:val="bullet"/>
      <w:lvlText w:val=""/>
      <w:lvlJc w:val="left"/>
      <w:pPr>
        <w:ind w:left="3589" w:hanging="360"/>
      </w:pPr>
      <w:rPr>
        <w:rFonts w:ascii="Symbol" w:hAnsi="Symbol" w:hint="default"/>
      </w:rPr>
    </w:lvl>
    <w:lvl w:ilvl="4" w:tplc="84FADC40" w:tentative="1">
      <w:start w:val="1"/>
      <w:numFmt w:val="bullet"/>
      <w:lvlText w:val="o"/>
      <w:lvlJc w:val="left"/>
      <w:pPr>
        <w:ind w:left="4309" w:hanging="360"/>
      </w:pPr>
      <w:rPr>
        <w:rFonts w:ascii="Courier New" w:hAnsi="Courier New" w:cs="Courier New" w:hint="default"/>
      </w:rPr>
    </w:lvl>
    <w:lvl w:ilvl="5" w:tplc="0BFAFC22" w:tentative="1">
      <w:start w:val="1"/>
      <w:numFmt w:val="bullet"/>
      <w:lvlText w:val=""/>
      <w:lvlJc w:val="left"/>
      <w:pPr>
        <w:ind w:left="5029" w:hanging="360"/>
      </w:pPr>
      <w:rPr>
        <w:rFonts w:ascii="Wingdings" w:hAnsi="Wingdings" w:hint="default"/>
      </w:rPr>
    </w:lvl>
    <w:lvl w:ilvl="6" w:tplc="6512E290" w:tentative="1">
      <w:start w:val="1"/>
      <w:numFmt w:val="bullet"/>
      <w:lvlText w:val=""/>
      <w:lvlJc w:val="left"/>
      <w:pPr>
        <w:ind w:left="5749" w:hanging="360"/>
      </w:pPr>
      <w:rPr>
        <w:rFonts w:ascii="Symbol" w:hAnsi="Symbol" w:hint="default"/>
      </w:rPr>
    </w:lvl>
    <w:lvl w:ilvl="7" w:tplc="58726EA8" w:tentative="1">
      <w:start w:val="1"/>
      <w:numFmt w:val="bullet"/>
      <w:lvlText w:val="o"/>
      <w:lvlJc w:val="left"/>
      <w:pPr>
        <w:ind w:left="6469" w:hanging="360"/>
      </w:pPr>
      <w:rPr>
        <w:rFonts w:ascii="Courier New" w:hAnsi="Courier New" w:cs="Courier New" w:hint="default"/>
      </w:rPr>
    </w:lvl>
    <w:lvl w:ilvl="8" w:tplc="9558D88E"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A6048C36">
      <w:start w:val="1"/>
      <w:numFmt w:val="bullet"/>
      <w:lvlText w:val=""/>
      <w:lvlJc w:val="left"/>
      <w:pPr>
        <w:ind w:left="720" w:hanging="360"/>
      </w:pPr>
      <w:rPr>
        <w:rFonts w:ascii="Wingdings" w:hAnsi="Wingdings" w:hint="default"/>
      </w:rPr>
    </w:lvl>
    <w:lvl w:ilvl="1" w:tplc="55224D42" w:tentative="1">
      <w:start w:val="1"/>
      <w:numFmt w:val="bullet"/>
      <w:lvlText w:val="o"/>
      <w:lvlJc w:val="left"/>
      <w:pPr>
        <w:ind w:left="1440" w:hanging="360"/>
      </w:pPr>
      <w:rPr>
        <w:rFonts w:ascii="Courier New" w:hAnsi="Courier New" w:cs="Courier New" w:hint="default"/>
      </w:rPr>
    </w:lvl>
    <w:lvl w:ilvl="2" w:tplc="5CD4A314" w:tentative="1">
      <w:start w:val="1"/>
      <w:numFmt w:val="bullet"/>
      <w:lvlText w:val=""/>
      <w:lvlJc w:val="left"/>
      <w:pPr>
        <w:ind w:left="2160" w:hanging="360"/>
      </w:pPr>
      <w:rPr>
        <w:rFonts w:ascii="Wingdings" w:hAnsi="Wingdings" w:hint="default"/>
      </w:rPr>
    </w:lvl>
    <w:lvl w:ilvl="3" w:tplc="B88EACBE" w:tentative="1">
      <w:start w:val="1"/>
      <w:numFmt w:val="bullet"/>
      <w:lvlText w:val=""/>
      <w:lvlJc w:val="left"/>
      <w:pPr>
        <w:ind w:left="2880" w:hanging="360"/>
      </w:pPr>
      <w:rPr>
        <w:rFonts w:ascii="Symbol" w:hAnsi="Symbol" w:hint="default"/>
      </w:rPr>
    </w:lvl>
    <w:lvl w:ilvl="4" w:tplc="A7A4C4EA" w:tentative="1">
      <w:start w:val="1"/>
      <w:numFmt w:val="bullet"/>
      <w:lvlText w:val="o"/>
      <w:lvlJc w:val="left"/>
      <w:pPr>
        <w:ind w:left="3600" w:hanging="360"/>
      </w:pPr>
      <w:rPr>
        <w:rFonts w:ascii="Courier New" w:hAnsi="Courier New" w:cs="Courier New" w:hint="default"/>
      </w:rPr>
    </w:lvl>
    <w:lvl w:ilvl="5" w:tplc="EFAC5746" w:tentative="1">
      <w:start w:val="1"/>
      <w:numFmt w:val="bullet"/>
      <w:lvlText w:val=""/>
      <w:lvlJc w:val="left"/>
      <w:pPr>
        <w:ind w:left="4320" w:hanging="360"/>
      </w:pPr>
      <w:rPr>
        <w:rFonts w:ascii="Wingdings" w:hAnsi="Wingdings" w:hint="default"/>
      </w:rPr>
    </w:lvl>
    <w:lvl w:ilvl="6" w:tplc="A1CA50FA" w:tentative="1">
      <w:start w:val="1"/>
      <w:numFmt w:val="bullet"/>
      <w:lvlText w:val=""/>
      <w:lvlJc w:val="left"/>
      <w:pPr>
        <w:ind w:left="5040" w:hanging="360"/>
      </w:pPr>
      <w:rPr>
        <w:rFonts w:ascii="Symbol" w:hAnsi="Symbol" w:hint="default"/>
      </w:rPr>
    </w:lvl>
    <w:lvl w:ilvl="7" w:tplc="F1DAF090" w:tentative="1">
      <w:start w:val="1"/>
      <w:numFmt w:val="bullet"/>
      <w:lvlText w:val="o"/>
      <w:lvlJc w:val="left"/>
      <w:pPr>
        <w:ind w:left="5760" w:hanging="360"/>
      </w:pPr>
      <w:rPr>
        <w:rFonts w:ascii="Courier New" w:hAnsi="Courier New" w:cs="Courier New" w:hint="default"/>
      </w:rPr>
    </w:lvl>
    <w:lvl w:ilvl="8" w:tplc="8596307A"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3EA815F4">
      <w:start w:val="1"/>
      <w:numFmt w:val="bullet"/>
      <w:lvlText w:val=""/>
      <w:lvlJc w:val="left"/>
      <w:pPr>
        <w:ind w:left="720" w:hanging="360"/>
      </w:pPr>
      <w:rPr>
        <w:rFonts w:ascii="Wingdings" w:hAnsi="Wingdings" w:hint="default"/>
        <w:color w:val="E1000F"/>
      </w:rPr>
    </w:lvl>
    <w:lvl w:ilvl="1" w:tplc="75DA8970" w:tentative="1">
      <w:start w:val="1"/>
      <w:numFmt w:val="bullet"/>
      <w:lvlText w:val="o"/>
      <w:lvlJc w:val="left"/>
      <w:pPr>
        <w:ind w:left="1440" w:hanging="360"/>
      </w:pPr>
      <w:rPr>
        <w:rFonts w:ascii="Courier New" w:hAnsi="Courier New" w:cs="Courier New" w:hint="default"/>
      </w:rPr>
    </w:lvl>
    <w:lvl w:ilvl="2" w:tplc="33C6AAC8" w:tentative="1">
      <w:start w:val="1"/>
      <w:numFmt w:val="bullet"/>
      <w:lvlText w:val=""/>
      <w:lvlJc w:val="left"/>
      <w:pPr>
        <w:ind w:left="2160" w:hanging="360"/>
      </w:pPr>
      <w:rPr>
        <w:rFonts w:ascii="Wingdings" w:hAnsi="Wingdings" w:hint="default"/>
      </w:rPr>
    </w:lvl>
    <w:lvl w:ilvl="3" w:tplc="57B2CFE4" w:tentative="1">
      <w:start w:val="1"/>
      <w:numFmt w:val="bullet"/>
      <w:lvlText w:val=""/>
      <w:lvlJc w:val="left"/>
      <w:pPr>
        <w:ind w:left="2880" w:hanging="360"/>
      </w:pPr>
      <w:rPr>
        <w:rFonts w:ascii="Symbol" w:hAnsi="Symbol" w:hint="default"/>
      </w:rPr>
    </w:lvl>
    <w:lvl w:ilvl="4" w:tplc="0154757E" w:tentative="1">
      <w:start w:val="1"/>
      <w:numFmt w:val="bullet"/>
      <w:lvlText w:val="o"/>
      <w:lvlJc w:val="left"/>
      <w:pPr>
        <w:ind w:left="3600" w:hanging="360"/>
      </w:pPr>
      <w:rPr>
        <w:rFonts w:ascii="Courier New" w:hAnsi="Courier New" w:cs="Courier New" w:hint="default"/>
      </w:rPr>
    </w:lvl>
    <w:lvl w:ilvl="5" w:tplc="DF56889A" w:tentative="1">
      <w:start w:val="1"/>
      <w:numFmt w:val="bullet"/>
      <w:lvlText w:val=""/>
      <w:lvlJc w:val="left"/>
      <w:pPr>
        <w:ind w:left="4320" w:hanging="360"/>
      </w:pPr>
      <w:rPr>
        <w:rFonts w:ascii="Wingdings" w:hAnsi="Wingdings" w:hint="default"/>
      </w:rPr>
    </w:lvl>
    <w:lvl w:ilvl="6" w:tplc="1944CC42" w:tentative="1">
      <w:start w:val="1"/>
      <w:numFmt w:val="bullet"/>
      <w:lvlText w:val=""/>
      <w:lvlJc w:val="left"/>
      <w:pPr>
        <w:ind w:left="5040" w:hanging="360"/>
      </w:pPr>
      <w:rPr>
        <w:rFonts w:ascii="Symbol" w:hAnsi="Symbol" w:hint="default"/>
      </w:rPr>
    </w:lvl>
    <w:lvl w:ilvl="7" w:tplc="7F2C5456" w:tentative="1">
      <w:start w:val="1"/>
      <w:numFmt w:val="bullet"/>
      <w:lvlText w:val="o"/>
      <w:lvlJc w:val="left"/>
      <w:pPr>
        <w:ind w:left="5760" w:hanging="360"/>
      </w:pPr>
      <w:rPr>
        <w:rFonts w:ascii="Courier New" w:hAnsi="Courier New" w:cs="Courier New" w:hint="default"/>
      </w:rPr>
    </w:lvl>
    <w:lvl w:ilvl="8" w:tplc="D46A9F5E"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889061A2">
      <w:start w:val="1"/>
      <w:numFmt w:val="bullet"/>
      <w:pStyle w:val="He01FlietextAufzhlung2Ebene"/>
      <w:lvlText w:val="–"/>
      <w:lvlJc w:val="left"/>
      <w:pPr>
        <w:ind w:left="700" w:hanging="360"/>
      </w:pPr>
      <w:rPr>
        <w:rFonts w:ascii="Segoe UI" w:hAnsi="Segoe UI" w:hint="default"/>
        <w:color w:val="E1000F"/>
      </w:rPr>
    </w:lvl>
    <w:lvl w:ilvl="1" w:tplc="DF346990" w:tentative="1">
      <w:start w:val="1"/>
      <w:numFmt w:val="bullet"/>
      <w:lvlText w:val="o"/>
      <w:lvlJc w:val="left"/>
      <w:pPr>
        <w:ind w:left="1780" w:hanging="360"/>
      </w:pPr>
      <w:rPr>
        <w:rFonts w:ascii="Courier New" w:hAnsi="Courier New" w:cs="Courier New" w:hint="default"/>
      </w:rPr>
    </w:lvl>
    <w:lvl w:ilvl="2" w:tplc="35044110" w:tentative="1">
      <w:start w:val="1"/>
      <w:numFmt w:val="bullet"/>
      <w:lvlText w:val=""/>
      <w:lvlJc w:val="left"/>
      <w:pPr>
        <w:ind w:left="2500" w:hanging="360"/>
      </w:pPr>
      <w:rPr>
        <w:rFonts w:ascii="Wingdings" w:hAnsi="Wingdings" w:hint="default"/>
      </w:rPr>
    </w:lvl>
    <w:lvl w:ilvl="3" w:tplc="56043DC0" w:tentative="1">
      <w:start w:val="1"/>
      <w:numFmt w:val="bullet"/>
      <w:lvlText w:val=""/>
      <w:lvlJc w:val="left"/>
      <w:pPr>
        <w:ind w:left="3220" w:hanging="360"/>
      </w:pPr>
      <w:rPr>
        <w:rFonts w:ascii="Symbol" w:hAnsi="Symbol" w:hint="default"/>
      </w:rPr>
    </w:lvl>
    <w:lvl w:ilvl="4" w:tplc="5A40C234" w:tentative="1">
      <w:start w:val="1"/>
      <w:numFmt w:val="bullet"/>
      <w:lvlText w:val="o"/>
      <w:lvlJc w:val="left"/>
      <w:pPr>
        <w:ind w:left="3940" w:hanging="360"/>
      </w:pPr>
      <w:rPr>
        <w:rFonts w:ascii="Courier New" w:hAnsi="Courier New" w:cs="Courier New" w:hint="default"/>
      </w:rPr>
    </w:lvl>
    <w:lvl w:ilvl="5" w:tplc="D5966696" w:tentative="1">
      <w:start w:val="1"/>
      <w:numFmt w:val="bullet"/>
      <w:lvlText w:val=""/>
      <w:lvlJc w:val="left"/>
      <w:pPr>
        <w:ind w:left="4660" w:hanging="360"/>
      </w:pPr>
      <w:rPr>
        <w:rFonts w:ascii="Wingdings" w:hAnsi="Wingdings" w:hint="default"/>
      </w:rPr>
    </w:lvl>
    <w:lvl w:ilvl="6" w:tplc="0FDA6BD6" w:tentative="1">
      <w:start w:val="1"/>
      <w:numFmt w:val="bullet"/>
      <w:lvlText w:val=""/>
      <w:lvlJc w:val="left"/>
      <w:pPr>
        <w:ind w:left="5380" w:hanging="360"/>
      </w:pPr>
      <w:rPr>
        <w:rFonts w:ascii="Symbol" w:hAnsi="Symbol" w:hint="default"/>
      </w:rPr>
    </w:lvl>
    <w:lvl w:ilvl="7" w:tplc="60D68874" w:tentative="1">
      <w:start w:val="1"/>
      <w:numFmt w:val="bullet"/>
      <w:lvlText w:val="o"/>
      <w:lvlJc w:val="left"/>
      <w:pPr>
        <w:ind w:left="6100" w:hanging="360"/>
      </w:pPr>
      <w:rPr>
        <w:rFonts w:ascii="Courier New" w:hAnsi="Courier New" w:cs="Courier New" w:hint="default"/>
      </w:rPr>
    </w:lvl>
    <w:lvl w:ilvl="8" w:tplc="4378B438"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A3268354">
      <w:start w:val="1"/>
      <w:numFmt w:val="bullet"/>
      <w:lvlText w:val=""/>
      <w:lvlJc w:val="left"/>
      <w:pPr>
        <w:ind w:left="1004" w:hanging="360"/>
      </w:pPr>
      <w:rPr>
        <w:rFonts w:ascii="Wingdings" w:hAnsi="Wingdings" w:hint="default"/>
        <w:sz w:val="24"/>
        <w:szCs w:val="24"/>
      </w:rPr>
    </w:lvl>
    <w:lvl w:ilvl="1" w:tplc="915A9A7E" w:tentative="1">
      <w:start w:val="1"/>
      <w:numFmt w:val="bullet"/>
      <w:lvlText w:val="o"/>
      <w:lvlJc w:val="left"/>
      <w:pPr>
        <w:ind w:left="1724" w:hanging="360"/>
      </w:pPr>
      <w:rPr>
        <w:rFonts w:ascii="Courier New" w:hAnsi="Courier New" w:cs="Courier New" w:hint="default"/>
      </w:rPr>
    </w:lvl>
    <w:lvl w:ilvl="2" w:tplc="81FE8D76" w:tentative="1">
      <w:start w:val="1"/>
      <w:numFmt w:val="bullet"/>
      <w:lvlText w:val=""/>
      <w:lvlJc w:val="left"/>
      <w:pPr>
        <w:ind w:left="2444" w:hanging="360"/>
      </w:pPr>
      <w:rPr>
        <w:rFonts w:ascii="Wingdings" w:hAnsi="Wingdings" w:hint="default"/>
      </w:rPr>
    </w:lvl>
    <w:lvl w:ilvl="3" w:tplc="6E647FC0" w:tentative="1">
      <w:start w:val="1"/>
      <w:numFmt w:val="bullet"/>
      <w:lvlText w:val=""/>
      <w:lvlJc w:val="left"/>
      <w:pPr>
        <w:ind w:left="3164" w:hanging="360"/>
      </w:pPr>
      <w:rPr>
        <w:rFonts w:ascii="Symbol" w:hAnsi="Symbol" w:hint="default"/>
      </w:rPr>
    </w:lvl>
    <w:lvl w:ilvl="4" w:tplc="6BC6FEFE" w:tentative="1">
      <w:start w:val="1"/>
      <w:numFmt w:val="bullet"/>
      <w:lvlText w:val="o"/>
      <w:lvlJc w:val="left"/>
      <w:pPr>
        <w:ind w:left="3884" w:hanging="360"/>
      </w:pPr>
      <w:rPr>
        <w:rFonts w:ascii="Courier New" w:hAnsi="Courier New" w:cs="Courier New" w:hint="default"/>
      </w:rPr>
    </w:lvl>
    <w:lvl w:ilvl="5" w:tplc="04C07C34" w:tentative="1">
      <w:start w:val="1"/>
      <w:numFmt w:val="bullet"/>
      <w:lvlText w:val=""/>
      <w:lvlJc w:val="left"/>
      <w:pPr>
        <w:ind w:left="4604" w:hanging="360"/>
      </w:pPr>
      <w:rPr>
        <w:rFonts w:ascii="Wingdings" w:hAnsi="Wingdings" w:hint="default"/>
      </w:rPr>
    </w:lvl>
    <w:lvl w:ilvl="6" w:tplc="7C2E785C" w:tentative="1">
      <w:start w:val="1"/>
      <w:numFmt w:val="bullet"/>
      <w:lvlText w:val=""/>
      <w:lvlJc w:val="left"/>
      <w:pPr>
        <w:ind w:left="5324" w:hanging="360"/>
      </w:pPr>
      <w:rPr>
        <w:rFonts w:ascii="Symbol" w:hAnsi="Symbol" w:hint="default"/>
      </w:rPr>
    </w:lvl>
    <w:lvl w:ilvl="7" w:tplc="DADE0F3C" w:tentative="1">
      <w:start w:val="1"/>
      <w:numFmt w:val="bullet"/>
      <w:lvlText w:val="o"/>
      <w:lvlJc w:val="left"/>
      <w:pPr>
        <w:ind w:left="6044" w:hanging="360"/>
      </w:pPr>
      <w:rPr>
        <w:rFonts w:ascii="Courier New" w:hAnsi="Courier New" w:cs="Courier New" w:hint="default"/>
      </w:rPr>
    </w:lvl>
    <w:lvl w:ilvl="8" w:tplc="D2721120"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B032E638">
      <w:start w:val="1"/>
      <w:numFmt w:val="bullet"/>
      <w:lvlText w:val=""/>
      <w:lvlJc w:val="left"/>
      <w:pPr>
        <w:ind w:left="360" w:hanging="360"/>
      </w:pPr>
      <w:rPr>
        <w:rFonts w:ascii="Wingdings" w:hAnsi="Wingdings" w:hint="default"/>
        <w:color w:val="E1000F"/>
      </w:rPr>
    </w:lvl>
    <w:lvl w:ilvl="1" w:tplc="8AE05680">
      <w:start w:val="1"/>
      <w:numFmt w:val="bullet"/>
      <w:lvlText w:val=""/>
      <w:lvlJc w:val="left"/>
      <w:pPr>
        <w:ind w:left="1440" w:hanging="360"/>
      </w:pPr>
      <w:rPr>
        <w:rFonts w:ascii="Wingdings" w:hAnsi="Wingdings" w:hint="default"/>
      </w:rPr>
    </w:lvl>
    <w:lvl w:ilvl="2" w:tplc="BD1C714E">
      <w:start w:val="1"/>
      <w:numFmt w:val="bullet"/>
      <w:lvlText w:val=""/>
      <w:lvlJc w:val="left"/>
      <w:pPr>
        <w:ind w:left="2160" w:hanging="360"/>
      </w:pPr>
      <w:rPr>
        <w:rFonts w:ascii="Wingdings" w:hAnsi="Wingdings" w:hint="default"/>
      </w:rPr>
    </w:lvl>
    <w:lvl w:ilvl="3" w:tplc="5548190E">
      <w:start w:val="1"/>
      <w:numFmt w:val="bullet"/>
      <w:lvlText w:val=""/>
      <w:lvlJc w:val="left"/>
      <w:pPr>
        <w:ind w:left="2880" w:hanging="360"/>
      </w:pPr>
      <w:rPr>
        <w:rFonts w:ascii="Symbol" w:hAnsi="Symbol" w:hint="default"/>
      </w:rPr>
    </w:lvl>
    <w:lvl w:ilvl="4" w:tplc="A6B86814">
      <w:start w:val="1"/>
      <w:numFmt w:val="bullet"/>
      <w:lvlText w:val="o"/>
      <w:lvlJc w:val="left"/>
      <w:pPr>
        <w:ind w:left="3600" w:hanging="360"/>
      </w:pPr>
      <w:rPr>
        <w:rFonts w:ascii="Courier New" w:hAnsi="Courier New" w:cs="Courier New" w:hint="default"/>
      </w:rPr>
    </w:lvl>
    <w:lvl w:ilvl="5" w:tplc="3D8C7D12">
      <w:start w:val="1"/>
      <w:numFmt w:val="bullet"/>
      <w:lvlText w:val=""/>
      <w:lvlJc w:val="left"/>
      <w:pPr>
        <w:ind w:left="4320" w:hanging="360"/>
      </w:pPr>
      <w:rPr>
        <w:rFonts w:ascii="Wingdings" w:hAnsi="Wingdings" w:hint="default"/>
      </w:rPr>
    </w:lvl>
    <w:lvl w:ilvl="6" w:tplc="A996898C">
      <w:start w:val="1"/>
      <w:numFmt w:val="bullet"/>
      <w:lvlText w:val=""/>
      <w:lvlJc w:val="left"/>
      <w:pPr>
        <w:ind w:left="5040" w:hanging="360"/>
      </w:pPr>
      <w:rPr>
        <w:rFonts w:ascii="Symbol" w:hAnsi="Symbol" w:hint="default"/>
      </w:rPr>
    </w:lvl>
    <w:lvl w:ilvl="7" w:tplc="2400787C">
      <w:start w:val="1"/>
      <w:numFmt w:val="bullet"/>
      <w:lvlText w:val="o"/>
      <w:lvlJc w:val="left"/>
      <w:pPr>
        <w:ind w:left="5760" w:hanging="360"/>
      </w:pPr>
      <w:rPr>
        <w:rFonts w:ascii="Courier New" w:hAnsi="Courier New" w:cs="Courier New" w:hint="default"/>
      </w:rPr>
    </w:lvl>
    <w:lvl w:ilvl="8" w:tplc="BBAC5602">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6EAA1214">
      <w:start w:val="1"/>
      <w:numFmt w:val="bullet"/>
      <w:lvlText w:val=""/>
      <w:lvlJc w:val="left"/>
      <w:pPr>
        <w:ind w:left="360" w:hanging="360"/>
      </w:pPr>
      <w:rPr>
        <w:rFonts w:ascii="Wingdings" w:hAnsi="Wingdings" w:hint="default"/>
        <w:color w:val="E1000F"/>
        <w:sz w:val="24"/>
        <w:szCs w:val="24"/>
      </w:rPr>
    </w:lvl>
    <w:lvl w:ilvl="1" w:tplc="C8CE1630">
      <w:numFmt w:val="bullet"/>
      <w:lvlText w:val="-"/>
      <w:lvlJc w:val="left"/>
      <w:pPr>
        <w:ind w:left="1080" w:hanging="360"/>
      </w:pPr>
      <w:rPr>
        <w:rFonts w:ascii="Arial" w:hAnsi="Arial" w:hint="default"/>
        <w:color w:val="FF0000"/>
      </w:rPr>
    </w:lvl>
    <w:lvl w:ilvl="2" w:tplc="8A30D79E" w:tentative="1">
      <w:start w:val="1"/>
      <w:numFmt w:val="bullet"/>
      <w:lvlText w:val=""/>
      <w:lvlJc w:val="left"/>
      <w:pPr>
        <w:ind w:left="1800" w:hanging="360"/>
      </w:pPr>
      <w:rPr>
        <w:rFonts w:ascii="Wingdings" w:hAnsi="Wingdings" w:cs="Wingdings" w:hint="default"/>
      </w:rPr>
    </w:lvl>
    <w:lvl w:ilvl="3" w:tplc="8B7444E0" w:tentative="1">
      <w:start w:val="1"/>
      <w:numFmt w:val="bullet"/>
      <w:lvlText w:val=""/>
      <w:lvlJc w:val="left"/>
      <w:pPr>
        <w:ind w:left="2520" w:hanging="360"/>
      </w:pPr>
      <w:rPr>
        <w:rFonts w:ascii="Symbol" w:hAnsi="Symbol" w:cs="Symbol" w:hint="default"/>
      </w:rPr>
    </w:lvl>
    <w:lvl w:ilvl="4" w:tplc="A5F433EA" w:tentative="1">
      <w:start w:val="1"/>
      <w:numFmt w:val="bullet"/>
      <w:lvlText w:val="o"/>
      <w:lvlJc w:val="left"/>
      <w:pPr>
        <w:ind w:left="3240" w:hanging="360"/>
      </w:pPr>
      <w:rPr>
        <w:rFonts w:ascii="Courier New" w:hAnsi="Courier New" w:cs="Courier New" w:hint="default"/>
      </w:rPr>
    </w:lvl>
    <w:lvl w:ilvl="5" w:tplc="046C0CDA" w:tentative="1">
      <w:start w:val="1"/>
      <w:numFmt w:val="bullet"/>
      <w:lvlText w:val=""/>
      <w:lvlJc w:val="left"/>
      <w:pPr>
        <w:ind w:left="3960" w:hanging="360"/>
      </w:pPr>
      <w:rPr>
        <w:rFonts w:ascii="Wingdings" w:hAnsi="Wingdings" w:cs="Wingdings" w:hint="default"/>
      </w:rPr>
    </w:lvl>
    <w:lvl w:ilvl="6" w:tplc="4D5E94E4" w:tentative="1">
      <w:start w:val="1"/>
      <w:numFmt w:val="bullet"/>
      <w:lvlText w:val=""/>
      <w:lvlJc w:val="left"/>
      <w:pPr>
        <w:ind w:left="4680" w:hanging="360"/>
      </w:pPr>
      <w:rPr>
        <w:rFonts w:ascii="Symbol" w:hAnsi="Symbol" w:cs="Symbol" w:hint="default"/>
      </w:rPr>
    </w:lvl>
    <w:lvl w:ilvl="7" w:tplc="7E3413FC" w:tentative="1">
      <w:start w:val="1"/>
      <w:numFmt w:val="bullet"/>
      <w:lvlText w:val="o"/>
      <w:lvlJc w:val="left"/>
      <w:pPr>
        <w:ind w:left="5400" w:hanging="360"/>
      </w:pPr>
      <w:rPr>
        <w:rFonts w:ascii="Courier New" w:hAnsi="Courier New" w:cs="Courier New" w:hint="default"/>
      </w:rPr>
    </w:lvl>
    <w:lvl w:ilvl="8" w:tplc="EEA26536"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8A266210">
      <w:start w:val="1"/>
      <w:numFmt w:val="bullet"/>
      <w:lvlText w:val=""/>
      <w:lvlJc w:val="left"/>
      <w:pPr>
        <w:ind w:left="1004" w:hanging="360"/>
      </w:pPr>
      <w:rPr>
        <w:rFonts w:ascii="Wingdings" w:hAnsi="Wingdings" w:hint="default"/>
      </w:rPr>
    </w:lvl>
    <w:lvl w:ilvl="1" w:tplc="80F809E0" w:tentative="1">
      <w:start w:val="1"/>
      <w:numFmt w:val="bullet"/>
      <w:lvlText w:val="o"/>
      <w:lvlJc w:val="left"/>
      <w:pPr>
        <w:ind w:left="1724" w:hanging="360"/>
      </w:pPr>
      <w:rPr>
        <w:rFonts w:ascii="Courier New" w:hAnsi="Courier New" w:cs="Courier New" w:hint="default"/>
      </w:rPr>
    </w:lvl>
    <w:lvl w:ilvl="2" w:tplc="2C2E2748" w:tentative="1">
      <w:start w:val="1"/>
      <w:numFmt w:val="bullet"/>
      <w:lvlText w:val=""/>
      <w:lvlJc w:val="left"/>
      <w:pPr>
        <w:ind w:left="2444" w:hanging="360"/>
      </w:pPr>
      <w:rPr>
        <w:rFonts w:ascii="Wingdings" w:hAnsi="Wingdings" w:hint="default"/>
      </w:rPr>
    </w:lvl>
    <w:lvl w:ilvl="3" w:tplc="409C224A" w:tentative="1">
      <w:start w:val="1"/>
      <w:numFmt w:val="bullet"/>
      <w:lvlText w:val=""/>
      <w:lvlJc w:val="left"/>
      <w:pPr>
        <w:ind w:left="3164" w:hanging="360"/>
      </w:pPr>
      <w:rPr>
        <w:rFonts w:ascii="Symbol" w:hAnsi="Symbol" w:hint="default"/>
      </w:rPr>
    </w:lvl>
    <w:lvl w:ilvl="4" w:tplc="D8606012" w:tentative="1">
      <w:start w:val="1"/>
      <w:numFmt w:val="bullet"/>
      <w:lvlText w:val="o"/>
      <w:lvlJc w:val="left"/>
      <w:pPr>
        <w:ind w:left="3884" w:hanging="360"/>
      </w:pPr>
      <w:rPr>
        <w:rFonts w:ascii="Courier New" w:hAnsi="Courier New" w:cs="Courier New" w:hint="default"/>
      </w:rPr>
    </w:lvl>
    <w:lvl w:ilvl="5" w:tplc="FF945F24" w:tentative="1">
      <w:start w:val="1"/>
      <w:numFmt w:val="bullet"/>
      <w:lvlText w:val=""/>
      <w:lvlJc w:val="left"/>
      <w:pPr>
        <w:ind w:left="4604" w:hanging="360"/>
      </w:pPr>
      <w:rPr>
        <w:rFonts w:ascii="Wingdings" w:hAnsi="Wingdings" w:hint="default"/>
      </w:rPr>
    </w:lvl>
    <w:lvl w:ilvl="6" w:tplc="52309504" w:tentative="1">
      <w:start w:val="1"/>
      <w:numFmt w:val="bullet"/>
      <w:lvlText w:val=""/>
      <w:lvlJc w:val="left"/>
      <w:pPr>
        <w:ind w:left="5324" w:hanging="360"/>
      </w:pPr>
      <w:rPr>
        <w:rFonts w:ascii="Symbol" w:hAnsi="Symbol" w:hint="default"/>
      </w:rPr>
    </w:lvl>
    <w:lvl w:ilvl="7" w:tplc="5DD05EF4" w:tentative="1">
      <w:start w:val="1"/>
      <w:numFmt w:val="bullet"/>
      <w:lvlText w:val="o"/>
      <w:lvlJc w:val="left"/>
      <w:pPr>
        <w:ind w:left="6044" w:hanging="360"/>
      </w:pPr>
      <w:rPr>
        <w:rFonts w:ascii="Courier New" w:hAnsi="Courier New" w:cs="Courier New" w:hint="default"/>
      </w:rPr>
    </w:lvl>
    <w:lvl w:ilvl="8" w:tplc="445AAE2A"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4712ECF0">
      <w:start w:val="1"/>
      <w:numFmt w:val="bullet"/>
      <w:lvlText w:val=""/>
      <w:lvlJc w:val="left"/>
      <w:pPr>
        <w:ind w:left="720" w:hanging="360"/>
      </w:pPr>
      <w:rPr>
        <w:rFonts w:ascii="Wingdings" w:hAnsi="Wingdings" w:hint="default"/>
        <w:color w:val="E1000F"/>
      </w:rPr>
    </w:lvl>
    <w:lvl w:ilvl="1" w:tplc="7ABAC8D4">
      <w:start w:val="1"/>
      <w:numFmt w:val="bullet"/>
      <w:lvlText w:val=""/>
      <w:lvlJc w:val="left"/>
      <w:pPr>
        <w:ind w:left="1440" w:hanging="360"/>
      </w:pPr>
      <w:rPr>
        <w:rFonts w:ascii="Wingdings" w:hAnsi="Wingdings" w:hint="default"/>
        <w:color w:val="E1000F"/>
      </w:rPr>
    </w:lvl>
    <w:lvl w:ilvl="2" w:tplc="E062CC7A" w:tentative="1">
      <w:start w:val="1"/>
      <w:numFmt w:val="bullet"/>
      <w:lvlText w:val=""/>
      <w:lvlJc w:val="left"/>
      <w:pPr>
        <w:ind w:left="2160" w:hanging="360"/>
      </w:pPr>
      <w:rPr>
        <w:rFonts w:ascii="Wingdings" w:hAnsi="Wingdings" w:hint="default"/>
      </w:rPr>
    </w:lvl>
    <w:lvl w:ilvl="3" w:tplc="E35AA2CC" w:tentative="1">
      <w:start w:val="1"/>
      <w:numFmt w:val="bullet"/>
      <w:lvlText w:val=""/>
      <w:lvlJc w:val="left"/>
      <w:pPr>
        <w:ind w:left="2880" w:hanging="360"/>
      </w:pPr>
      <w:rPr>
        <w:rFonts w:ascii="Symbol" w:hAnsi="Symbol" w:hint="default"/>
      </w:rPr>
    </w:lvl>
    <w:lvl w:ilvl="4" w:tplc="ECF89638" w:tentative="1">
      <w:start w:val="1"/>
      <w:numFmt w:val="bullet"/>
      <w:lvlText w:val="o"/>
      <w:lvlJc w:val="left"/>
      <w:pPr>
        <w:ind w:left="3600" w:hanging="360"/>
      </w:pPr>
      <w:rPr>
        <w:rFonts w:ascii="Courier New" w:hAnsi="Courier New" w:cs="Courier New" w:hint="default"/>
      </w:rPr>
    </w:lvl>
    <w:lvl w:ilvl="5" w:tplc="57408F06" w:tentative="1">
      <w:start w:val="1"/>
      <w:numFmt w:val="bullet"/>
      <w:lvlText w:val=""/>
      <w:lvlJc w:val="left"/>
      <w:pPr>
        <w:ind w:left="4320" w:hanging="360"/>
      </w:pPr>
      <w:rPr>
        <w:rFonts w:ascii="Wingdings" w:hAnsi="Wingdings" w:hint="default"/>
      </w:rPr>
    </w:lvl>
    <w:lvl w:ilvl="6" w:tplc="6C9AE300" w:tentative="1">
      <w:start w:val="1"/>
      <w:numFmt w:val="bullet"/>
      <w:lvlText w:val=""/>
      <w:lvlJc w:val="left"/>
      <w:pPr>
        <w:ind w:left="5040" w:hanging="360"/>
      </w:pPr>
      <w:rPr>
        <w:rFonts w:ascii="Symbol" w:hAnsi="Symbol" w:hint="default"/>
      </w:rPr>
    </w:lvl>
    <w:lvl w:ilvl="7" w:tplc="FA68F2C4" w:tentative="1">
      <w:start w:val="1"/>
      <w:numFmt w:val="bullet"/>
      <w:lvlText w:val="o"/>
      <w:lvlJc w:val="left"/>
      <w:pPr>
        <w:ind w:left="5760" w:hanging="360"/>
      </w:pPr>
      <w:rPr>
        <w:rFonts w:ascii="Courier New" w:hAnsi="Courier New" w:cs="Courier New" w:hint="default"/>
      </w:rPr>
    </w:lvl>
    <w:lvl w:ilvl="8" w:tplc="DDA80FFA"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DC5AF6C8">
      <w:numFmt w:val="bullet"/>
      <w:lvlText w:val="-"/>
      <w:lvlJc w:val="left"/>
      <w:pPr>
        <w:ind w:left="720" w:hanging="360"/>
      </w:pPr>
      <w:rPr>
        <w:rFonts w:ascii="Arial" w:eastAsia="Times New Roman" w:hAnsi="Arial" w:cs="Arial" w:hint="default"/>
      </w:rPr>
    </w:lvl>
    <w:lvl w:ilvl="1" w:tplc="04FA5A6A" w:tentative="1">
      <w:start w:val="1"/>
      <w:numFmt w:val="bullet"/>
      <w:lvlText w:val="o"/>
      <w:lvlJc w:val="left"/>
      <w:pPr>
        <w:ind w:left="1440" w:hanging="360"/>
      </w:pPr>
      <w:rPr>
        <w:rFonts w:ascii="Courier New" w:hAnsi="Courier New" w:cs="Courier New" w:hint="default"/>
      </w:rPr>
    </w:lvl>
    <w:lvl w:ilvl="2" w:tplc="26F62942" w:tentative="1">
      <w:start w:val="1"/>
      <w:numFmt w:val="bullet"/>
      <w:lvlText w:val=""/>
      <w:lvlJc w:val="left"/>
      <w:pPr>
        <w:ind w:left="2160" w:hanging="360"/>
      </w:pPr>
      <w:rPr>
        <w:rFonts w:ascii="Wingdings" w:hAnsi="Wingdings" w:hint="default"/>
      </w:rPr>
    </w:lvl>
    <w:lvl w:ilvl="3" w:tplc="367A4832" w:tentative="1">
      <w:start w:val="1"/>
      <w:numFmt w:val="bullet"/>
      <w:lvlText w:val=""/>
      <w:lvlJc w:val="left"/>
      <w:pPr>
        <w:ind w:left="2880" w:hanging="360"/>
      </w:pPr>
      <w:rPr>
        <w:rFonts w:ascii="Symbol" w:hAnsi="Symbol" w:hint="default"/>
      </w:rPr>
    </w:lvl>
    <w:lvl w:ilvl="4" w:tplc="304A110E" w:tentative="1">
      <w:start w:val="1"/>
      <w:numFmt w:val="bullet"/>
      <w:lvlText w:val="o"/>
      <w:lvlJc w:val="left"/>
      <w:pPr>
        <w:ind w:left="3600" w:hanging="360"/>
      </w:pPr>
      <w:rPr>
        <w:rFonts w:ascii="Courier New" w:hAnsi="Courier New" w:cs="Courier New" w:hint="default"/>
      </w:rPr>
    </w:lvl>
    <w:lvl w:ilvl="5" w:tplc="C09CCAD6" w:tentative="1">
      <w:start w:val="1"/>
      <w:numFmt w:val="bullet"/>
      <w:lvlText w:val=""/>
      <w:lvlJc w:val="left"/>
      <w:pPr>
        <w:ind w:left="4320" w:hanging="360"/>
      </w:pPr>
      <w:rPr>
        <w:rFonts w:ascii="Wingdings" w:hAnsi="Wingdings" w:hint="default"/>
      </w:rPr>
    </w:lvl>
    <w:lvl w:ilvl="6" w:tplc="2EF02510" w:tentative="1">
      <w:start w:val="1"/>
      <w:numFmt w:val="bullet"/>
      <w:lvlText w:val=""/>
      <w:lvlJc w:val="left"/>
      <w:pPr>
        <w:ind w:left="5040" w:hanging="360"/>
      </w:pPr>
      <w:rPr>
        <w:rFonts w:ascii="Symbol" w:hAnsi="Symbol" w:hint="default"/>
      </w:rPr>
    </w:lvl>
    <w:lvl w:ilvl="7" w:tplc="4C5CBAAA" w:tentative="1">
      <w:start w:val="1"/>
      <w:numFmt w:val="bullet"/>
      <w:lvlText w:val="o"/>
      <w:lvlJc w:val="left"/>
      <w:pPr>
        <w:ind w:left="5760" w:hanging="360"/>
      </w:pPr>
      <w:rPr>
        <w:rFonts w:ascii="Courier New" w:hAnsi="Courier New" w:cs="Courier New" w:hint="default"/>
      </w:rPr>
    </w:lvl>
    <w:lvl w:ilvl="8" w:tplc="BCEE84EE"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26BE9B58">
      <w:start w:val="1"/>
      <w:numFmt w:val="bullet"/>
      <w:lvlText w:val=""/>
      <w:lvlJc w:val="left"/>
      <w:pPr>
        <w:ind w:left="720" w:hanging="360"/>
      </w:pPr>
      <w:rPr>
        <w:rFonts w:ascii="Wingdings" w:hAnsi="Wingdings" w:hint="default"/>
        <w:color w:val="E1000F"/>
      </w:rPr>
    </w:lvl>
    <w:lvl w:ilvl="1" w:tplc="0DA016F0">
      <w:start w:val="1"/>
      <w:numFmt w:val="bullet"/>
      <w:lvlText w:val=""/>
      <w:lvlJc w:val="left"/>
      <w:pPr>
        <w:ind w:left="1440" w:hanging="360"/>
      </w:pPr>
      <w:rPr>
        <w:rFonts w:ascii="Wingdings" w:hAnsi="Wingdings" w:hint="default"/>
        <w:color w:val="E1000F"/>
      </w:rPr>
    </w:lvl>
    <w:lvl w:ilvl="2" w:tplc="5F465E68" w:tentative="1">
      <w:start w:val="1"/>
      <w:numFmt w:val="bullet"/>
      <w:lvlText w:val=""/>
      <w:lvlJc w:val="left"/>
      <w:pPr>
        <w:ind w:left="2160" w:hanging="360"/>
      </w:pPr>
      <w:rPr>
        <w:rFonts w:ascii="Wingdings" w:hAnsi="Wingdings" w:hint="default"/>
      </w:rPr>
    </w:lvl>
    <w:lvl w:ilvl="3" w:tplc="3A38032C" w:tentative="1">
      <w:start w:val="1"/>
      <w:numFmt w:val="bullet"/>
      <w:lvlText w:val=""/>
      <w:lvlJc w:val="left"/>
      <w:pPr>
        <w:ind w:left="2880" w:hanging="360"/>
      </w:pPr>
      <w:rPr>
        <w:rFonts w:ascii="Symbol" w:hAnsi="Symbol" w:hint="default"/>
      </w:rPr>
    </w:lvl>
    <w:lvl w:ilvl="4" w:tplc="05669BDE" w:tentative="1">
      <w:start w:val="1"/>
      <w:numFmt w:val="bullet"/>
      <w:lvlText w:val="o"/>
      <w:lvlJc w:val="left"/>
      <w:pPr>
        <w:ind w:left="3600" w:hanging="360"/>
      </w:pPr>
      <w:rPr>
        <w:rFonts w:ascii="Courier New" w:hAnsi="Courier New" w:cs="Courier New" w:hint="default"/>
      </w:rPr>
    </w:lvl>
    <w:lvl w:ilvl="5" w:tplc="FEE8D73A" w:tentative="1">
      <w:start w:val="1"/>
      <w:numFmt w:val="bullet"/>
      <w:lvlText w:val=""/>
      <w:lvlJc w:val="left"/>
      <w:pPr>
        <w:ind w:left="4320" w:hanging="360"/>
      </w:pPr>
      <w:rPr>
        <w:rFonts w:ascii="Wingdings" w:hAnsi="Wingdings" w:hint="default"/>
      </w:rPr>
    </w:lvl>
    <w:lvl w:ilvl="6" w:tplc="506E154E" w:tentative="1">
      <w:start w:val="1"/>
      <w:numFmt w:val="bullet"/>
      <w:lvlText w:val=""/>
      <w:lvlJc w:val="left"/>
      <w:pPr>
        <w:ind w:left="5040" w:hanging="360"/>
      </w:pPr>
      <w:rPr>
        <w:rFonts w:ascii="Symbol" w:hAnsi="Symbol" w:hint="default"/>
      </w:rPr>
    </w:lvl>
    <w:lvl w:ilvl="7" w:tplc="BCC8FBD8" w:tentative="1">
      <w:start w:val="1"/>
      <w:numFmt w:val="bullet"/>
      <w:lvlText w:val="o"/>
      <w:lvlJc w:val="left"/>
      <w:pPr>
        <w:ind w:left="5760" w:hanging="360"/>
      </w:pPr>
      <w:rPr>
        <w:rFonts w:ascii="Courier New" w:hAnsi="Courier New" w:cs="Courier New" w:hint="default"/>
      </w:rPr>
    </w:lvl>
    <w:lvl w:ilvl="8" w:tplc="0F5CAEEA"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0E1A4258">
      <w:start w:val="1"/>
      <w:numFmt w:val="bullet"/>
      <w:lvlText w:val=""/>
      <w:lvlJc w:val="left"/>
      <w:pPr>
        <w:ind w:left="720" w:hanging="360"/>
      </w:pPr>
      <w:rPr>
        <w:rFonts w:ascii="Wingdings" w:hAnsi="Wingdings" w:hint="default"/>
        <w:color w:val="E1000F"/>
      </w:rPr>
    </w:lvl>
    <w:lvl w:ilvl="1" w:tplc="9EC8EFD4" w:tentative="1">
      <w:start w:val="1"/>
      <w:numFmt w:val="bullet"/>
      <w:lvlText w:val="o"/>
      <w:lvlJc w:val="left"/>
      <w:pPr>
        <w:ind w:left="1440" w:hanging="360"/>
      </w:pPr>
      <w:rPr>
        <w:rFonts w:ascii="Courier New" w:hAnsi="Courier New" w:cs="Courier New" w:hint="default"/>
      </w:rPr>
    </w:lvl>
    <w:lvl w:ilvl="2" w:tplc="1AD0008E" w:tentative="1">
      <w:start w:val="1"/>
      <w:numFmt w:val="bullet"/>
      <w:lvlText w:val=""/>
      <w:lvlJc w:val="left"/>
      <w:pPr>
        <w:ind w:left="2160" w:hanging="360"/>
      </w:pPr>
      <w:rPr>
        <w:rFonts w:ascii="Wingdings" w:hAnsi="Wingdings" w:hint="default"/>
      </w:rPr>
    </w:lvl>
    <w:lvl w:ilvl="3" w:tplc="916C5386" w:tentative="1">
      <w:start w:val="1"/>
      <w:numFmt w:val="bullet"/>
      <w:lvlText w:val=""/>
      <w:lvlJc w:val="left"/>
      <w:pPr>
        <w:ind w:left="2880" w:hanging="360"/>
      </w:pPr>
      <w:rPr>
        <w:rFonts w:ascii="Symbol" w:hAnsi="Symbol" w:hint="default"/>
      </w:rPr>
    </w:lvl>
    <w:lvl w:ilvl="4" w:tplc="CA8E29E0" w:tentative="1">
      <w:start w:val="1"/>
      <w:numFmt w:val="bullet"/>
      <w:lvlText w:val="o"/>
      <w:lvlJc w:val="left"/>
      <w:pPr>
        <w:ind w:left="3600" w:hanging="360"/>
      </w:pPr>
      <w:rPr>
        <w:rFonts w:ascii="Courier New" w:hAnsi="Courier New" w:cs="Courier New" w:hint="default"/>
      </w:rPr>
    </w:lvl>
    <w:lvl w:ilvl="5" w:tplc="FFA4DB2E" w:tentative="1">
      <w:start w:val="1"/>
      <w:numFmt w:val="bullet"/>
      <w:lvlText w:val=""/>
      <w:lvlJc w:val="left"/>
      <w:pPr>
        <w:ind w:left="4320" w:hanging="360"/>
      </w:pPr>
      <w:rPr>
        <w:rFonts w:ascii="Wingdings" w:hAnsi="Wingdings" w:hint="default"/>
      </w:rPr>
    </w:lvl>
    <w:lvl w:ilvl="6" w:tplc="0C28B116" w:tentative="1">
      <w:start w:val="1"/>
      <w:numFmt w:val="bullet"/>
      <w:lvlText w:val=""/>
      <w:lvlJc w:val="left"/>
      <w:pPr>
        <w:ind w:left="5040" w:hanging="360"/>
      </w:pPr>
      <w:rPr>
        <w:rFonts w:ascii="Symbol" w:hAnsi="Symbol" w:hint="default"/>
      </w:rPr>
    </w:lvl>
    <w:lvl w:ilvl="7" w:tplc="1FF430D0" w:tentative="1">
      <w:start w:val="1"/>
      <w:numFmt w:val="bullet"/>
      <w:lvlText w:val="o"/>
      <w:lvlJc w:val="left"/>
      <w:pPr>
        <w:ind w:left="5760" w:hanging="360"/>
      </w:pPr>
      <w:rPr>
        <w:rFonts w:ascii="Courier New" w:hAnsi="Courier New" w:cs="Courier New" w:hint="default"/>
      </w:rPr>
    </w:lvl>
    <w:lvl w:ilvl="8" w:tplc="0F9AF7E0"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D3982FB0">
      <w:start w:val="1"/>
      <w:numFmt w:val="bullet"/>
      <w:lvlText w:val=""/>
      <w:lvlJc w:val="left"/>
      <w:pPr>
        <w:ind w:left="720" w:hanging="360"/>
      </w:pPr>
      <w:rPr>
        <w:rFonts w:ascii="Wingdings" w:hAnsi="Wingdings" w:hint="default"/>
        <w:color w:val="E1000F"/>
      </w:rPr>
    </w:lvl>
    <w:lvl w:ilvl="1" w:tplc="F4AAC766" w:tentative="1">
      <w:start w:val="1"/>
      <w:numFmt w:val="bullet"/>
      <w:lvlText w:val="o"/>
      <w:lvlJc w:val="left"/>
      <w:pPr>
        <w:ind w:left="1440" w:hanging="360"/>
      </w:pPr>
      <w:rPr>
        <w:rFonts w:ascii="Courier New" w:hAnsi="Courier New" w:cs="Courier New" w:hint="default"/>
      </w:rPr>
    </w:lvl>
    <w:lvl w:ilvl="2" w:tplc="20C698A0" w:tentative="1">
      <w:start w:val="1"/>
      <w:numFmt w:val="bullet"/>
      <w:lvlText w:val=""/>
      <w:lvlJc w:val="left"/>
      <w:pPr>
        <w:ind w:left="2160" w:hanging="360"/>
      </w:pPr>
      <w:rPr>
        <w:rFonts w:ascii="Wingdings" w:hAnsi="Wingdings" w:hint="default"/>
      </w:rPr>
    </w:lvl>
    <w:lvl w:ilvl="3" w:tplc="DADE25FE" w:tentative="1">
      <w:start w:val="1"/>
      <w:numFmt w:val="bullet"/>
      <w:lvlText w:val=""/>
      <w:lvlJc w:val="left"/>
      <w:pPr>
        <w:ind w:left="2880" w:hanging="360"/>
      </w:pPr>
      <w:rPr>
        <w:rFonts w:ascii="Symbol" w:hAnsi="Symbol" w:hint="default"/>
      </w:rPr>
    </w:lvl>
    <w:lvl w:ilvl="4" w:tplc="FAE492A4" w:tentative="1">
      <w:start w:val="1"/>
      <w:numFmt w:val="bullet"/>
      <w:lvlText w:val="o"/>
      <w:lvlJc w:val="left"/>
      <w:pPr>
        <w:ind w:left="3600" w:hanging="360"/>
      </w:pPr>
      <w:rPr>
        <w:rFonts w:ascii="Courier New" w:hAnsi="Courier New" w:cs="Courier New" w:hint="default"/>
      </w:rPr>
    </w:lvl>
    <w:lvl w:ilvl="5" w:tplc="3FB6903C" w:tentative="1">
      <w:start w:val="1"/>
      <w:numFmt w:val="bullet"/>
      <w:lvlText w:val=""/>
      <w:lvlJc w:val="left"/>
      <w:pPr>
        <w:ind w:left="4320" w:hanging="360"/>
      </w:pPr>
      <w:rPr>
        <w:rFonts w:ascii="Wingdings" w:hAnsi="Wingdings" w:hint="default"/>
      </w:rPr>
    </w:lvl>
    <w:lvl w:ilvl="6" w:tplc="DFB81AC8" w:tentative="1">
      <w:start w:val="1"/>
      <w:numFmt w:val="bullet"/>
      <w:lvlText w:val=""/>
      <w:lvlJc w:val="left"/>
      <w:pPr>
        <w:ind w:left="5040" w:hanging="360"/>
      </w:pPr>
      <w:rPr>
        <w:rFonts w:ascii="Symbol" w:hAnsi="Symbol" w:hint="default"/>
      </w:rPr>
    </w:lvl>
    <w:lvl w:ilvl="7" w:tplc="D7B608FA" w:tentative="1">
      <w:start w:val="1"/>
      <w:numFmt w:val="bullet"/>
      <w:lvlText w:val="o"/>
      <w:lvlJc w:val="left"/>
      <w:pPr>
        <w:ind w:left="5760" w:hanging="360"/>
      </w:pPr>
      <w:rPr>
        <w:rFonts w:ascii="Courier New" w:hAnsi="Courier New" w:cs="Courier New" w:hint="default"/>
      </w:rPr>
    </w:lvl>
    <w:lvl w:ilvl="8" w:tplc="C6FE8C1C"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E4D8C1E2">
      <w:start w:val="1"/>
      <w:numFmt w:val="bullet"/>
      <w:lvlText w:val=""/>
      <w:lvlJc w:val="left"/>
      <w:pPr>
        <w:ind w:left="786" w:hanging="360"/>
      </w:pPr>
      <w:rPr>
        <w:rFonts w:ascii="Wingdings" w:hAnsi="Wingdings" w:hint="default"/>
        <w:sz w:val="24"/>
        <w:szCs w:val="24"/>
      </w:rPr>
    </w:lvl>
    <w:lvl w:ilvl="1" w:tplc="AA341E16">
      <w:start w:val="1"/>
      <w:numFmt w:val="bullet"/>
      <w:lvlText w:val=""/>
      <w:lvlJc w:val="left"/>
      <w:pPr>
        <w:ind w:left="1440" w:hanging="360"/>
      </w:pPr>
      <w:rPr>
        <w:rFonts w:ascii="Wingdings" w:hAnsi="Wingdings" w:hint="default"/>
      </w:rPr>
    </w:lvl>
    <w:lvl w:ilvl="2" w:tplc="82CE77B6" w:tentative="1">
      <w:start w:val="1"/>
      <w:numFmt w:val="bullet"/>
      <w:lvlText w:val=""/>
      <w:lvlJc w:val="left"/>
      <w:pPr>
        <w:ind w:left="2160" w:hanging="360"/>
      </w:pPr>
      <w:rPr>
        <w:rFonts w:ascii="Wingdings" w:hAnsi="Wingdings" w:hint="default"/>
      </w:rPr>
    </w:lvl>
    <w:lvl w:ilvl="3" w:tplc="1876DCB2" w:tentative="1">
      <w:start w:val="1"/>
      <w:numFmt w:val="bullet"/>
      <w:lvlText w:val=""/>
      <w:lvlJc w:val="left"/>
      <w:pPr>
        <w:ind w:left="2880" w:hanging="360"/>
      </w:pPr>
      <w:rPr>
        <w:rFonts w:ascii="Symbol" w:hAnsi="Symbol" w:hint="default"/>
      </w:rPr>
    </w:lvl>
    <w:lvl w:ilvl="4" w:tplc="2C0400FA" w:tentative="1">
      <w:start w:val="1"/>
      <w:numFmt w:val="bullet"/>
      <w:lvlText w:val="o"/>
      <w:lvlJc w:val="left"/>
      <w:pPr>
        <w:ind w:left="3600" w:hanging="360"/>
      </w:pPr>
      <w:rPr>
        <w:rFonts w:ascii="Courier New" w:hAnsi="Courier New" w:cs="Courier New" w:hint="default"/>
      </w:rPr>
    </w:lvl>
    <w:lvl w:ilvl="5" w:tplc="BAD2C25A" w:tentative="1">
      <w:start w:val="1"/>
      <w:numFmt w:val="bullet"/>
      <w:lvlText w:val=""/>
      <w:lvlJc w:val="left"/>
      <w:pPr>
        <w:ind w:left="4320" w:hanging="360"/>
      </w:pPr>
      <w:rPr>
        <w:rFonts w:ascii="Wingdings" w:hAnsi="Wingdings" w:hint="default"/>
      </w:rPr>
    </w:lvl>
    <w:lvl w:ilvl="6" w:tplc="A14A451C" w:tentative="1">
      <w:start w:val="1"/>
      <w:numFmt w:val="bullet"/>
      <w:lvlText w:val=""/>
      <w:lvlJc w:val="left"/>
      <w:pPr>
        <w:ind w:left="5040" w:hanging="360"/>
      </w:pPr>
      <w:rPr>
        <w:rFonts w:ascii="Symbol" w:hAnsi="Symbol" w:hint="default"/>
      </w:rPr>
    </w:lvl>
    <w:lvl w:ilvl="7" w:tplc="A1B2910A" w:tentative="1">
      <w:start w:val="1"/>
      <w:numFmt w:val="bullet"/>
      <w:lvlText w:val="o"/>
      <w:lvlJc w:val="left"/>
      <w:pPr>
        <w:ind w:left="5760" w:hanging="360"/>
      </w:pPr>
      <w:rPr>
        <w:rFonts w:ascii="Courier New" w:hAnsi="Courier New" w:cs="Courier New" w:hint="default"/>
      </w:rPr>
    </w:lvl>
    <w:lvl w:ilvl="8" w:tplc="ABF6A4A0"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69D8EC16">
      <w:start w:val="1"/>
      <w:numFmt w:val="bullet"/>
      <w:lvlText w:val=""/>
      <w:lvlJc w:val="left"/>
      <w:pPr>
        <w:ind w:left="720" w:hanging="360"/>
      </w:pPr>
      <w:rPr>
        <w:rFonts w:ascii="Wingdings" w:hAnsi="Wingdings" w:hint="default"/>
        <w:color w:val="E1000F"/>
      </w:rPr>
    </w:lvl>
    <w:lvl w:ilvl="1" w:tplc="BB1A453C">
      <w:start w:val="1"/>
      <w:numFmt w:val="bullet"/>
      <w:lvlText w:val="o"/>
      <w:lvlJc w:val="left"/>
      <w:pPr>
        <w:ind w:left="1440" w:hanging="360"/>
      </w:pPr>
      <w:rPr>
        <w:rFonts w:ascii="Courier New" w:hAnsi="Courier New" w:cs="Courier New" w:hint="default"/>
      </w:rPr>
    </w:lvl>
    <w:lvl w:ilvl="2" w:tplc="6C86D6EA" w:tentative="1">
      <w:start w:val="1"/>
      <w:numFmt w:val="bullet"/>
      <w:lvlText w:val=""/>
      <w:lvlJc w:val="left"/>
      <w:pPr>
        <w:ind w:left="2160" w:hanging="360"/>
      </w:pPr>
      <w:rPr>
        <w:rFonts w:ascii="Wingdings" w:hAnsi="Wingdings" w:hint="default"/>
      </w:rPr>
    </w:lvl>
    <w:lvl w:ilvl="3" w:tplc="602A9D3C" w:tentative="1">
      <w:start w:val="1"/>
      <w:numFmt w:val="bullet"/>
      <w:lvlText w:val=""/>
      <w:lvlJc w:val="left"/>
      <w:pPr>
        <w:ind w:left="2880" w:hanging="360"/>
      </w:pPr>
      <w:rPr>
        <w:rFonts w:ascii="Symbol" w:hAnsi="Symbol" w:hint="default"/>
      </w:rPr>
    </w:lvl>
    <w:lvl w:ilvl="4" w:tplc="964EB6C8" w:tentative="1">
      <w:start w:val="1"/>
      <w:numFmt w:val="bullet"/>
      <w:lvlText w:val="o"/>
      <w:lvlJc w:val="left"/>
      <w:pPr>
        <w:ind w:left="3600" w:hanging="360"/>
      </w:pPr>
      <w:rPr>
        <w:rFonts w:ascii="Courier New" w:hAnsi="Courier New" w:cs="Courier New" w:hint="default"/>
      </w:rPr>
    </w:lvl>
    <w:lvl w:ilvl="5" w:tplc="C71E55E4" w:tentative="1">
      <w:start w:val="1"/>
      <w:numFmt w:val="bullet"/>
      <w:lvlText w:val=""/>
      <w:lvlJc w:val="left"/>
      <w:pPr>
        <w:ind w:left="4320" w:hanging="360"/>
      </w:pPr>
      <w:rPr>
        <w:rFonts w:ascii="Wingdings" w:hAnsi="Wingdings" w:hint="default"/>
      </w:rPr>
    </w:lvl>
    <w:lvl w:ilvl="6" w:tplc="8FF2CE14" w:tentative="1">
      <w:start w:val="1"/>
      <w:numFmt w:val="bullet"/>
      <w:lvlText w:val=""/>
      <w:lvlJc w:val="left"/>
      <w:pPr>
        <w:ind w:left="5040" w:hanging="360"/>
      </w:pPr>
      <w:rPr>
        <w:rFonts w:ascii="Symbol" w:hAnsi="Symbol" w:hint="default"/>
      </w:rPr>
    </w:lvl>
    <w:lvl w:ilvl="7" w:tplc="6C6AC112" w:tentative="1">
      <w:start w:val="1"/>
      <w:numFmt w:val="bullet"/>
      <w:lvlText w:val="o"/>
      <w:lvlJc w:val="left"/>
      <w:pPr>
        <w:ind w:left="5760" w:hanging="360"/>
      </w:pPr>
      <w:rPr>
        <w:rFonts w:ascii="Courier New" w:hAnsi="Courier New" w:cs="Courier New" w:hint="default"/>
      </w:rPr>
    </w:lvl>
    <w:lvl w:ilvl="8" w:tplc="6450D31E"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EB4EC21A">
      <w:start w:val="1"/>
      <w:numFmt w:val="bullet"/>
      <w:lvlText w:val=""/>
      <w:lvlJc w:val="left"/>
      <w:pPr>
        <w:ind w:left="360" w:hanging="360"/>
      </w:pPr>
      <w:rPr>
        <w:rFonts w:ascii="Wingdings" w:hAnsi="Wingdings" w:hint="default"/>
        <w:color w:val="E1000F"/>
      </w:rPr>
    </w:lvl>
    <w:lvl w:ilvl="1" w:tplc="13BA2832">
      <w:start w:val="1"/>
      <w:numFmt w:val="bullet"/>
      <w:lvlText w:val="o"/>
      <w:lvlJc w:val="left"/>
      <w:pPr>
        <w:ind w:left="1440" w:hanging="360"/>
      </w:pPr>
      <w:rPr>
        <w:rFonts w:ascii="Courier New" w:hAnsi="Courier New" w:cs="Courier New" w:hint="default"/>
      </w:rPr>
    </w:lvl>
    <w:lvl w:ilvl="2" w:tplc="8F60CD0C">
      <w:start w:val="1"/>
      <w:numFmt w:val="bullet"/>
      <w:lvlText w:val=""/>
      <w:lvlJc w:val="left"/>
      <w:pPr>
        <w:ind w:left="2160" w:hanging="360"/>
      </w:pPr>
      <w:rPr>
        <w:rFonts w:ascii="Wingdings" w:hAnsi="Wingdings" w:hint="default"/>
      </w:rPr>
    </w:lvl>
    <w:lvl w:ilvl="3" w:tplc="028CF53C">
      <w:start w:val="1"/>
      <w:numFmt w:val="bullet"/>
      <w:lvlText w:val=""/>
      <w:lvlJc w:val="left"/>
      <w:pPr>
        <w:ind w:left="2880" w:hanging="360"/>
      </w:pPr>
      <w:rPr>
        <w:rFonts w:ascii="Symbol" w:hAnsi="Symbol" w:hint="default"/>
      </w:rPr>
    </w:lvl>
    <w:lvl w:ilvl="4" w:tplc="B70E2092">
      <w:start w:val="1"/>
      <w:numFmt w:val="bullet"/>
      <w:lvlText w:val="o"/>
      <w:lvlJc w:val="left"/>
      <w:pPr>
        <w:ind w:left="3600" w:hanging="360"/>
      </w:pPr>
      <w:rPr>
        <w:rFonts w:ascii="Courier New" w:hAnsi="Courier New" w:cs="Courier New" w:hint="default"/>
      </w:rPr>
    </w:lvl>
    <w:lvl w:ilvl="5" w:tplc="FAD440F4">
      <w:start w:val="1"/>
      <w:numFmt w:val="bullet"/>
      <w:lvlText w:val=""/>
      <w:lvlJc w:val="left"/>
      <w:pPr>
        <w:ind w:left="4320" w:hanging="360"/>
      </w:pPr>
      <w:rPr>
        <w:rFonts w:ascii="Wingdings" w:hAnsi="Wingdings" w:hint="default"/>
      </w:rPr>
    </w:lvl>
    <w:lvl w:ilvl="6" w:tplc="22428078">
      <w:start w:val="1"/>
      <w:numFmt w:val="bullet"/>
      <w:lvlText w:val=""/>
      <w:lvlJc w:val="left"/>
      <w:pPr>
        <w:ind w:left="5040" w:hanging="360"/>
      </w:pPr>
      <w:rPr>
        <w:rFonts w:ascii="Symbol" w:hAnsi="Symbol" w:hint="default"/>
      </w:rPr>
    </w:lvl>
    <w:lvl w:ilvl="7" w:tplc="1B74883E">
      <w:start w:val="1"/>
      <w:numFmt w:val="bullet"/>
      <w:lvlText w:val="o"/>
      <w:lvlJc w:val="left"/>
      <w:pPr>
        <w:ind w:left="5760" w:hanging="360"/>
      </w:pPr>
      <w:rPr>
        <w:rFonts w:ascii="Courier New" w:hAnsi="Courier New" w:cs="Courier New" w:hint="default"/>
      </w:rPr>
    </w:lvl>
    <w:lvl w:ilvl="8" w:tplc="27AC71A4">
      <w:start w:val="1"/>
      <w:numFmt w:val="bullet"/>
      <w:lvlText w:val=""/>
      <w:lvlJc w:val="left"/>
      <w:pPr>
        <w:ind w:left="6480" w:hanging="360"/>
      </w:pPr>
      <w:rPr>
        <w:rFonts w:ascii="Wingdings" w:hAnsi="Wingdings" w:hint="default"/>
      </w:rPr>
    </w:lvl>
  </w:abstractNum>
  <w:num w:numId="1" w16cid:durableId="1400439927">
    <w:abstractNumId w:val="2"/>
  </w:num>
  <w:num w:numId="2" w16cid:durableId="680618969">
    <w:abstractNumId w:val="1"/>
  </w:num>
  <w:num w:numId="3" w16cid:durableId="388461275">
    <w:abstractNumId w:val="16"/>
  </w:num>
  <w:num w:numId="4" w16cid:durableId="26222527">
    <w:abstractNumId w:val="10"/>
  </w:num>
  <w:num w:numId="5" w16cid:durableId="874805619">
    <w:abstractNumId w:val="7"/>
  </w:num>
  <w:num w:numId="6" w16cid:durableId="195705859">
    <w:abstractNumId w:val="12"/>
  </w:num>
  <w:num w:numId="7" w16cid:durableId="1167669614">
    <w:abstractNumId w:val="9"/>
  </w:num>
  <w:num w:numId="8" w16cid:durableId="443771199">
    <w:abstractNumId w:val="15"/>
  </w:num>
  <w:num w:numId="9" w16cid:durableId="1880320093">
    <w:abstractNumId w:val="0"/>
  </w:num>
  <w:num w:numId="10" w16cid:durableId="1282032167">
    <w:abstractNumId w:val="18"/>
  </w:num>
  <w:num w:numId="11" w16cid:durableId="326053631">
    <w:abstractNumId w:val="8"/>
  </w:num>
  <w:num w:numId="12" w16cid:durableId="2078235194">
    <w:abstractNumId w:val="0"/>
  </w:num>
  <w:num w:numId="13" w16cid:durableId="101844883">
    <w:abstractNumId w:val="3"/>
  </w:num>
  <w:num w:numId="14" w16cid:durableId="925845240">
    <w:abstractNumId w:val="4"/>
  </w:num>
  <w:num w:numId="15" w16cid:durableId="426468588">
    <w:abstractNumId w:val="17"/>
  </w:num>
  <w:num w:numId="16" w16cid:durableId="2010672934">
    <w:abstractNumId w:val="13"/>
  </w:num>
  <w:num w:numId="17" w16cid:durableId="481193770">
    <w:abstractNumId w:val="11"/>
  </w:num>
  <w:num w:numId="18" w16cid:durableId="1798451957">
    <w:abstractNumId w:val="5"/>
  </w:num>
  <w:num w:numId="19" w16cid:durableId="2052145709">
    <w:abstractNumId w:val="14"/>
  </w:num>
  <w:num w:numId="20" w16cid:durableId="567768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52B"/>
    <w:rsid w:val="00003675"/>
    <w:rsid w:val="00003D6C"/>
    <w:rsid w:val="00004F3C"/>
    <w:rsid w:val="000050F2"/>
    <w:rsid w:val="00005267"/>
    <w:rsid w:val="000056B9"/>
    <w:rsid w:val="00006346"/>
    <w:rsid w:val="000069EB"/>
    <w:rsid w:val="00006A45"/>
    <w:rsid w:val="000070A8"/>
    <w:rsid w:val="0000752F"/>
    <w:rsid w:val="00012E70"/>
    <w:rsid w:val="000136FE"/>
    <w:rsid w:val="00014FC1"/>
    <w:rsid w:val="000157C5"/>
    <w:rsid w:val="00016137"/>
    <w:rsid w:val="00017575"/>
    <w:rsid w:val="000201CB"/>
    <w:rsid w:val="00020DC3"/>
    <w:rsid w:val="00021C67"/>
    <w:rsid w:val="00024147"/>
    <w:rsid w:val="00024284"/>
    <w:rsid w:val="00024483"/>
    <w:rsid w:val="000256A9"/>
    <w:rsid w:val="00026EEE"/>
    <w:rsid w:val="000301F0"/>
    <w:rsid w:val="00030557"/>
    <w:rsid w:val="00030701"/>
    <w:rsid w:val="00030F51"/>
    <w:rsid w:val="00031E51"/>
    <w:rsid w:val="00033476"/>
    <w:rsid w:val="000343EB"/>
    <w:rsid w:val="00034E59"/>
    <w:rsid w:val="00035A84"/>
    <w:rsid w:val="00035CFA"/>
    <w:rsid w:val="00037933"/>
    <w:rsid w:val="00040390"/>
    <w:rsid w:val="00040816"/>
    <w:rsid w:val="00040CC9"/>
    <w:rsid w:val="00041F81"/>
    <w:rsid w:val="000425ED"/>
    <w:rsid w:val="00045CCB"/>
    <w:rsid w:val="000510FC"/>
    <w:rsid w:val="00051555"/>
    <w:rsid w:val="00051E86"/>
    <w:rsid w:val="000527F1"/>
    <w:rsid w:val="00053487"/>
    <w:rsid w:val="00053C6A"/>
    <w:rsid w:val="00054AFE"/>
    <w:rsid w:val="0005544E"/>
    <w:rsid w:val="000570AE"/>
    <w:rsid w:val="000575F9"/>
    <w:rsid w:val="0006148D"/>
    <w:rsid w:val="000618FC"/>
    <w:rsid w:val="00063A02"/>
    <w:rsid w:val="00063BE9"/>
    <w:rsid w:val="00065466"/>
    <w:rsid w:val="000665F3"/>
    <w:rsid w:val="00066C4A"/>
    <w:rsid w:val="00067071"/>
    <w:rsid w:val="00067F67"/>
    <w:rsid w:val="00070652"/>
    <w:rsid w:val="00070757"/>
    <w:rsid w:val="00071284"/>
    <w:rsid w:val="00072F48"/>
    <w:rsid w:val="00073AED"/>
    <w:rsid w:val="00074942"/>
    <w:rsid w:val="000751A7"/>
    <w:rsid w:val="0007558F"/>
    <w:rsid w:val="000773D2"/>
    <w:rsid w:val="0007746E"/>
    <w:rsid w:val="00077AF9"/>
    <w:rsid w:val="0008051A"/>
    <w:rsid w:val="00080D10"/>
    <w:rsid w:val="00081107"/>
    <w:rsid w:val="00081241"/>
    <w:rsid w:val="00081692"/>
    <w:rsid w:val="00081EF8"/>
    <w:rsid w:val="00082417"/>
    <w:rsid w:val="0008357F"/>
    <w:rsid w:val="00083A35"/>
    <w:rsid w:val="00083A61"/>
    <w:rsid w:val="00083DAB"/>
    <w:rsid w:val="00083F9D"/>
    <w:rsid w:val="0008406B"/>
    <w:rsid w:val="00084918"/>
    <w:rsid w:val="0008581D"/>
    <w:rsid w:val="00085A1B"/>
    <w:rsid w:val="000903DB"/>
    <w:rsid w:val="00090DB6"/>
    <w:rsid w:val="00090E73"/>
    <w:rsid w:val="00091F11"/>
    <w:rsid w:val="00094235"/>
    <w:rsid w:val="00095ED7"/>
    <w:rsid w:val="00096AD4"/>
    <w:rsid w:val="00097DB9"/>
    <w:rsid w:val="000A05E0"/>
    <w:rsid w:val="000A06FB"/>
    <w:rsid w:val="000A0E27"/>
    <w:rsid w:val="000A31D3"/>
    <w:rsid w:val="000A4B52"/>
    <w:rsid w:val="000A50CF"/>
    <w:rsid w:val="000A511E"/>
    <w:rsid w:val="000A55F7"/>
    <w:rsid w:val="000A61DF"/>
    <w:rsid w:val="000A64B3"/>
    <w:rsid w:val="000A6C25"/>
    <w:rsid w:val="000A7533"/>
    <w:rsid w:val="000B005C"/>
    <w:rsid w:val="000B037D"/>
    <w:rsid w:val="000B10DE"/>
    <w:rsid w:val="000B2684"/>
    <w:rsid w:val="000B2E86"/>
    <w:rsid w:val="000B31E4"/>
    <w:rsid w:val="000B4E85"/>
    <w:rsid w:val="000B5D2F"/>
    <w:rsid w:val="000B5E32"/>
    <w:rsid w:val="000B6244"/>
    <w:rsid w:val="000B695A"/>
    <w:rsid w:val="000B72A8"/>
    <w:rsid w:val="000C00E0"/>
    <w:rsid w:val="000C210A"/>
    <w:rsid w:val="000C27E5"/>
    <w:rsid w:val="000C30D6"/>
    <w:rsid w:val="000C47D1"/>
    <w:rsid w:val="000C50A1"/>
    <w:rsid w:val="000C56DD"/>
    <w:rsid w:val="000C5AF7"/>
    <w:rsid w:val="000C5CFD"/>
    <w:rsid w:val="000C63F4"/>
    <w:rsid w:val="000C65FB"/>
    <w:rsid w:val="000C6600"/>
    <w:rsid w:val="000D09AF"/>
    <w:rsid w:val="000D11CB"/>
    <w:rsid w:val="000D14C4"/>
    <w:rsid w:val="000D1672"/>
    <w:rsid w:val="000D178A"/>
    <w:rsid w:val="000D18CE"/>
    <w:rsid w:val="000D203B"/>
    <w:rsid w:val="000D3C98"/>
    <w:rsid w:val="000D40C6"/>
    <w:rsid w:val="000D52F6"/>
    <w:rsid w:val="000D5A52"/>
    <w:rsid w:val="000D6C67"/>
    <w:rsid w:val="000D738C"/>
    <w:rsid w:val="000D7548"/>
    <w:rsid w:val="000E0CAB"/>
    <w:rsid w:val="000E1028"/>
    <w:rsid w:val="000E11D9"/>
    <w:rsid w:val="000E1B84"/>
    <w:rsid w:val="000E26BB"/>
    <w:rsid w:val="000E2F62"/>
    <w:rsid w:val="000E33CD"/>
    <w:rsid w:val="000E38ED"/>
    <w:rsid w:val="000E45C7"/>
    <w:rsid w:val="000E714B"/>
    <w:rsid w:val="000E745A"/>
    <w:rsid w:val="000E79CD"/>
    <w:rsid w:val="000E7F24"/>
    <w:rsid w:val="000F03BE"/>
    <w:rsid w:val="000F1757"/>
    <w:rsid w:val="000F225B"/>
    <w:rsid w:val="000F333E"/>
    <w:rsid w:val="000F41BC"/>
    <w:rsid w:val="000F48E9"/>
    <w:rsid w:val="000F4DAE"/>
    <w:rsid w:val="000F5F6D"/>
    <w:rsid w:val="000F7ADB"/>
    <w:rsid w:val="000F7FAF"/>
    <w:rsid w:val="0010048F"/>
    <w:rsid w:val="00100D8B"/>
    <w:rsid w:val="00100FC9"/>
    <w:rsid w:val="00102045"/>
    <w:rsid w:val="00102264"/>
    <w:rsid w:val="00103537"/>
    <w:rsid w:val="00103B01"/>
    <w:rsid w:val="0010421C"/>
    <w:rsid w:val="0010465B"/>
    <w:rsid w:val="00104F62"/>
    <w:rsid w:val="0010570F"/>
    <w:rsid w:val="00105975"/>
    <w:rsid w:val="00110090"/>
    <w:rsid w:val="00110D28"/>
    <w:rsid w:val="0011116D"/>
    <w:rsid w:val="00111386"/>
    <w:rsid w:val="001117E8"/>
    <w:rsid w:val="001118DF"/>
    <w:rsid w:val="00111F4D"/>
    <w:rsid w:val="00112A28"/>
    <w:rsid w:val="00113571"/>
    <w:rsid w:val="001135E4"/>
    <w:rsid w:val="0011370F"/>
    <w:rsid w:val="00114227"/>
    <w:rsid w:val="00114B27"/>
    <w:rsid w:val="00114DDF"/>
    <w:rsid w:val="00115230"/>
    <w:rsid w:val="00115B5F"/>
    <w:rsid w:val="001162B4"/>
    <w:rsid w:val="00116DF3"/>
    <w:rsid w:val="00117B1C"/>
    <w:rsid w:val="00122B90"/>
    <w:rsid w:val="00122CBC"/>
    <w:rsid w:val="0012414B"/>
    <w:rsid w:val="00124FA3"/>
    <w:rsid w:val="00126769"/>
    <w:rsid w:val="00126C65"/>
    <w:rsid w:val="00126D4A"/>
    <w:rsid w:val="00131762"/>
    <w:rsid w:val="001318EB"/>
    <w:rsid w:val="00132DA9"/>
    <w:rsid w:val="0013305B"/>
    <w:rsid w:val="00133B99"/>
    <w:rsid w:val="00135146"/>
    <w:rsid w:val="0013569C"/>
    <w:rsid w:val="00135939"/>
    <w:rsid w:val="001363CC"/>
    <w:rsid w:val="001369E3"/>
    <w:rsid w:val="001375DD"/>
    <w:rsid w:val="00140EE5"/>
    <w:rsid w:val="00141568"/>
    <w:rsid w:val="00142EFB"/>
    <w:rsid w:val="001438BF"/>
    <w:rsid w:val="001443BD"/>
    <w:rsid w:val="001443DA"/>
    <w:rsid w:val="00144A87"/>
    <w:rsid w:val="00144DD5"/>
    <w:rsid w:val="0014545C"/>
    <w:rsid w:val="00145B62"/>
    <w:rsid w:val="00146193"/>
    <w:rsid w:val="00146E78"/>
    <w:rsid w:val="00151C9F"/>
    <w:rsid w:val="00152022"/>
    <w:rsid w:val="00152026"/>
    <w:rsid w:val="00152A41"/>
    <w:rsid w:val="00153032"/>
    <w:rsid w:val="00155E7D"/>
    <w:rsid w:val="001577E9"/>
    <w:rsid w:val="00157A59"/>
    <w:rsid w:val="00157F37"/>
    <w:rsid w:val="00160045"/>
    <w:rsid w:val="001600D9"/>
    <w:rsid w:val="00160B8F"/>
    <w:rsid w:val="0016138C"/>
    <w:rsid w:val="00162D60"/>
    <w:rsid w:val="001640D5"/>
    <w:rsid w:val="0016441D"/>
    <w:rsid w:val="00164BE6"/>
    <w:rsid w:val="001653D7"/>
    <w:rsid w:val="001659FB"/>
    <w:rsid w:val="00166055"/>
    <w:rsid w:val="00166F97"/>
    <w:rsid w:val="001675E7"/>
    <w:rsid w:val="00171D3F"/>
    <w:rsid w:val="00171F59"/>
    <w:rsid w:val="00172C99"/>
    <w:rsid w:val="001731CE"/>
    <w:rsid w:val="00174C15"/>
    <w:rsid w:val="00175C72"/>
    <w:rsid w:val="00176E2A"/>
    <w:rsid w:val="00177B37"/>
    <w:rsid w:val="00180F93"/>
    <w:rsid w:val="001813A8"/>
    <w:rsid w:val="001814D5"/>
    <w:rsid w:val="00181B06"/>
    <w:rsid w:val="00185C3B"/>
    <w:rsid w:val="0018672E"/>
    <w:rsid w:val="00187A15"/>
    <w:rsid w:val="00191458"/>
    <w:rsid w:val="00191DD2"/>
    <w:rsid w:val="001928FC"/>
    <w:rsid w:val="00192DA5"/>
    <w:rsid w:val="00195A33"/>
    <w:rsid w:val="00196828"/>
    <w:rsid w:val="00196A14"/>
    <w:rsid w:val="00197E9B"/>
    <w:rsid w:val="001A1185"/>
    <w:rsid w:val="001A1FEB"/>
    <w:rsid w:val="001A3D77"/>
    <w:rsid w:val="001A4C03"/>
    <w:rsid w:val="001A52BB"/>
    <w:rsid w:val="001A74D9"/>
    <w:rsid w:val="001B0BBF"/>
    <w:rsid w:val="001B18FB"/>
    <w:rsid w:val="001B3094"/>
    <w:rsid w:val="001B30F7"/>
    <w:rsid w:val="001B31F0"/>
    <w:rsid w:val="001B4862"/>
    <w:rsid w:val="001B5147"/>
    <w:rsid w:val="001B65FF"/>
    <w:rsid w:val="001B710A"/>
    <w:rsid w:val="001B771D"/>
    <w:rsid w:val="001B7C20"/>
    <w:rsid w:val="001B7ED7"/>
    <w:rsid w:val="001C0B32"/>
    <w:rsid w:val="001C21A3"/>
    <w:rsid w:val="001C2D66"/>
    <w:rsid w:val="001C2D7B"/>
    <w:rsid w:val="001C36F7"/>
    <w:rsid w:val="001C4BE1"/>
    <w:rsid w:val="001C5338"/>
    <w:rsid w:val="001C5794"/>
    <w:rsid w:val="001C7F21"/>
    <w:rsid w:val="001D012C"/>
    <w:rsid w:val="001D1497"/>
    <w:rsid w:val="001D4F9E"/>
    <w:rsid w:val="001D5534"/>
    <w:rsid w:val="001D63D9"/>
    <w:rsid w:val="001D7294"/>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0494"/>
    <w:rsid w:val="001F11A1"/>
    <w:rsid w:val="001F19A0"/>
    <w:rsid w:val="001F1AB5"/>
    <w:rsid w:val="001F1BDF"/>
    <w:rsid w:val="001F1D6D"/>
    <w:rsid w:val="001F2366"/>
    <w:rsid w:val="001F30F0"/>
    <w:rsid w:val="001F35F8"/>
    <w:rsid w:val="001F39FC"/>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6C14"/>
    <w:rsid w:val="0020756B"/>
    <w:rsid w:val="00207E75"/>
    <w:rsid w:val="00210D86"/>
    <w:rsid w:val="002113EC"/>
    <w:rsid w:val="0021158F"/>
    <w:rsid w:val="00211ECC"/>
    <w:rsid w:val="002122EF"/>
    <w:rsid w:val="00212488"/>
    <w:rsid w:val="002129A6"/>
    <w:rsid w:val="002151DB"/>
    <w:rsid w:val="0021591A"/>
    <w:rsid w:val="00220628"/>
    <w:rsid w:val="00220B19"/>
    <w:rsid w:val="00221A45"/>
    <w:rsid w:val="00221BA0"/>
    <w:rsid w:val="00222DEE"/>
    <w:rsid w:val="00223B20"/>
    <w:rsid w:val="002260C7"/>
    <w:rsid w:val="00226986"/>
    <w:rsid w:val="002304D2"/>
    <w:rsid w:val="002314B0"/>
    <w:rsid w:val="00231D4E"/>
    <w:rsid w:val="002338C1"/>
    <w:rsid w:val="002338D3"/>
    <w:rsid w:val="00233D04"/>
    <w:rsid w:val="00234ABD"/>
    <w:rsid w:val="00235B97"/>
    <w:rsid w:val="00236491"/>
    <w:rsid w:val="00236C3B"/>
    <w:rsid w:val="00236E2A"/>
    <w:rsid w:val="002372B3"/>
    <w:rsid w:val="002376A9"/>
    <w:rsid w:val="00237F62"/>
    <w:rsid w:val="00240E4F"/>
    <w:rsid w:val="00241E10"/>
    <w:rsid w:val="00242A6B"/>
    <w:rsid w:val="00243505"/>
    <w:rsid w:val="0024458B"/>
    <w:rsid w:val="00245657"/>
    <w:rsid w:val="0024586A"/>
    <w:rsid w:val="0024601F"/>
    <w:rsid w:val="002468CE"/>
    <w:rsid w:val="002502E1"/>
    <w:rsid w:val="00250F80"/>
    <w:rsid w:val="0025124F"/>
    <w:rsid w:val="00251330"/>
    <w:rsid w:val="002518A2"/>
    <w:rsid w:val="002528B3"/>
    <w:rsid w:val="00252C95"/>
    <w:rsid w:val="00253C96"/>
    <w:rsid w:val="0025551F"/>
    <w:rsid w:val="00255F8C"/>
    <w:rsid w:val="00256174"/>
    <w:rsid w:val="002564EC"/>
    <w:rsid w:val="00256F0C"/>
    <w:rsid w:val="00257231"/>
    <w:rsid w:val="00260318"/>
    <w:rsid w:val="00261B24"/>
    <w:rsid w:val="00261C23"/>
    <w:rsid w:val="00262C05"/>
    <w:rsid w:val="0026342A"/>
    <w:rsid w:val="00263868"/>
    <w:rsid w:val="002640CF"/>
    <w:rsid w:val="00266359"/>
    <w:rsid w:val="002700A2"/>
    <w:rsid w:val="002715AF"/>
    <w:rsid w:val="002717F0"/>
    <w:rsid w:val="00272B9F"/>
    <w:rsid w:val="0027301C"/>
    <w:rsid w:val="00273099"/>
    <w:rsid w:val="00281B9B"/>
    <w:rsid w:val="00281BCB"/>
    <w:rsid w:val="00281D14"/>
    <w:rsid w:val="00281F6E"/>
    <w:rsid w:val="00282953"/>
    <w:rsid w:val="00282C13"/>
    <w:rsid w:val="002833D8"/>
    <w:rsid w:val="00285669"/>
    <w:rsid w:val="00286BF6"/>
    <w:rsid w:val="00287337"/>
    <w:rsid w:val="00287DEE"/>
    <w:rsid w:val="002903B7"/>
    <w:rsid w:val="00291992"/>
    <w:rsid w:val="002923A5"/>
    <w:rsid w:val="00294EB3"/>
    <w:rsid w:val="0029598A"/>
    <w:rsid w:val="00295E54"/>
    <w:rsid w:val="002962D7"/>
    <w:rsid w:val="00296C33"/>
    <w:rsid w:val="002971BC"/>
    <w:rsid w:val="002A0462"/>
    <w:rsid w:val="002A0D7B"/>
    <w:rsid w:val="002A0DF7"/>
    <w:rsid w:val="002A1B79"/>
    <w:rsid w:val="002A268C"/>
    <w:rsid w:val="002A2975"/>
    <w:rsid w:val="002A2E94"/>
    <w:rsid w:val="002A460D"/>
    <w:rsid w:val="002A4CEA"/>
    <w:rsid w:val="002A505B"/>
    <w:rsid w:val="002A573D"/>
    <w:rsid w:val="002A5EE9"/>
    <w:rsid w:val="002A60E0"/>
    <w:rsid w:val="002A6B23"/>
    <w:rsid w:val="002B03A5"/>
    <w:rsid w:val="002B1AA8"/>
    <w:rsid w:val="002B1E51"/>
    <w:rsid w:val="002B1E87"/>
    <w:rsid w:val="002B2252"/>
    <w:rsid w:val="002B28CF"/>
    <w:rsid w:val="002B35E0"/>
    <w:rsid w:val="002B3BC2"/>
    <w:rsid w:val="002B4447"/>
    <w:rsid w:val="002B5F9F"/>
    <w:rsid w:val="002B687A"/>
    <w:rsid w:val="002C1344"/>
    <w:rsid w:val="002C252E"/>
    <w:rsid w:val="002C3A2A"/>
    <w:rsid w:val="002C458A"/>
    <w:rsid w:val="002C5C44"/>
    <w:rsid w:val="002C6552"/>
    <w:rsid w:val="002C6773"/>
    <w:rsid w:val="002C6F51"/>
    <w:rsid w:val="002C73EC"/>
    <w:rsid w:val="002D0FE0"/>
    <w:rsid w:val="002D269A"/>
    <w:rsid w:val="002D2A3D"/>
    <w:rsid w:val="002D2EB6"/>
    <w:rsid w:val="002D391F"/>
    <w:rsid w:val="002D3E72"/>
    <w:rsid w:val="002D3EAC"/>
    <w:rsid w:val="002D46A9"/>
    <w:rsid w:val="002D4EBA"/>
    <w:rsid w:val="002D5D1D"/>
    <w:rsid w:val="002D60C8"/>
    <w:rsid w:val="002D6773"/>
    <w:rsid w:val="002D6EFD"/>
    <w:rsid w:val="002D74CF"/>
    <w:rsid w:val="002E0A45"/>
    <w:rsid w:val="002E0B17"/>
    <w:rsid w:val="002E0EBE"/>
    <w:rsid w:val="002E26B4"/>
    <w:rsid w:val="002E4FFB"/>
    <w:rsid w:val="002E6110"/>
    <w:rsid w:val="002E62F7"/>
    <w:rsid w:val="002E63A7"/>
    <w:rsid w:val="002E650E"/>
    <w:rsid w:val="002E6E2F"/>
    <w:rsid w:val="002E7DED"/>
    <w:rsid w:val="002F0334"/>
    <w:rsid w:val="002F1DCB"/>
    <w:rsid w:val="002F2A7B"/>
    <w:rsid w:val="002F3BAD"/>
    <w:rsid w:val="002F4AB2"/>
    <w:rsid w:val="002F5944"/>
    <w:rsid w:val="002F5B88"/>
    <w:rsid w:val="002F7BC2"/>
    <w:rsid w:val="002F7E11"/>
    <w:rsid w:val="0030037C"/>
    <w:rsid w:val="00301C72"/>
    <w:rsid w:val="00304087"/>
    <w:rsid w:val="003053DC"/>
    <w:rsid w:val="003054B0"/>
    <w:rsid w:val="003057B1"/>
    <w:rsid w:val="003062AD"/>
    <w:rsid w:val="00306D32"/>
    <w:rsid w:val="00310ACD"/>
    <w:rsid w:val="003129C1"/>
    <w:rsid w:val="00312C23"/>
    <w:rsid w:val="0031379F"/>
    <w:rsid w:val="00313A9C"/>
    <w:rsid w:val="00314A97"/>
    <w:rsid w:val="00315442"/>
    <w:rsid w:val="0031621E"/>
    <w:rsid w:val="00316A16"/>
    <w:rsid w:val="00320228"/>
    <w:rsid w:val="00320A26"/>
    <w:rsid w:val="003212F3"/>
    <w:rsid w:val="00321344"/>
    <w:rsid w:val="00321788"/>
    <w:rsid w:val="00325064"/>
    <w:rsid w:val="00325630"/>
    <w:rsid w:val="00325EC9"/>
    <w:rsid w:val="003264EE"/>
    <w:rsid w:val="00326D29"/>
    <w:rsid w:val="003279C6"/>
    <w:rsid w:val="00327FC3"/>
    <w:rsid w:val="0032B295"/>
    <w:rsid w:val="003303B3"/>
    <w:rsid w:val="00331A3E"/>
    <w:rsid w:val="0033451C"/>
    <w:rsid w:val="00334532"/>
    <w:rsid w:val="00334D82"/>
    <w:rsid w:val="00335660"/>
    <w:rsid w:val="00335FBD"/>
    <w:rsid w:val="00336854"/>
    <w:rsid w:val="0033769B"/>
    <w:rsid w:val="0034015C"/>
    <w:rsid w:val="0034139E"/>
    <w:rsid w:val="00341409"/>
    <w:rsid w:val="00341CAE"/>
    <w:rsid w:val="003428E6"/>
    <w:rsid w:val="00343BA2"/>
    <w:rsid w:val="003442F4"/>
    <w:rsid w:val="00344546"/>
    <w:rsid w:val="00344C02"/>
    <w:rsid w:val="003455CF"/>
    <w:rsid w:val="00345FA1"/>
    <w:rsid w:val="0034716E"/>
    <w:rsid w:val="003472B8"/>
    <w:rsid w:val="00350CB4"/>
    <w:rsid w:val="00351976"/>
    <w:rsid w:val="00353705"/>
    <w:rsid w:val="00354B07"/>
    <w:rsid w:val="00354C69"/>
    <w:rsid w:val="00355536"/>
    <w:rsid w:val="003562E8"/>
    <w:rsid w:val="00356589"/>
    <w:rsid w:val="003569B5"/>
    <w:rsid w:val="00357F94"/>
    <w:rsid w:val="003614D7"/>
    <w:rsid w:val="00361E9F"/>
    <w:rsid w:val="00361FB0"/>
    <w:rsid w:val="003632DC"/>
    <w:rsid w:val="0036357D"/>
    <w:rsid w:val="00363B78"/>
    <w:rsid w:val="003649BC"/>
    <w:rsid w:val="00364F24"/>
    <w:rsid w:val="00364F7E"/>
    <w:rsid w:val="00365E44"/>
    <w:rsid w:val="003662B1"/>
    <w:rsid w:val="003667AD"/>
    <w:rsid w:val="00367AA1"/>
    <w:rsid w:val="00370A5B"/>
    <w:rsid w:val="00372497"/>
    <w:rsid w:val="00372619"/>
    <w:rsid w:val="00372E36"/>
    <w:rsid w:val="00373D53"/>
    <w:rsid w:val="00374851"/>
    <w:rsid w:val="0037555D"/>
    <w:rsid w:val="00375653"/>
    <w:rsid w:val="00375DFA"/>
    <w:rsid w:val="00375F7D"/>
    <w:rsid w:val="003767D3"/>
    <w:rsid w:val="00376EE9"/>
    <w:rsid w:val="00376FFC"/>
    <w:rsid w:val="00377CBB"/>
    <w:rsid w:val="0038079F"/>
    <w:rsid w:val="00381953"/>
    <w:rsid w:val="00381CF2"/>
    <w:rsid w:val="00382DA3"/>
    <w:rsid w:val="00382DF7"/>
    <w:rsid w:val="00384F62"/>
    <w:rsid w:val="00385438"/>
    <w:rsid w:val="00385816"/>
    <w:rsid w:val="003858E5"/>
    <w:rsid w:val="0038686B"/>
    <w:rsid w:val="003877B6"/>
    <w:rsid w:val="00391024"/>
    <w:rsid w:val="00391539"/>
    <w:rsid w:val="003915B0"/>
    <w:rsid w:val="003921B7"/>
    <w:rsid w:val="00393887"/>
    <w:rsid w:val="00393F1B"/>
    <w:rsid w:val="00394C6B"/>
    <w:rsid w:val="003958C2"/>
    <w:rsid w:val="0039610B"/>
    <w:rsid w:val="00397C2B"/>
    <w:rsid w:val="00397C90"/>
    <w:rsid w:val="003A0961"/>
    <w:rsid w:val="003A290F"/>
    <w:rsid w:val="003A4AAA"/>
    <w:rsid w:val="003A4B10"/>
    <w:rsid w:val="003A4E2E"/>
    <w:rsid w:val="003A4E62"/>
    <w:rsid w:val="003A56EB"/>
    <w:rsid w:val="003A5A6A"/>
    <w:rsid w:val="003A63F6"/>
    <w:rsid w:val="003A6CB9"/>
    <w:rsid w:val="003A775E"/>
    <w:rsid w:val="003B02F2"/>
    <w:rsid w:val="003B0BD0"/>
    <w:rsid w:val="003B0CDD"/>
    <w:rsid w:val="003B1069"/>
    <w:rsid w:val="003B12EA"/>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2C33"/>
    <w:rsid w:val="003C34C9"/>
    <w:rsid w:val="003C35B1"/>
    <w:rsid w:val="003C4EB2"/>
    <w:rsid w:val="003C5E05"/>
    <w:rsid w:val="003C63D0"/>
    <w:rsid w:val="003C7959"/>
    <w:rsid w:val="003D0FD1"/>
    <w:rsid w:val="003D38D5"/>
    <w:rsid w:val="003D3968"/>
    <w:rsid w:val="003D42AF"/>
    <w:rsid w:val="003D4AD2"/>
    <w:rsid w:val="003D4BFC"/>
    <w:rsid w:val="003D4CC0"/>
    <w:rsid w:val="003D4D58"/>
    <w:rsid w:val="003D5E11"/>
    <w:rsid w:val="003D5F1E"/>
    <w:rsid w:val="003D73C0"/>
    <w:rsid w:val="003E031D"/>
    <w:rsid w:val="003E1343"/>
    <w:rsid w:val="003E275E"/>
    <w:rsid w:val="003E4BF6"/>
    <w:rsid w:val="003E6849"/>
    <w:rsid w:val="003E7305"/>
    <w:rsid w:val="003F0C1C"/>
    <w:rsid w:val="003F11AB"/>
    <w:rsid w:val="003F1AF3"/>
    <w:rsid w:val="003F25E4"/>
    <w:rsid w:val="003F4743"/>
    <w:rsid w:val="003F4804"/>
    <w:rsid w:val="003F4AAA"/>
    <w:rsid w:val="003F4D8D"/>
    <w:rsid w:val="003F66A4"/>
    <w:rsid w:val="00401508"/>
    <w:rsid w:val="00401688"/>
    <w:rsid w:val="00401E6F"/>
    <w:rsid w:val="004024D9"/>
    <w:rsid w:val="0040257E"/>
    <w:rsid w:val="00402AAD"/>
    <w:rsid w:val="0040379A"/>
    <w:rsid w:val="0040386D"/>
    <w:rsid w:val="00404188"/>
    <w:rsid w:val="0040638A"/>
    <w:rsid w:val="00406435"/>
    <w:rsid w:val="004066F9"/>
    <w:rsid w:val="00406CBE"/>
    <w:rsid w:val="004073DC"/>
    <w:rsid w:val="00407F4A"/>
    <w:rsid w:val="004128C1"/>
    <w:rsid w:val="004137C0"/>
    <w:rsid w:val="004138F3"/>
    <w:rsid w:val="00413BD1"/>
    <w:rsid w:val="004147EA"/>
    <w:rsid w:val="00415902"/>
    <w:rsid w:val="00415A33"/>
    <w:rsid w:val="00416A80"/>
    <w:rsid w:val="00417640"/>
    <w:rsid w:val="00421F20"/>
    <w:rsid w:val="0042364A"/>
    <w:rsid w:val="00423B63"/>
    <w:rsid w:val="004248C3"/>
    <w:rsid w:val="0042630F"/>
    <w:rsid w:val="00427BEA"/>
    <w:rsid w:val="00427EDC"/>
    <w:rsid w:val="00427EF2"/>
    <w:rsid w:val="00430120"/>
    <w:rsid w:val="004313E7"/>
    <w:rsid w:val="00432542"/>
    <w:rsid w:val="004339B2"/>
    <w:rsid w:val="004366E6"/>
    <w:rsid w:val="00436CCB"/>
    <w:rsid w:val="00440223"/>
    <w:rsid w:val="004415B9"/>
    <w:rsid w:val="00444A70"/>
    <w:rsid w:val="00444D85"/>
    <w:rsid w:val="00446DE2"/>
    <w:rsid w:val="0044763B"/>
    <w:rsid w:val="00447E45"/>
    <w:rsid w:val="00452696"/>
    <w:rsid w:val="00453F32"/>
    <w:rsid w:val="00454665"/>
    <w:rsid w:val="00455119"/>
    <w:rsid w:val="00456A53"/>
    <w:rsid w:val="00457083"/>
    <w:rsid w:val="00461D39"/>
    <w:rsid w:val="0046213C"/>
    <w:rsid w:val="00462518"/>
    <w:rsid w:val="0046266D"/>
    <w:rsid w:val="004629B3"/>
    <w:rsid w:val="00463022"/>
    <w:rsid w:val="0046376E"/>
    <w:rsid w:val="00463B50"/>
    <w:rsid w:val="00463C17"/>
    <w:rsid w:val="004647C5"/>
    <w:rsid w:val="0046587C"/>
    <w:rsid w:val="0046690F"/>
    <w:rsid w:val="0046792B"/>
    <w:rsid w:val="00471116"/>
    <w:rsid w:val="00472FEC"/>
    <w:rsid w:val="00473A2A"/>
    <w:rsid w:val="00474165"/>
    <w:rsid w:val="0047442A"/>
    <w:rsid w:val="0047503A"/>
    <w:rsid w:val="0047600D"/>
    <w:rsid w:val="00476830"/>
    <w:rsid w:val="0047696E"/>
    <w:rsid w:val="004770F6"/>
    <w:rsid w:val="00480128"/>
    <w:rsid w:val="004812D2"/>
    <w:rsid w:val="004822BA"/>
    <w:rsid w:val="00482D4B"/>
    <w:rsid w:val="00483617"/>
    <w:rsid w:val="00483B28"/>
    <w:rsid w:val="004858E1"/>
    <w:rsid w:val="00485EF2"/>
    <w:rsid w:val="004864A1"/>
    <w:rsid w:val="0048662B"/>
    <w:rsid w:val="00486CB5"/>
    <w:rsid w:val="0048769E"/>
    <w:rsid w:val="004900ED"/>
    <w:rsid w:val="00490A03"/>
    <w:rsid w:val="00490B0D"/>
    <w:rsid w:val="00490E5D"/>
    <w:rsid w:val="00492782"/>
    <w:rsid w:val="00492908"/>
    <w:rsid w:val="00492B0A"/>
    <w:rsid w:val="00492D88"/>
    <w:rsid w:val="00493327"/>
    <w:rsid w:val="0049382E"/>
    <w:rsid w:val="00493B38"/>
    <w:rsid w:val="00494DBE"/>
    <w:rsid w:val="00495CE6"/>
    <w:rsid w:val="00497524"/>
    <w:rsid w:val="00497D5E"/>
    <w:rsid w:val="004A1001"/>
    <w:rsid w:val="004A144D"/>
    <w:rsid w:val="004A1D27"/>
    <w:rsid w:val="004A323C"/>
    <w:rsid w:val="004A5AB1"/>
    <w:rsid w:val="004A66C7"/>
    <w:rsid w:val="004B0801"/>
    <w:rsid w:val="004B1117"/>
    <w:rsid w:val="004B1A6B"/>
    <w:rsid w:val="004B1FC8"/>
    <w:rsid w:val="004B2C19"/>
    <w:rsid w:val="004B339A"/>
    <w:rsid w:val="004B51AC"/>
    <w:rsid w:val="004B54E8"/>
    <w:rsid w:val="004B66C2"/>
    <w:rsid w:val="004B6B26"/>
    <w:rsid w:val="004B773C"/>
    <w:rsid w:val="004C0138"/>
    <w:rsid w:val="004C02B7"/>
    <w:rsid w:val="004C0686"/>
    <w:rsid w:val="004C0F3B"/>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1E2"/>
    <w:rsid w:val="004E3341"/>
    <w:rsid w:val="004E5124"/>
    <w:rsid w:val="004E5765"/>
    <w:rsid w:val="004E5FA8"/>
    <w:rsid w:val="004E5FD0"/>
    <w:rsid w:val="004E693B"/>
    <w:rsid w:val="004E7BE2"/>
    <w:rsid w:val="004E7E3A"/>
    <w:rsid w:val="004F0118"/>
    <w:rsid w:val="004F0AD4"/>
    <w:rsid w:val="004F0D08"/>
    <w:rsid w:val="004F10C1"/>
    <w:rsid w:val="004F1A25"/>
    <w:rsid w:val="004F1C5E"/>
    <w:rsid w:val="004F398A"/>
    <w:rsid w:val="004F3E47"/>
    <w:rsid w:val="004F47DC"/>
    <w:rsid w:val="004F4CC8"/>
    <w:rsid w:val="004F4F5A"/>
    <w:rsid w:val="004F51FF"/>
    <w:rsid w:val="004F56E7"/>
    <w:rsid w:val="004F5AD9"/>
    <w:rsid w:val="004F699F"/>
    <w:rsid w:val="004F7C06"/>
    <w:rsid w:val="00500061"/>
    <w:rsid w:val="00500955"/>
    <w:rsid w:val="0050159C"/>
    <w:rsid w:val="005018C2"/>
    <w:rsid w:val="00501A7D"/>
    <w:rsid w:val="00501C9E"/>
    <w:rsid w:val="005022B7"/>
    <w:rsid w:val="00502E62"/>
    <w:rsid w:val="00504845"/>
    <w:rsid w:val="00506B8A"/>
    <w:rsid w:val="005070F4"/>
    <w:rsid w:val="005110D3"/>
    <w:rsid w:val="00512642"/>
    <w:rsid w:val="005135FF"/>
    <w:rsid w:val="00515D8D"/>
    <w:rsid w:val="005168ED"/>
    <w:rsid w:val="00516EBC"/>
    <w:rsid w:val="00520A65"/>
    <w:rsid w:val="00521834"/>
    <w:rsid w:val="00521891"/>
    <w:rsid w:val="005218B8"/>
    <w:rsid w:val="0052212B"/>
    <w:rsid w:val="005221A8"/>
    <w:rsid w:val="005225D6"/>
    <w:rsid w:val="005230C7"/>
    <w:rsid w:val="0052329A"/>
    <w:rsid w:val="0052625A"/>
    <w:rsid w:val="005266EA"/>
    <w:rsid w:val="00527072"/>
    <w:rsid w:val="00527C1A"/>
    <w:rsid w:val="0053001D"/>
    <w:rsid w:val="00533DCC"/>
    <w:rsid w:val="00534B46"/>
    <w:rsid w:val="00534CE8"/>
    <w:rsid w:val="00535018"/>
    <w:rsid w:val="00535180"/>
    <w:rsid w:val="005355DB"/>
    <w:rsid w:val="00535866"/>
    <w:rsid w:val="0053628B"/>
    <w:rsid w:val="00540358"/>
    <w:rsid w:val="00540A05"/>
    <w:rsid w:val="00540D47"/>
    <w:rsid w:val="005428D7"/>
    <w:rsid w:val="00542D43"/>
    <w:rsid w:val="0054427E"/>
    <w:rsid w:val="00544504"/>
    <w:rsid w:val="005463C3"/>
    <w:rsid w:val="005465A3"/>
    <w:rsid w:val="00547C7C"/>
    <w:rsid w:val="005506D5"/>
    <w:rsid w:val="00550864"/>
    <w:rsid w:val="00550B92"/>
    <w:rsid w:val="00551D6C"/>
    <w:rsid w:val="00553580"/>
    <w:rsid w:val="005550A8"/>
    <w:rsid w:val="0055571E"/>
    <w:rsid w:val="00556F67"/>
    <w:rsid w:val="00556FE5"/>
    <w:rsid w:val="00557849"/>
    <w:rsid w:val="00563009"/>
    <w:rsid w:val="005635B7"/>
    <w:rsid w:val="00563BC6"/>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3872"/>
    <w:rsid w:val="00586280"/>
    <w:rsid w:val="005865FC"/>
    <w:rsid w:val="005869CE"/>
    <w:rsid w:val="00586CAF"/>
    <w:rsid w:val="005873E9"/>
    <w:rsid w:val="00587A90"/>
    <w:rsid w:val="00590740"/>
    <w:rsid w:val="00590A34"/>
    <w:rsid w:val="00591180"/>
    <w:rsid w:val="00592E9F"/>
    <w:rsid w:val="00595286"/>
    <w:rsid w:val="00595E5A"/>
    <w:rsid w:val="00596CED"/>
    <w:rsid w:val="0059722C"/>
    <w:rsid w:val="005977A6"/>
    <w:rsid w:val="00597A4C"/>
    <w:rsid w:val="00597D07"/>
    <w:rsid w:val="00597DD6"/>
    <w:rsid w:val="005A16E6"/>
    <w:rsid w:val="005A30D7"/>
    <w:rsid w:val="005A3846"/>
    <w:rsid w:val="005A3EB5"/>
    <w:rsid w:val="005A5E6B"/>
    <w:rsid w:val="005A678F"/>
    <w:rsid w:val="005A7514"/>
    <w:rsid w:val="005A7DE8"/>
    <w:rsid w:val="005A7E1D"/>
    <w:rsid w:val="005A7E97"/>
    <w:rsid w:val="005B0B0D"/>
    <w:rsid w:val="005B0DFE"/>
    <w:rsid w:val="005B25C1"/>
    <w:rsid w:val="005B2B19"/>
    <w:rsid w:val="005B2CD2"/>
    <w:rsid w:val="005B33E0"/>
    <w:rsid w:val="005B632A"/>
    <w:rsid w:val="005B6A58"/>
    <w:rsid w:val="005C0195"/>
    <w:rsid w:val="005C082A"/>
    <w:rsid w:val="005C2D0E"/>
    <w:rsid w:val="005C5A83"/>
    <w:rsid w:val="005C7112"/>
    <w:rsid w:val="005C74AF"/>
    <w:rsid w:val="005D0561"/>
    <w:rsid w:val="005D0AD9"/>
    <w:rsid w:val="005D0CB8"/>
    <w:rsid w:val="005D1A67"/>
    <w:rsid w:val="005D1C91"/>
    <w:rsid w:val="005D22F6"/>
    <w:rsid w:val="005D6774"/>
    <w:rsid w:val="005D68AA"/>
    <w:rsid w:val="005D6BD1"/>
    <w:rsid w:val="005E060E"/>
    <w:rsid w:val="005E0C30"/>
    <w:rsid w:val="005E1DCB"/>
    <w:rsid w:val="005E2377"/>
    <w:rsid w:val="005E2754"/>
    <w:rsid w:val="005E2EE4"/>
    <w:rsid w:val="005E33E0"/>
    <w:rsid w:val="005E3FBB"/>
    <w:rsid w:val="005E4ADC"/>
    <w:rsid w:val="005E66B4"/>
    <w:rsid w:val="005E69D9"/>
    <w:rsid w:val="005E6CB1"/>
    <w:rsid w:val="005E7116"/>
    <w:rsid w:val="005E7971"/>
    <w:rsid w:val="005F00E8"/>
    <w:rsid w:val="005F17D1"/>
    <w:rsid w:val="005F27F4"/>
    <w:rsid w:val="005F3239"/>
    <w:rsid w:val="005F39BF"/>
    <w:rsid w:val="005F4DB8"/>
    <w:rsid w:val="005F566C"/>
    <w:rsid w:val="005F58DA"/>
    <w:rsid w:val="005F6567"/>
    <w:rsid w:val="005F676D"/>
    <w:rsid w:val="005F7A8A"/>
    <w:rsid w:val="00600230"/>
    <w:rsid w:val="0060049E"/>
    <w:rsid w:val="006007CE"/>
    <w:rsid w:val="00600998"/>
    <w:rsid w:val="00600ACF"/>
    <w:rsid w:val="006019EB"/>
    <w:rsid w:val="006027CA"/>
    <w:rsid w:val="00603902"/>
    <w:rsid w:val="00605DFE"/>
    <w:rsid w:val="00606349"/>
    <w:rsid w:val="00606D56"/>
    <w:rsid w:val="00607094"/>
    <w:rsid w:val="00607256"/>
    <w:rsid w:val="0060790C"/>
    <w:rsid w:val="0060791E"/>
    <w:rsid w:val="00611B4C"/>
    <w:rsid w:val="00611F08"/>
    <w:rsid w:val="00613BF1"/>
    <w:rsid w:val="006144B1"/>
    <w:rsid w:val="00614A1C"/>
    <w:rsid w:val="006159CF"/>
    <w:rsid w:val="00615A5C"/>
    <w:rsid w:val="006177FF"/>
    <w:rsid w:val="0062077F"/>
    <w:rsid w:val="00620AC6"/>
    <w:rsid w:val="00621BC7"/>
    <w:rsid w:val="00622033"/>
    <w:rsid w:val="0062232C"/>
    <w:rsid w:val="00623A46"/>
    <w:rsid w:val="00630644"/>
    <w:rsid w:val="006335F1"/>
    <w:rsid w:val="006336FD"/>
    <w:rsid w:val="00633B49"/>
    <w:rsid w:val="006345B6"/>
    <w:rsid w:val="006349FD"/>
    <w:rsid w:val="00635177"/>
    <w:rsid w:val="00635616"/>
    <w:rsid w:val="00635712"/>
    <w:rsid w:val="00635984"/>
    <w:rsid w:val="00635F41"/>
    <w:rsid w:val="006367C6"/>
    <w:rsid w:val="006368FF"/>
    <w:rsid w:val="006377D4"/>
    <w:rsid w:val="00640135"/>
    <w:rsid w:val="006402FF"/>
    <w:rsid w:val="0064107F"/>
    <w:rsid w:val="00641108"/>
    <w:rsid w:val="00643D8A"/>
    <w:rsid w:val="00645A5C"/>
    <w:rsid w:val="00646797"/>
    <w:rsid w:val="00647AB9"/>
    <w:rsid w:val="00650894"/>
    <w:rsid w:val="0065112B"/>
    <w:rsid w:val="00652091"/>
    <w:rsid w:val="00652229"/>
    <w:rsid w:val="00652793"/>
    <w:rsid w:val="006528DE"/>
    <w:rsid w:val="00653020"/>
    <w:rsid w:val="00654901"/>
    <w:rsid w:val="00655CA6"/>
    <w:rsid w:val="00657789"/>
    <w:rsid w:val="00660196"/>
    <w:rsid w:val="00660320"/>
    <w:rsid w:val="0066187E"/>
    <w:rsid w:val="00661F33"/>
    <w:rsid w:val="00662375"/>
    <w:rsid w:val="006626CA"/>
    <w:rsid w:val="00662E48"/>
    <w:rsid w:val="00663487"/>
    <w:rsid w:val="0066592C"/>
    <w:rsid w:val="006662DE"/>
    <w:rsid w:val="00670B70"/>
    <w:rsid w:val="006711A6"/>
    <w:rsid w:val="00671571"/>
    <w:rsid w:val="00671649"/>
    <w:rsid w:val="00672382"/>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4DB2"/>
    <w:rsid w:val="006866D7"/>
    <w:rsid w:val="0068699A"/>
    <w:rsid w:val="00687DEC"/>
    <w:rsid w:val="00690842"/>
    <w:rsid w:val="00690B19"/>
    <w:rsid w:val="00691A93"/>
    <w:rsid w:val="00692327"/>
    <w:rsid w:val="00695C48"/>
    <w:rsid w:val="0069650C"/>
    <w:rsid w:val="006A0A3C"/>
    <w:rsid w:val="006A1709"/>
    <w:rsid w:val="006A1ED8"/>
    <w:rsid w:val="006A1FFC"/>
    <w:rsid w:val="006A2EF9"/>
    <w:rsid w:val="006A390A"/>
    <w:rsid w:val="006A59E9"/>
    <w:rsid w:val="006A5AB1"/>
    <w:rsid w:val="006A60BF"/>
    <w:rsid w:val="006A75B8"/>
    <w:rsid w:val="006A79F0"/>
    <w:rsid w:val="006B048F"/>
    <w:rsid w:val="006B0D77"/>
    <w:rsid w:val="006B359D"/>
    <w:rsid w:val="006B47EE"/>
    <w:rsid w:val="006B499F"/>
    <w:rsid w:val="006B4B96"/>
    <w:rsid w:val="006B54C6"/>
    <w:rsid w:val="006B58C1"/>
    <w:rsid w:val="006B617F"/>
    <w:rsid w:val="006B681D"/>
    <w:rsid w:val="006C020A"/>
    <w:rsid w:val="006C0E65"/>
    <w:rsid w:val="006C1FB8"/>
    <w:rsid w:val="006C2BB0"/>
    <w:rsid w:val="006C33BE"/>
    <w:rsid w:val="006C3C77"/>
    <w:rsid w:val="006C4B3D"/>
    <w:rsid w:val="006C5B53"/>
    <w:rsid w:val="006C757C"/>
    <w:rsid w:val="006C7E78"/>
    <w:rsid w:val="006D064D"/>
    <w:rsid w:val="006D098F"/>
    <w:rsid w:val="006D1091"/>
    <w:rsid w:val="006D20E3"/>
    <w:rsid w:val="006D2218"/>
    <w:rsid w:val="006D2C34"/>
    <w:rsid w:val="006D33E1"/>
    <w:rsid w:val="006D42FE"/>
    <w:rsid w:val="006D4996"/>
    <w:rsid w:val="006D535B"/>
    <w:rsid w:val="006D54AB"/>
    <w:rsid w:val="006D58E5"/>
    <w:rsid w:val="006D6CC0"/>
    <w:rsid w:val="006E00F4"/>
    <w:rsid w:val="006E0DDE"/>
    <w:rsid w:val="006E0F11"/>
    <w:rsid w:val="006E1084"/>
    <w:rsid w:val="006E10B2"/>
    <w:rsid w:val="006E173B"/>
    <w:rsid w:val="006E1FA9"/>
    <w:rsid w:val="006E25F2"/>
    <w:rsid w:val="006E26DE"/>
    <w:rsid w:val="006E2D24"/>
    <w:rsid w:val="006E3006"/>
    <w:rsid w:val="006E4F02"/>
    <w:rsid w:val="006E5032"/>
    <w:rsid w:val="006E5BDA"/>
    <w:rsid w:val="006E7AC9"/>
    <w:rsid w:val="006F0AF0"/>
    <w:rsid w:val="006F0FC7"/>
    <w:rsid w:val="006F2241"/>
    <w:rsid w:val="006F39A9"/>
    <w:rsid w:val="006F3D9D"/>
    <w:rsid w:val="006F524E"/>
    <w:rsid w:val="006F56A8"/>
    <w:rsid w:val="006F5C9C"/>
    <w:rsid w:val="006F5D57"/>
    <w:rsid w:val="006F643F"/>
    <w:rsid w:val="006F66E1"/>
    <w:rsid w:val="006F670F"/>
    <w:rsid w:val="006F74EC"/>
    <w:rsid w:val="006F77F3"/>
    <w:rsid w:val="007003E9"/>
    <w:rsid w:val="0070063C"/>
    <w:rsid w:val="00700939"/>
    <w:rsid w:val="007009EF"/>
    <w:rsid w:val="00700D24"/>
    <w:rsid w:val="00700D69"/>
    <w:rsid w:val="00702921"/>
    <w:rsid w:val="00703272"/>
    <w:rsid w:val="0070362C"/>
    <w:rsid w:val="0070471B"/>
    <w:rsid w:val="00705BBE"/>
    <w:rsid w:val="00706EA5"/>
    <w:rsid w:val="0070733C"/>
    <w:rsid w:val="00707436"/>
    <w:rsid w:val="007102D5"/>
    <w:rsid w:val="00710C5D"/>
    <w:rsid w:val="0071348C"/>
    <w:rsid w:val="0071413A"/>
    <w:rsid w:val="00717273"/>
    <w:rsid w:val="00720D9C"/>
    <w:rsid w:val="00720FD4"/>
    <w:rsid w:val="00721072"/>
    <w:rsid w:val="00722F57"/>
    <w:rsid w:val="0072314B"/>
    <w:rsid w:val="00723C6D"/>
    <w:rsid w:val="00724550"/>
    <w:rsid w:val="007246A0"/>
    <w:rsid w:val="00724737"/>
    <w:rsid w:val="00724AF2"/>
    <w:rsid w:val="00730624"/>
    <w:rsid w:val="0073096C"/>
    <w:rsid w:val="0073100D"/>
    <w:rsid w:val="0073133B"/>
    <w:rsid w:val="00731368"/>
    <w:rsid w:val="00731C55"/>
    <w:rsid w:val="007329B4"/>
    <w:rsid w:val="00733429"/>
    <w:rsid w:val="00733A46"/>
    <w:rsid w:val="00735E2D"/>
    <w:rsid w:val="00736831"/>
    <w:rsid w:val="00736DDC"/>
    <w:rsid w:val="00736F2C"/>
    <w:rsid w:val="0073708F"/>
    <w:rsid w:val="00737335"/>
    <w:rsid w:val="00741110"/>
    <w:rsid w:val="007419C8"/>
    <w:rsid w:val="00741D9F"/>
    <w:rsid w:val="00742398"/>
    <w:rsid w:val="00742708"/>
    <w:rsid w:val="007432A9"/>
    <w:rsid w:val="00743548"/>
    <w:rsid w:val="00745C0B"/>
    <w:rsid w:val="00746050"/>
    <w:rsid w:val="00746118"/>
    <w:rsid w:val="00746C7F"/>
    <w:rsid w:val="007507B5"/>
    <w:rsid w:val="0075091D"/>
    <w:rsid w:val="00750EC4"/>
    <w:rsid w:val="00751831"/>
    <w:rsid w:val="0075201B"/>
    <w:rsid w:val="007523F8"/>
    <w:rsid w:val="007537C9"/>
    <w:rsid w:val="00753A24"/>
    <w:rsid w:val="0075430D"/>
    <w:rsid w:val="007543C1"/>
    <w:rsid w:val="007558B1"/>
    <w:rsid w:val="00756614"/>
    <w:rsid w:val="007568F2"/>
    <w:rsid w:val="0075702F"/>
    <w:rsid w:val="0075779F"/>
    <w:rsid w:val="0076354B"/>
    <w:rsid w:val="007640FC"/>
    <w:rsid w:val="0076414E"/>
    <w:rsid w:val="007658F3"/>
    <w:rsid w:val="007661FA"/>
    <w:rsid w:val="00766EA2"/>
    <w:rsid w:val="00767034"/>
    <w:rsid w:val="007712DB"/>
    <w:rsid w:val="00771445"/>
    <w:rsid w:val="00771460"/>
    <w:rsid w:val="00772188"/>
    <w:rsid w:val="0077222A"/>
    <w:rsid w:val="00773909"/>
    <w:rsid w:val="0077411B"/>
    <w:rsid w:val="0077433B"/>
    <w:rsid w:val="00774AC1"/>
    <w:rsid w:val="00774E1E"/>
    <w:rsid w:val="0077796E"/>
    <w:rsid w:val="00777D6A"/>
    <w:rsid w:val="00780EEF"/>
    <w:rsid w:val="0078118A"/>
    <w:rsid w:val="007813D0"/>
    <w:rsid w:val="00783746"/>
    <w:rsid w:val="007845AC"/>
    <w:rsid w:val="007845F0"/>
    <w:rsid w:val="00785993"/>
    <w:rsid w:val="00785A0D"/>
    <w:rsid w:val="00785FC4"/>
    <w:rsid w:val="007863BF"/>
    <w:rsid w:val="0078663D"/>
    <w:rsid w:val="007866E2"/>
    <w:rsid w:val="00786BA3"/>
    <w:rsid w:val="00790993"/>
    <w:rsid w:val="0079202F"/>
    <w:rsid w:val="0079203E"/>
    <w:rsid w:val="007934C3"/>
    <w:rsid w:val="00794903"/>
    <w:rsid w:val="00795486"/>
    <w:rsid w:val="00795AF2"/>
    <w:rsid w:val="00795E4F"/>
    <w:rsid w:val="007A0287"/>
    <w:rsid w:val="007A09FC"/>
    <w:rsid w:val="007A2AAD"/>
    <w:rsid w:val="007A39EA"/>
    <w:rsid w:val="007A4432"/>
    <w:rsid w:val="007A5326"/>
    <w:rsid w:val="007A59E9"/>
    <w:rsid w:val="007A784E"/>
    <w:rsid w:val="007A7E31"/>
    <w:rsid w:val="007B02A0"/>
    <w:rsid w:val="007B24F3"/>
    <w:rsid w:val="007B278C"/>
    <w:rsid w:val="007B2927"/>
    <w:rsid w:val="007B2DAD"/>
    <w:rsid w:val="007B3774"/>
    <w:rsid w:val="007B459E"/>
    <w:rsid w:val="007B4939"/>
    <w:rsid w:val="007B499C"/>
    <w:rsid w:val="007B4D4B"/>
    <w:rsid w:val="007B4E6D"/>
    <w:rsid w:val="007B58C6"/>
    <w:rsid w:val="007B5EE2"/>
    <w:rsid w:val="007B6227"/>
    <w:rsid w:val="007B6F6F"/>
    <w:rsid w:val="007B76D8"/>
    <w:rsid w:val="007B7708"/>
    <w:rsid w:val="007C0646"/>
    <w:rsid w:val="007C1E5E"/>
    <w:rsid w:val="007C1E9D"/>
    <w:rsid w:val="007C3AE3"/>
    <w:rsid w:val="007C459E"/>
    <w:rsid w:val="007C4C10"/>
    <w:rsid w:val="007C6C51"/>
    <w:rsid w:val="007C6EC7"/>
    <w:rsid w:val="007D0000"/>
    <w:rsid w:val="007D03E7"/>
    <w:rsid w:val="007D2A02"/>
    <w:rsid w:val="007D33B6"/>
    <w:rsid w:val="007D455E"/>
    <w:rsid w:val="007D5EA2"/>
    <w:rsid w:val="007D6144"/>
    <w:rsid w:val="007D62A4"/>
    <w:rsid w:val="007D6333"/>
    <w:rsid w:val="007D6CE5"/>
    <w:rsid w:val="007D77BC"/>
    <w:rsid w:val="007E0917"/>
    <w:rsid w:val="007E1736"/>
    <w:rsid w:val="007E25DD"/>
    <w:rsid w:val="007E2887"/>
    <w:rsid w:val="007E3135"/>
    <w:rsid w:val="007E3318"/>
    <w:rsid w:val="007E4FB6"/>
    <w:rsid w:val="007E51B4"/>
    <w:rsid w:val="007E66F3"/>
    <w:rsid w:val="007E6EA1"/>
    <w:rsid w:val="007E6F60"/>
    <w:rsid w:val="007E7AD5"/>
    <w:rsid w:val="007F0F63"/>
    <w:rsid w:val="007F223A"/>
    <w:rsid w:val="007F2532"/>
    <w:rsid w:val="007F2B1E"/>
    <w:rsid w:val="007F3BC1"/>
    <w:rsid w:val="007F420A"/>
    <w:rsid w:val="007F4590"/>
    <w:rsid w:val="007F5772"/>
    <w:rsid w:val="007F5BC9"/>
    <w:rsid w:val="007F62B4"/>
    <w:rsid w:val="007F7DF9"/>
    <w:rsid w:val="00800FD6"/>
    <w:rsid w:val="00801517"/>
    <w:rsid w:val="00801558"/>
    <w:rsid w:val="00804053"/>
    <w:rsid w:val="00804966"/>
    <w:rsid w:val="0080510A"/>
    <w:rsid w:val="0080596A"/>
    <w:rsid w:val="00805CBF"/>
    <w:rsid w:val="00806524"/>
    <w:rsid w:val="008079E2"/>
    <w:rsid w:val="00810AC4"/>
    <w:rsid w:val="0081218E"/>
    <w:rsid w:val="0081228B"/>
    <w:rsid w:val="00813492"/>
    <w:rsid w:val="00813643"/>
    <w:rsid w:val="00813A7E"/>
    <w:rsid w:val="00814DE2"/>
    <w:rsid w:val="008163F5"/>
    <w:rsid w:val="00816F49"/>
    <w:rsid w:val="008177EE"/>
    <w:rsid w:val="00817895"/>
    <w:rsid w:val="00817AE8"/>
    <w:rsid w:val="00817DE8"/>
    <w:rsid w:val="008229F5"/>
    <w:rsid w:val="008247B7"/>
    <w:rsid w:val="008259DE"/>
    <w:rsid w:val="0082699A"/>
    <w:rsid w:val="00827418"/>
    <w:rsid w:val="00827872"/>
    <w:rsid w:val="00827D15"/>
    <w:rsid w:val="00827F2A"/>
    <w:rsid w:val="00832633"/>
    <w:rsid w:val="00832958"/>
    <w:rsid w:val="0083342C"/>
    <w:rsid w:val="00833869"/>
    <w:rsid w:val="00833AB9"/>
    <w:rsid w:val="00833CEB"/>
    <w:rsid w:val="00835910"/>
    <w:rsid w:val="0083662B"/>
    <w:rsid w:val="008372D2"/>
    <w:rsid w:val="008377BC"/>
    <w:rsid w:val="00844C17"/>
    <w:rsid w:val="00846017"/>
    <w:rsid w:val="008470BF"/>
    <w:rsid w:val="00847726"/>
    <w:rsid w:val="00850D88"/>
    <w:rsid w:val="00851033"/>
    <w:rsid w:val="00851A55"/>
    <w:rsid w:val="00851CB1"/>
    <w:rsid w:val="00852511"/>
    <w:rsid w:val="0085252F"/>
    <w:rsid w:val="008542A3"/>
    <w:rsid w:val="008558D0"/>
    <w:rsid w:val="00855FD0"/>
    <w:rsid w:val="0085679E"/>
    <w:rsid w:val="008570A5"/>
    <w:rsid w:val="008573B5"/>
    <w:rsid w:val="00857408"/>
    <w:rsid w:val="008578A9"/>
    <w:rsid w:val="0086072A"/>
    <w:rsid w:val="0086088F"/>
    <w:rsid w:val="00860C8A"/>
    <w:rsid w:val="008614F1"/>
    <w:rsid w:val="00862B6C"/>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4B0C"/>
    <w:rsid w:val="00875377"/>
    <w:rsid w:val="0087538C"/>
    <w:rsid w:val="00875CB0"/>
    <w:rsid w:val="00876825"/>
    <w:rsid w:val="008770CC"/>
    <w:rsid w:val="00877800"/>
    <w:rsid w:val="00877C32"/>
    <w:rsid w:val="0088094B"/>
    <w:rsid w:val="00880E08"/>
    <w:rsid w:val="00880E72"/>
    <w:rsid w:val="008814A1"/>
    <w:rsid w:val="0088176E"/>
    <w:rsid w:val="0088181E"/>
    <w:rsid w:val="008825EE"/>
    <w:rsid w:val="00882DE4"/>
    <w:rsid w:val="0088313E"/>
    <w:rsid w:val="008847A5"/>
    <w:rsid w:val="0088502C"/>
    <w:rsid w:val="0088596E"/>
    <w:rsid w:val="00885D26"/>
    <w:rsid w:val="00886C54"/>
    <w:rsid w:val="00886F34"/>
    <w:rsid w:val="008870ED"/>
    <w:rsid w:val="008877FC"/>
    <w:rsid w:val="00887E5A"/>
    <w:rsid w:val="00890CD9"/>
    <w:rsid w:val="00891A88"/>
    <w:rsid w:val="00891D8A"/>
    <w:rsid w:val="0089256B"/>
    <w:rsid w:val="0089542A"/>
    <w:rsid w:val="00895949"/>
    <w:rsid w:val="00897697"/>
    <w:rsid w:val="0089796A"/>
    <w:rsid w:val="0089799B"/>
    <w:rsid w:val="00897D9B"/>
    <w:rsid w:val="008A09DE"/>
    <w:rsid w:val="008A180A"/>
    <w:rsid w:val="008A2375"/>
    <w:rsid w:val="008A3AC0"/>
    <w:rsid w:val="008A54B6"/>
    <w:rsid w:val="008A56FE"/>
    <w:rsid w:val="008A6622"/>
    <w:rsid w:val="008A7DEB"/>
    <w:rsid w:val="008B07C2"/>
    <w:rsid w:val="008B0C47"/>
    <w:rsid w:val="008B1B65"/>
    <w:rsid w:val="008B3557"/>
    <w:rsid w:val="008B39E0"/>
    <w:rsid w:val="008B4302"/>
    <w:rsid w:val="008B605A"/>
    <w:rsid w:val="008B6150"/>
    <w:rsid w:val="008C093B"/>
    <w:rsid w:val="008C0E76"/>
    <w:rsid w:val="008C2246"/>
    <w:rsid w:val="008C2665"/>
    <w:rsid w:val="008C2822"/>
    <w:rsid w:val="008C2B01"/>
    <w:rsid w:val="008C308E"/>
    <w:rsid w:val="008C363B"/>
    <w:rsid w:val="008C54D2"/>
    <w:rsid w:val="008C5CD8"/>
    <w:rsid w:val="008C6041"/>
    <w:rsid w:val="008C68D0"/>
    <w:rsid w:val="008C74E3"/>
    <w:rsid w:val="008D0936"/>
    <w:rsid w:val="008D403B"/>
    <w:rsid w:val="008D455D"/>
    <w:rsid w:val="008D4707"/>
    <w:rsid w:val="008D76C5"/>
    <w:rsid w:val="008E077C"/>
    <w:rsid w:val="008E0A04"/>
    <w:rsid w:val="008E0AA0"/>
    <w:rsid w:val="008E0AFA"/>
    <w:rsid w:val="008E131A"/>
    <w:rsid w:val="008E26B4"/>
    <w:rsid w:val="008E2799"/>
    <w:rsid w:val="008E411B"/>
    <w:rsid w:val="008E4804"/>
    <w:rsid w:val="008E4D82"/>
    <w:rsid w:val="008E4F56"/>
    <w:rsid w:val="008E63CA"/>
    <w:rsid w:val="008E71E8"/>
    <w:rsid w:val="008E75D3"/>
    <w:rsid w:val="008E7E48"/>
    <w:rsid w:val="008F02E9"/>
    <w:rsid w:val="008F0CE4"/>
    <w:rsid w:val="008F125E"/>
    <w:rsid w:val="008F1354"/>
    <w:rsid w:val="008F1CC5"/>
    <w:rsid w:val="008F2B54"/>
    <w:rsid w:val="008F2CC5"/>
    <w:rsid w:val="008F2F3B"/>
    <w:rsid w:val="008F3112"/>
    <w:rsid w:val="008F4522"/>
    <w:rsid w:val="008F4C1E"/>
    <w:rsid w:val="008F4D2F"/>
    <w:rsid w:val="008F510A"/>
    <w:rsid w:val="008F55A2"/>
    <w:rsid w:val="00900235"/>
    <w:rsid w:val="0090055B"/>
    <w:rsid w:val="00900760"/>
    <w:rsid w:val="00900D3C"/>
    <w:rsid w:val="00906292"/>
    <w:rsid w:val="00906FA4"/>
    <w:rsid w:val="0090713D"/>
    <w:rsid w:val="00910C40"/>
    <w:rsid w:val="009117FF"/>
    <w:rsid w:val="00911AA1"/>
    <w:rsid w:val="00914B5B"/>
    <w:rsid w:val="00915918"/>
    <w:rsid w:val="00916C87"/>
    <w:rsid w:val="00916EAB"/>
    <w:rsid w:val="00917162"/>
    <w:rsid w:val="009172B9"/>
    <w:rsid w:val="009178AA"/>
    <w:rsid w:val="00921CAD"/>
    <w:rsid w:val="00922BCB"/>
    <w:rsid w:val="00922C88"/>
    <w:rsid w:val="00923001"/>
    <w:rsid w:val="0092358D"/>
    <w:rsid w:val="009238BF"/>
    <w:rsid w:val="009246C9"/>
    <w:rsid w:val="009251CC"/>
    <w:rsid w:val="0092714E"/>
    <w:rsid w:val="009274C3"/>
    <w:rsid w:val="00927661"/>
    <w:rsid w:val="00931E24"/>
    <w:rsid w:val="009324F0"/>
    <w:rsid w:val="00932AF8"/>
    <w:rsid w:val="00933056"/>
    <w:rsid w:val="0093478F"/>
    <w:rsid w:val="0093643F"/>
    <w:rsid w:val="00936457"/>
    <w:rsid w:val="00936826"/>
    <w:rsid w:val="0094031A"/>
    <w:rsid w:val="00940B3D"/>
    <w:rsid w:val="00940CA8"/>
    <w:rsid w:val="00942002"/>
    <w:rsid w:val="00942359"/>
    <w:rsid w:val="009446D6"/>
    <w:rsid w:val="009457DC"/>
    <w:rsid w:val="0094623A"/>
    <w:rsid w:val="00946FC5"/>
    <w:rsid w:val="00947885"/>
    <w:rsid w:val="009479C1"/>
    <w:rsid w:val="00950028"/>
    <w:rsid w:val="0095026E"/>
    <w:rsid w:val="009504AB"/>
    <w:rsid w:val="00951212"/>
    <w:rsid w:val="00951818"/>
    <w:rsid w:val="00952168"/>
    <w:rsid w:val="009527FE"/>
    <w:rsid w:val="009529B2"/>
    <w:rsid w:val="00952F6B"/>
    <w:rsid w:val="009535A6"/>
    <w:rsid w:val="009538D0"/>
    <w:rsid w:val="0095421F"/>
    <w:rsid w:val="0095498F"/>
    <w:rsid w:val="009555CA"/>
    <w:rsid w:val="00955A9C"/>
    <w:rsid w:val="00955D69"/>
    <w:rsid w:val="00955EC7"/>
    <w:rsid w:val="00955FC1"/>
    <w:rsid w:val="009577B8"/>
    <w:rsid w:val="00957EFA"/>
    <w:rsid w:val="00960539"/>
    <w:rsid w:val="009605B1"/>
    <w:rsid w:val="00960CBC"/>
    <w:rsid w:val="00961EDD"/>
    <w:rsid w:val="009621EE"/>
    <w:rsid w:val="00963A06"/>
    <w:rsid w:val="00964B2B"/>
    <w:rsid w:val="00964DF4"/>
    <w:rsid w:val="00965192"/>
    <w:rsid w:val="0096580C"/>
    <w:rsid w:val="00965A44"/>
    <w:rsid w:val="00965AF0"/>
    <w:rsid w:val="009670A5"/>
    <w:rsid w:val="0096715A"/>
    <w:rsid w:val="00967DD4"/>
    <w:rsid w:val="009700B1"/>
    <w:rsid w:val="00970ECF"/>
    <w:rsid w:val="00971261"/>
    <w:rsid w:val="00971FD4"/>
    <w:rsid w:val="009722CB"/>
    <w:rsid w:val="009739A0"/>
    <w:rsid w:val="0097461C"/>
    <w:rsid w:val="00974EE4"/>
    <w:rsid w:val="00974F84"/>
    <w:rsid w:val="00975D5B"/>
    <w:rsid w:val="00976216"/>
    <w:rsid w:val="009767C7"/>
    <w:rsid w:val="00976A98"/>
    <w:rsid w:val="00977D30"/>
    <w:rsid w:val="009809DA"/>
    <w:rsid w:val="00980E69"/>
    <w:rsid w:val="0098334C"/>
    <w:rsid w:val="00983843"/>
    <w:rsid w:val="009839AE"/>
    <w:rsid w:val="00984175"/>
    <w:rsid w:val="0098439D"/>
    <w:rsid w:val="00984643"/>
    <w:rsid w:val="0098576C"/>
    <w:rsid w:val="0098579A"/>
    <w:rsid w:val="00986397"/>
    <w:rsid w:val="00991475"/>
    <w:rsid w:val="009918DD"/>
    <w:rsid w:val="0099195A"/>
    <w:rsid w:val="00991BD2"/>
    <w:rsid w:val="00992407"/>
    <w:rsid w:val="00992820"/>
    <w:rsid w:val="00992A11"/>
    <w:rsid w:val="009935F8"/>
    <w:rsid w:val="009936A0"/>
    <w:rsid w:val="00994681"/>
    <w:rsid w:val="0099486A"/>
    <w:rsid w:val="009968D8"/>
    <w:rsid w:val="009975A3"/>
    <w:rsid w:val="009A0B33"/>
    <w:rsid w:val="009A0E26"/>
    <w:rsid w:val="009A16EC"/>
    <w:rsid w:val="009A1975"/>
    <w:rsid w:val="009A22C2"/>
    <w:rsid w:val="009A233A"/>
    <w:rsid w:val="009A3A07"/>
    <w:rsid w:val="009A490F"/>
    <w:rsid w:val="009A547B"/>
    <w:rsid w:val="009A743E"/>
    <w:rsid w:val="009A7CF6"/>
    <w:rsid w:val="009A7F86"/>
    <w:rsid w:val="009B1B55"/>
    <w:rsid w:val="009B29B7"/>
    <w:rsid w:val="009B3199"/>
    <w:rsid w:val="009B32AC"/>
    <w:rsid w:val="009B3520"/>
    <w:rsid w:val="009B3B37"/>
    <w:rsid w:val="009B63F4"/>
    <w:rsid w:val="009B6C6F"/>
    <w:rsid w:val="009B7216"/>
    <w:rsid w:val="009B7D1F"/>
    <w:rsid w:val="009C088E"/>
    <w:rsid w:val="009C17DC"/>
    <w:rsid w:val="009C2852"/>
    <w:rsid w:val="009C37AB"/>
    <w:rsid w:val="009C41BB"/>
    <w:rsid w:val="009C4C7A"/>
    <w:rsid w:val="009C4D35"/>
    <w:rsid w:val="009C5E51"/>
    <w:rsid w:val="009C738F"/>
    <w:rsid w:val="009C79DB"/>
    <w:rsid w:val="009C7B68"/>
    <w:rsid w:val="009D0603"/>
    <w:rsid w:val="009D0BB1"/>
    <w:rsid w:val="009D1522"/>
    <w:rsid w:val="009D2268"/>
    <w:rsid w:val="009D3919"/>
    <w:rsid w:val="009D3E2E"/>
    <w:rsid w:val="009D51F0"/>
    <w:rsid w:val="009D51F7"/>
    <w:rsid w:val="009D7252"/>
    <w:rsid w:val="009D7585"/>
    <w:rsid w:val="009E1FF6"/>
    <w:rsid w:val="009E20E2"/>
    <w:rsid w:val="009E3CAF"/>
    <w:rsid w:val="009E3F48"/>
    <w:rsid w:val="009E53A5"/>
    <w:rsid w:val="009E5B95"/>
    <w:rsid w:val="009E5CCE"/>
    <w:rsid w:val="009E5EB4"/>
    <w:rsid w:val="009E6215"/>
    <w:rsid w:val="009F08CB"/>
    <w:rsid w:val="009F3768"/>
    <w:rsid w:val="009F456E"/>
    <w:rsid w:val="009F563C"/>
    <w:rsid w:val="009F610E"/>
    <w:rsid w:val="009F6D34"/>
    <w:rsid w:val="009F6E9B"/>
    <w:rsid w:val="00A00DA9"/>
    <w:rsid w:val="00A00E4B"/>
    <w:rsid w:val="00A00F7E"/>
    <w:rsid w:val="00A044D6"/>
    <w:rsid w:val="00A04949"/>
    <w:rsid w:val="00A04A7C"/>
    <w:rsid w:val="00A04ADB"/>
    <w:rsid w:val="00A04F89"/>
    <w:rsid w:val="00A05F11"/>
    <w:rsid w:val="00A07252"/>
    <w:rsid w:val="00A07DA4"/>
    <w:rsid w:val="00A115A6"/>
    <w:rsid w:val="00A1184D"/>
    <w:rsid w:val="00A11E0F"/>
    <w:rsid w:val="00A12378"/>
    <w:rsid w:val="00A12BF7"/>
    <w:rsid w:val="00A13401"/>
    <w:rsid w:val="00A141E9"/>
    <w:rsid w:val="00A15D78"/>
    <w:rsid w:val="00A15EBE"/>
    <w:rsid w:val="00A16618"/>
    <w:rsid w:val="00A17F5B"/>
    <w:rsid w:val="00A20196"/>
    <w:rsid w:val="00A216E5"/>
    <w:rsid w:val="00A2250A"/>
    <w:rsid w:val="00A24046"/>
    <w:rsid w:val="00A24752"/>
    <w:rsid w:val="00A24BA7"/>
    <w:rsid w:val="00A24BA8"/>
    <w:rsid w:val="00A26744"/>
    <w:rsid w:val="00A26CB6"/>
    <w:rsid w:val="00A30A00"/>
    <w:rsid w:val="00A3251C"/>
    <w:rsid w:val="00A32F82"/>
    <w:rsid w:val="00A32F8B"/>
    <w:rsid w:val="00A3431E"/>
    <w:rsid w:val="00A34F9F"/>
    <w:rsid w:val="00A35AA1"/>
    <w:rsid w:val="00A35F2E"/>
    <w:rsid w:val="00A36481"/>
    <w:rsid w:val="00A36675"/>
    <w:rsid w:val="00A3756F"/>
    <w:rsid w:val="00A4014B"/>
    <w:rsid w:val="00A41CC3"/>
    <w:rsid w:val="00A41DBE"/>
    <w:rsid w:val="00A42D6F"/>
    <w:rsid w:val="00A43578"/>
    <w:rsid w:val="00A43870"/>
    <w:rsid w:val="00A44642"/>
    <w:rsid w:val="00A44721"/>
    <w:rsid w:val="00A4474B"/>
    <w:rsid w:val="00A45717"/>
    <w:rsid w:val="00A45A62"/>
    <w:rsid w:val="00A462DC"/>
    <w:rsid w:val="00A4657C"/>
    <w:rsid w:val="00A46C7E"/>
    <w:rsid w:val="00A50BC1"/>
    <w:rsid w:val="00A51CE8"/>
    <w:rsid w:val="00A51DB8"/>
    <w:rsid w:val="00A52E0B"/>
    <w:rsid w:val="00A52FA1"/>
    <w:rsid w:val="00A54AC5"/>
    <w:rsid w:val="00A54C2A"/>
    <w:rsid w:val="00A55154"/>
    <w:rsid w:val="00A55DC3"/>
    <w:rsid w:val="00A56D41"/>
    <w:rsid w:val="00A56DEC"/>
    <w:rsid w:val="00A60529"/>
    <w:rsid w:val="00A60899"/>
    <w:rsid w:val="00A608D3"/>
    <w:rsid w:val="00A60F91"/>
    <w:rsid w:val="00A61353"/>
    <w:rsid w:val="00A61481"/>
    <w:rsid w:val="00A616F1"/>
    <w:rsid w:val="00A61A48"/>
    <w:rsid w:val="00A62312"/>
    <w:rsid w:val="00A629D6"/>
    <w:rsid w:val="00A6364F"/>
    <w:rsid w:val="00A637C9"/>
    <w:rsid w:val="00A651CF"/>
    <w:rsid w:val="00A65278"/>
    <w:rsid w:val="00A66849"/>
    <w:rsid w:val="00A66DB1"/>
    <w:rsid w:val="00A67A92"/>
    <w:rsid w:val="00A70DC6"/>
    <w:rsid w:val="00A71F56"/>
    <w:rsid w:val="00A74FDC"/>
    <w:rsid w:val="00A75658"/>
    <w:rsid w:val="00A77192"/>
    <w:rsid w:val="00A8089F"/>
    <w:rsid w:val="00A80D11"/>
    <w:rsid w:val="00A81DCA"/>
    <w:rsid w:val="00A8307C"/>
    <w:rsid w:val="00A83DDB"/>
    <w:rsid w:val="00A842D5"/>
    <w:rsid w:val="00A84D1B"/>
    <w:rsid w:val="00A85DD9"/>
    <w:rsid w:val="00A87870"/>
    <w:rsid w:val="00A87F87"/>
    <w:rsid w:val="00A903F3"/>
    <w:rsid w:val="00A90F18"/>
    <w:rsid w:val="00A90FFB"/>
    <w:rsid w:val="00A9149D"/>
    <w:rsid w:val="00A91A70"/>
    <w:rsid w:val="00A92659"/>
    <w:rsid w:val="00A9302F"/>
    <w:rsid w:val="00A940AF"/>
    <w:rsid w:val="00A956DA"/>
    <w:rsid w:val="00A957F6"/>
    <w:rsid w:val="00A95915"/>
    <w:rsid w:val="00A959CF"/>
    <w:rsid w:val="00A972A9"/>
    <w:rsid w:val="00A97316"/>
    <w:rsid w:val="00A974AA"/>
    <w:rsid w:val="00A977E4"/>
    <w:rsid w:val="00AA010B"/>
    <w:rsid w:val="00AA0D54"/>
    <w:rsid w:val="00AA1B85"/>
    <w:rsid w:val="00AA1EF3"/>
    <w:rsid w:val="00AA24E8"/>
    <w:rsid w:val="00AA321F"/>
    <w:rsid w:val="00AA3290"/>
    <w:rsid w:val="00AA46F0"/>
    <w:rsid w:val="00AA4B5F"/>
    <w:rsid w:val="00AA4CA2"/>
    <w:rsid w:val="00AA6481"/>
    <w:rsid w:val="00AA7270"/>
    <w:rsid w:val="00AA78C2"/>
    <w:rsid w:val="00AA7E42"/>
    <w:rsid w:val="00AB0C08"/>
    <w:rsid w:val="00AB12AC"/>
    <w:rsid w:val="00AB1CB6"/>
    <w:rsid w:val="00AB1D9A"/>
    <w:rsid w:val="00AB214C"/>
    <w:rsid w:val="00AB2C47"/>
    <w:rsid w:val="00AB4A1F"/>
    <w:rsid w:val="00AB5C61"/>
    <w:rsid w:val="00AB6D87"/>
    <w:rsid w:val="00AC04AA"/>
    <w:rsid w:val="00AC2CCC"/>
    <w:rsid w:val="00AC3540"/>
    <w:rsid w:val="00AC3D15"/>
    <w:rsid w:val="00AC5055"/>
    <w:rsid w:val="00AD0C22"/>
    <w:rsid w:val="00AD0D7E"/>
    <w:rsid w:val="00AD1AD7"/>
    <w:rsid w:val="00AD1AE2"/>
    <w:rsid w:val="00AD2180"/>
    <w:rsid w:val="00AD3290"/>
    <w:rsid w:val="00AD442C"/>
    <w:rsid w:val="00AD44FE"/>
    <w:rsid w:val="00AD5A37"/>
    <w:rsid w:val="00AD67D2"/>
    <w:rsid w:val="00AD73BF"/>
    <w:rsid w:val="00AE05A4"/>
    <w:rsid w:val="00AE177E"/>
    <w:rsid w:val="00AE244E"/>
    <w:rsid w:val="00AE25FC"/>
    <w:rsid w:val="00AE400C"/>
    <w:rsid w:val="00AE4291"/>
    <w:rsid w:val="00AE4461"/>
    <w:rsid w:val="00AE49F1"/>
    <w:rsid w:val="00AE4A1C"/>
    <w:rsid w:val="00AE4B7A"/>
    <w:rsid w:val="00AE5366"/>
    <w:rsid w:val="00AE5399"/>
    <w:rsid w:val="00AE5532"/>
    <w:rsid w:val="00AE7351"/>
    <w:rsid w:val="00AE74D8"/>
    <w:rsid w:val="00AF0B6F"/>
    <w:rsid w:val="00AF1B37"/>
    <w:rsid w:val="00AF1D69"/>
    <w:rsid w:val="00AF1DE9"/>
    <w:rsid w:val="00AF30D0"/>
    <w:rsid w:val="00AF3FEC"/>
    <w:rsid w:val="00AF41FA"/>
    <w:rsid w:val="00AF551F"/>
    <w:rsid w:val="00AF581E"/>
    <w:rsid w:val="00AF71EB"/>
    <w:rsid w:val="00B00988"/>
    <w:rsid w:val="00B01405"/>
    <w:rsid w:val="00B03778"/>
    <w:rsid w:val="00B04955"/>
    <w:rsid w:val="00B04F7A"/>
    <w:rsid w:val="00B052E8"/>
    <w:rsid w:val="00B05CCA"/>
    <w:rsid w:val="00B0701C"/>
    <w:rsid w:val="00B07F4F"/>
    <w:rsid w:val="00B100C9"/>
    <w:rsid w:val="00B10E8A"/>
    <w:rsid w:val="00B11099"/>
    <w:rsid w:val="00B1118A"/>
    <w:rsid w:val="00B13624"/>
    <w:rsid w:val="00B14271"/>
    <w:rsid w:val="00B14B4F"/>
    <w:rsid w:val="00B1566D"/>
    <w:rsid w:val="00B16270"/>
    <w:rsid w:val="00B166F8"/>
    <w:rsid w:val="00B17C8C"/>
    <w:rsid w:val="00B22578"/>
    <w:rsid w:val="00B22925"/>
    <w:rsid w:val="00B23C16"/>
    <w:rsid w:val="00B23C52"/>
    <w:rsid w:val="00B241F2"/>
    <w:rsid w:val="00B247C7"/>
    <w:rsid w:val="00B24A42"/>
    <w:rsid w:val="00B259E1"/>
    <w:rsid w:val="00B2685D"/>
    <w:rsid w:val="00B26CB1"/>
    <w:rsid w:val="00B26D1E"/>
    <w:rsid w:val="00B30351"/>
    <w:rsid w:val="00B32601"/>
    <w:rsid w:val="00B3270B"/>
    <w:rsid w:val="00B327B0"/>
    <w:rsid w:val="00B33837"/>
    <w:rsid w:val="00B33C2A"/>
    <w:rsid w:val="00B33C35"/>
    <w:rsid w:val="00B34A14"/>
    <w:rsid w:val="00B35967"/>
    <w:rsid w:val="00B363D9"/>
    <w:rsid w:val="00B36725"/>
    <w:rsid w:val="00B40EAF"/>
    <w:rsid w:val="00B422EC"/>
    <w:rsid w:val="00B44335"/>
    <w:rsid w:val="00B44875"/>
    <w:rsid w:val="00B44C07"/>
    <w:rsid w:val="00B46320"/>
    <w:rsid w:val="00B46574"/>
    <w:rsid w:val="00B4657A"/>
    <w:rsid w:val="00B471F4"/>
    <w:rsid w:val="00B47F0A"/>
    <w:rsid w:val="00B47FE8"/>
    <w:rsid w:val="00B50B6B"/>
    <w:rsid w:val="00B5158B"/>
    <w:rsid w:val="00B529CA"/>
    <w:rsid w:val="00B53E3E"/>
    <w:rsid w:val="00B54329"/>
    <w:rsid w:val="00B54885"/>
    <w:rsid w:val="00B548CE"/>
    <w:rsid w:val="00B54BFF"/>
    <w:rsid w:val="00B554C9"/>
    <w:rsid w:val="00B5592E"/>
    <w:rsid w:val="00B56AD9"/>
    <w:rsid w:val="00B56EE3"/>
    <w:rsid w:val="00B57158"/>
    <w:rsid w:val="00B5778D"/>
    <w:rsid w:val="00B60EF2"/>
    <w:rsid w:val="00B614C0"/>
    <w:rsid w:val="00B62B2A"/>
    <w:rsid w:val="00B634AB"/>
    <w:rsid w:val="00B63533"/>
    <w:rsid w:val="00B63624"/>
    <w:rsid w:val="00B6678B"/>
    <w:rsid w:val="00B671F2"/>
    <w:rsid w:val="00B7037B"/>
    <w:rsid w:val="00B71798"/>
    <w:rsid w:val="00B719F6"/>
    <w:rsid w:val="00B726D4"/>
    <w:rsid w:val="00B72969"/>
    <w:rsid w:val="00B72FA4"/>
    <w:rsid w:val="00B758FD"/>
    <w:rsid w:val="00B76807"/>
    <w:rsid w:val="00B77346"/>
    <w:rsid w:val="00B77D24"/>
    <w:rsid w:val="00B80A8C"/>
    <w:rsid w:val="00B81A6C"/>
    <w:rsid w:val="00B8214F"/>
    <w:rsid w:val="00B82B43"/>
    <w:rsid w:val="00B82B48"/>
    <w:rsid w:val="00B85133"/>
    <w:rsid w:val="00B8643A"/>
    <w:rsid w:val="00B86636"/>
    <w:rsid w:val="00B86A4F"/>
    <w:rsid w:val="00B91225"/>
    <w:rsid w:val="00B91F86"/>
    <w:rsid w:val="00B92F21"/>
    <w:rsid w:val="00B93035"/>
    <w:rsid w:val="00B93988"/>
    <w:rsid w:val="00B940EB"/>
    <w:rsid w:val="00B942EF"/>
    <w:rsid w:val="00B9431C"/>
    <w:rsid w:val="00B95798"/>
    <w:rsid w:val="00B958E8"/>
    <w:rsid w:val="00B97637"/>
    <w:rsid w:val="00B97E4A"/>
    <w:rsid w:val="00BA09B2"/>
    <w:rsid w:val="00BA0F35"/>
    <w:rsid w:val="00BA1179"/>
    <w:rsid w:val="00BA25EB"/>
    <w:rsid w:val="00BA465D"/>
    <w:rsid w:val="00BA52C0"/>
    <w:rsid w:val="00BA5B46"/>
    <w:rsid w:val="00BA63D4"/>
    <w:rsid w:val="00BA6770"/>
    <w:rsid w:val="00BB054C"/>
    <w:rsid w:val="00BB0AB3"/>
    <w:rsid w:val="00BB1D8C"/>
    <w:rsid w:val="00BB220C"/>
    <w:rsid w:val="00BB256A"/>
    <w:rsid w:val="00BB2D73"/>
    <w:rsid w:val="00BB400D"/>
    <w:rsid w:val="00BB45BA"/>
    <w:rsid w:val="00BB48B2"/>
    <w:rsid w:val="00BB4A3A"/>
    <w:rsid w:val="00BB4D6A"/>
    <w:rsid w:val="00BB5D0B"/>
    <w:rsid w:val="00BB617E"/>
    <w:rsid w:val="00BB629C"/>
    <w:rsid w:val="00BB75C5"/>
    <w:rsid w:val="00BC02F6"/>
    <w:rsid w:val="00BC0995"/>
    <w:rsid w:val="00BC0A4C"/>
    <w:rsid w:val="00BC13C1"/>
    <w:rsid w:val="00BC1761"/>
    <w:rsid w:val="00BC19ED"/>
    <w:rsid w:val="00BC23AC"/>
    <w:rsid w:val="00BC26B9"/>
    <w:rsid w:val="00BC36D4"/>
    <w:rsid w:val="00BC513A"/>
    <w:rsid w:val="00BC5BEA"/>
    <w:rsid w:val="00BC6C56"/>
    <w:rsid w:val="00BC6DE2"/>
    <w:rsid w:val="00BC6E62"/>
    <w:rsid w:val="00BD013A"/>
    <w:rsid w:val="00BD07B0"/>
    <w:rsid w:val="00BD0E5B"/>
    <w:rsid w:val="00BD1DE3"/>
    <w:rsid w:val="00BD2510"/>
    <w:rsid w:val="00BD3425"/>
    <w:rsid w:val="00BD34AA"/>
    <w:rsid w:val="00BD3A53"/>
    <w:rsid w:val="00BD5A19"/>
    <w:rsid w:val="00BD656A"/>
    <w:rsid w:val="00BD6A0B"/>
    <w:rsid w:val="00BD6D1B"/>
    <w:rsid w:val="00BE13AB"/>
    <w:rsid w:val="00BE1906"/>
    <w:rsid w:val="00BE2403"/>
    <w:rsid w:val="00BE2D0A"/>
    <w:rsid w:val="00BE47D4"/>
    <w:rsid w:val="00BE793A"/>
    <w:rsid w:val="00BE7A0B"/>
    <w:rsid w:val="00BF114D"/>
    <w:rsid w:val="00BF28DA"/>
    <w:rsid w:val="00BF2B82"/>
    <w:rsid w:val="00BF2CEB"/>
    <w:rsid w:val="00BF432A"/>
    <w:rsid w:val="00BF46ED"/>
    <w:rsid w:val="00BF5D70"/>
    <w:rsid w:val="00BF62B7"/>
    <w:rsid w:val="00BF64A6"/>
    <w:rsid w:val="00BF6796"/>
    <w:rsid w:val="00BF69D7"/>
    <w:rsid w:val="00BF6E82"/>
    <w:rsid w:val="00C0460A"/>
    <w:rsid w:val="00C0487A"/>
    <w:rsid w:val="00C05954"/>
    <w:rsid w:val="00C060C7"/>
    <w:rsid w:val="00C06DCC"/>
    <w:rsid w:val="00C07F92"/>
    <w:rsid w:val="00C10EA4"/>
    <w:rsid w:val="00C11D25"/>
    <w:rsid w:val="00C12FAE"/>
    <w:rsid w:val="00C13217"/>
    <w:rsid w:val="00C15BEC"/>
    <w:rsid w:val="00C15DB5"/>
    <w:rsid w:val="00C16AF0"/>
    <w:rsid w:val="00C208E2"/>
    <w:rsid w:val="00C20D11"/>
    <w:rsid w:val="00C20D6E"/>
    <w:rsid w:val="00C21897"/>
    <w:rsid w:val="00C22054"/>
    <w:rsid w:val="00C2288E"/>
    <w:rsid w:val="00C22B54"/>
    <w:rsid w:val="00C230C6"/>
    <w:rsid w:val="00C232DB"/>
    <w:rsid w:val="00C24279"/>
    <w:rsid w:val="00C24C17"/>
    <w:rsid w:val="00C25DB0"/>
    <w:rsid w:val="00C2653F"/>
    <w:rsid w:val="00C27AA1"/>
    <w:rsid w:val="00C31595"/>
    <w:rsid w:val="00C31B25"/>
    <w:rsid w:val="00C33052"/>
    <w:rsid w:val="00C3309D"/>
    <w:rsid w:val="00C3411D"/>
    <w:rsid w:val="00C34357"/>
    <w:rsid w:val="00C34829"/>
    <w:rsid w:val="00C363B8"/>
    <w:rsid w:val="00C36595"/>
    <w:rsid w:val="00C3758F"/>
    <w:rsid w:val="00C40B88"/>
    <w:rsid w:val="00C41852"/>
    <w:rsid w:val="00C44489"/>
    <w:rsid w:val="00C44D0E"/>
    <w:rsid w:val="00C44FC2"/>
    <w:rsid w:val="00C452D4"/>
    <w:rsid w:val="00C457DD"/>
    <w:rsid w:val="00C475EF"/>
    <w:rsid w:val="00C47D87"/>
    <w:rsid w:val="00C47FCD"/>
    <w:rsid w:val="00C50FA6"/>
    <w:rsid w:val="00C5280F"/>
    <w:rsid w:val="00C5376E"/>
    <w:rsid w:val="00C554C1"/>
    <w:rsid w:val="00C55AEE"/>
    <w:rsid w:val="00C5701B"/>
    <w:rsid w:val="00C5735F"/>
    <w:rsid w:val="00C576DB"/>
    <w:rsid w:val="00C57710"/>
    <w:rsid w:val="00C6069A"/>
    <w:rsid w:val="00C61BDC"/>
    <w:rsid w:val="00C64D40"/>
    <w:rsid w:val="00C6532D"/>
    <w:rsid w:val="00C65957"/>
    <w:rsid w:val="00C65F34"/>
    <w:rsid w:val="00C66218"/>
    <w:rsid w:val="00C6636E"/>
    <w:rsid w:val="00C677C9"/>
    <w:rsid w:val="00C70DBC"/>
    <w:rsid w:val="00C71E80"/>
    <w:rsid w:val="00C72C57"/>
    <w:rsid w:val="00C7537E"/>
    <w:rsid w:val="00C75B01"/>
    <w:rsid w:val="00C76080"/>
    <w:rsid w:val="00C762A2"/>
    <w:rsid w:val="00C766D0"/>
    <w:rsid w:val="00C766E1"/>
    <w:rsid w:val="00C7750A"/>
    <w:rsid w:val="00C80081"/>
    <w:rsid w:val="00C80467"/>
    <w:rsid w:val="00C808A6"/>
    <w:rsid w:val="00C82433"/>
    <w:rsid w:val="00C82B81"/>
    <w:rsid w:val="00C84AC6"/>
    <w:rsid w:val="00C855C5"/>
    <w:rsid w:val="00C855DB"/>
    <w:rsid w:val="00C855F3"/>
    <w:rsid w:val="00C86270"/>
    <w:rsid w:val="00C8634B"/>
    <w:rsid w:val="00C86C49"/>
    <w:rsid w:val="00C90C20"/>
    <w:rsid w:val="00C948CF"/>
    <w:rsid w:val="00C94F6F"/>
    <w:rsid w:val="00C95798"/>
    <w:rsid w:val="00C95A74"/>
    <w:rsid w:val="00C97091"/>
    <w:rsid w:val="00C97260"/>
    <w:rsid w:val="00C97348"/>
    <w:rsid w:val="00C97391"/>
    <w:rsid w:val="00CA14A5"/>
    <w:rsid w:val="00CA1A7C"/>
    <w:rsid w:val="00CA1AB8"/>
    <w:rsid w:val="00CA2001"/>
    <w:rsid w:val="00CA2061"/>
    <w:rsid w:val="00CA2B10"/>
    <w:rsid w:val="00CA37A2"/>
    <w:rsid w:val="00CA3F11"/>
    <w:rsid w:val="00CA5256"/>
    <w:rsid w:val="00CA5564"/>
    <w:rsid w:val="00CA6309"/>
    <w:rsid w:val="00CB078E"/>
    <w:rsid w:val="00CB3782"/>
    <w:rsid w:val="00CB4D20"/>
    <w:rsid w:val="00CB4E6C"/>
    <w:rsid w:val="00CB5B6C"/>
    <w:rsid w:val="00CB74E3"/>
    <w:rsid w:val="00CC00ED"/>
    <w:rsid w:val="00CC052E"/>
    <w:rsid w:val="00CC06E5"/>
    <w:rsid w:val="00CC0B14"/>
    <w:rsid w:val="00CC2031"/>
    <w:rsid w:val="00CC309E"/>
    <w:rsid w:val="00CC4A57"/>
    <w:rsid w:val="00CC5B9C"/>
    <w:rsid w:val="00CC7720"/>
    <w:rsid w:val="00CD02DF"/>
    <w:rsid w:val="00CD10A5"/>
    <w:rsid w:val="00CD16BE"/>
    <w:rsid w:val="00CD179F"/>
    <w:rsid w:val="00CD1C97"/>
    <w:rsid w:val="00CD1F32"/>
    <w:rsid w:val="00CD2268"/>
    <w:rsid w:val="00CD24AC"/>
    <w:rsid w:val="00CD2622"/>
    <w:rsid w:val="00CD2778"/>
    <w:rsid w:val="00CD4616"/>
    <w:rsid w:val="00CD56AF"/>
    <w:rsid w:val="00CD5AF4"/>
    <w:rsid w:val="00CD5FFA"/>
    <w:rsid w:val="00CD608B"/>
    <w:rsid w:val="00CD61BB"/>
    <w:rsid w:val="00CD67E4"/>
    <w:rsid w:val="00CE0C9F"/>
    <w:rsid w:val="00CE33D5"/>
    <w:rsid w:val="00CE4712"/>
    <w:rsid w:val="00CE6073"/>
    <w:rsid w:val="00CE625F"/>
    <w:rsid w:val="00CE761C"/>
    <w:rsid w:val="00CF155B"/>
    <w:rsid w:val="00CF32C0"/>
    <w:rsid w:val="00CF3D16"/>
    <w:rsid w:val="00CF4118"/>
    <w:rsid w:val="00CF474E"/>
    <w:rsid w:val="00CF5D37"/>
    <w:rsid w:val="00CF6353"/>
    <w:rsid w:val="00CF6F33"/>
    <w:rsid w:val="00CF7C7B"/>
    <w:rsid w:val="00D014F1"/>
    <w:rsid w:val="00D01755"/>
    <w:rsid w:val="00D0176E"/>
    <w:rsid w:val="00D02248"/>
    <w:rsid w:val="00D03EAD"/>
    <w:rsid w:val="00D04429"/>
    <w:rsid w:val="00D04435"/>
    <w:rsid w:val="00D04B47"/>
    <w:rsid w:val="00D04E37"/>
    <w:rsid w:val="00D04EC3"/>
    <w:rsid w:val="00D063B8"/>
    <w:rsid w:val="00D06825"/>
    <w:rsid w:val="00D06B35"/>
    <w:rsid w:val="00D07467"/>
    <w:rsid w:val="00D07697"/>
    <w:rsid w:val="00D076E6"/>
    <w:rsid w:val="00D10594"/>
    <w:rsid w:val="00D1154A"/>
    <w:rsid w:val="00D148D9"/>
    <w:rsid w:val="00D15CDD"/>
    <w:rsid w:val="00D17185"/>
    <w:rsid w:val="00D17E3B"/>
    <w:rsid w:val="00D2010C"/>
    <w:rsid w:val="00D22A9A"/>
    <w:rsid w:val="00D2306F"/>
    <w:rsid w:val="00D233A1"/>
    <w:rsid w:val="00D23C09"/>
    <w:rsid w:val="00D23CED"/>
    <w:rsid w:val="00D241D1"/>
    <w:rsid w:val="00D24BD2"/>
    <w:rsid w:val="00D24C2D"/>
    <w:rsid w:val="00D25100"/>
    <w:rsid w:val="00D254F7"/>
    <w:rsid w:val="00D2573D"/>
    <w:rsid w:val="00D260A2"/>
    <w:rsid w:val="00D26AE2"/>
    <w:rsid w:val="00D272E9"/>
    <w:rsid w:val="00D30CC6"/>
    <w:rsid w:val="00D30DA4"/>
    <w:rsid w:val="00D31722"/>
    <w:rsid w:val="00D31C80"/>
    <w:rsid w:val="00D31D9F"/>
    <w:rsid w:val="00D3260C"/>
    <w:rsid w:val="00D32DE6"/>
    <w:rsid w:val="00D33DB5"/>
    <w:rsid w:val="00D35790"/>
    <w:rsid w:val="00D407F1"/>
    <w:rsid w:val="00D41971"/>
    <w:rsid w:val="00D442D5"/>
    <w:rsid w:val="00D449EB"/>
    <w:rsid w:val="00D45043"/>
    <w:rsid w:val="00D4757A"/>
    <w:rsid w:val="00D5070C"/>
    <w:rsid w:val="00D50FD2"/>
    <w:rsid w:val="00D51576"/>
    <w:rsid w:val="00D51742"/>
    <w:rsid w:val="00D519AF"/>
    <w:rsid w:val="00D51A4E"/>
    <w:rsid w:val="00D51F67"/>
    <w:rsid w:val="00D532A9"/>
    <w:rsid w:val="00D5437A"/>
    <w:rsid w:val="00D547C7"/>
    <w:rsid w:val="00D548AD"/>
    <w:rsid w:val="00D54E4D"/>
    <w:rsid w:val="00D5611E"/>
    <w:rsid w:val="00D5653B"/>
    <w:rsid w:val="00D5655D"/>
    <w:rsid w:val="00D567C0"/>
    <w:rsid w:val="00D56A68"/>
    <w:rsid w:val="00D56C30"/>
    <w:rsid w:val="00D56DF7"/>
    <w:rsid w:val="00D571F9"/>
    <w:rsid w:val="00D5726D"/>
    <w:rsid w:val="00D572AC"/>
    <w:rsid w:val="00D57454"/>
    <w:rsid w:val="00D6018B"/>
    <w:rsid w:val="00D6071F"/>
    <w:rsid w:val="00D60AA4"/>
    <w:rsid w:val="00D61177"/>
    <w:rsid w:val="00D619EF"/>
    <w:rsid w:val="00D61D6E"/>
    <w:rsid w:val="00D62A31"/>
    <w:rsid w:val="00D62EF1"/>
    <w:rsid w:val="00D6309D"/>
    <w:rsid w:val="00D634F9"/>
    <w:rsid w:val="00D6389F"/>
    <w:rsid w:val="00D644CA"/>
    <w:rsid w:val="00D64EA0"/>
    <w:rsid w:val="00D66FC2"/>
    <w:rsid w:val="00D7044E"/>
    <w:rsid w:val="00D704A8"/>
    <w:rsid w:val="00D70930"/>
    <w:rsid w:val="00D70CA5"/>
    <w:rsid w:val="00D72B75"/>
    <w:rsid w:val="00D7308C"/>
    <w:rsid w:val="00D758F4"/>
    <w:rsid w:val="00D76059"/>
    <w:rsid w:val="00D76AA4"/>
    <w:rsid w:val="00D76C7E"/>
    <w:rsid w:val="00D771DE"/>
    <w:rsid w:val="00D7776D"/>
    <w:rsid w:val="00D80C6C"/>
    <w:rsid w:val="00D81384"/>
    <w:rsid w:val="00D81AEF"/>
    <w:rsid w:val="00D82673"/>
    <w:rsid w:val="00D82A42"/>
    <w:rsid w:val="00D834F1"/>
    <w:rsid w:val="00D83609"/>
    <w:rsid w:val="00D83AA6"/>
    <w:rsid w:val="00D841BC"/>
    <w:rsid w:val="00D84332"/>
    <w:rsid w:val="00D84777"/>
    <w:rsid w:val="00D851C7"/>
    <w:rsid w:val="00D85C0D"/>
    <w:rsid w:val="00D860D1"/>
    <w:rsid w:val="00D866CB"/>
    <w:rsid w:val="00D86909"/>
    <w:rsid w:val="00D877CE"/>
    <w:rsid w:val="00D87A9A"/>
    <w:rsid w:val="00D90625"/>
    <w:rsid w:val="00D909F8"/>
    <w:rsid w:val="00D9152C"/>
    <w:rsid w:val="00D92179"/>
    <w:rsid w:val="00D922C6"/>
    <w:rsid w:val="00D9293F"/>
    <w:rsid w:val="00D92DE7"/>
    <w:rsid w:val="00D934E9"/>
    <w:rsid w:val="00D93598"/>
    <w:rsid w:val="00D93FDD"/>
    <w:rsid w:val="00D942F8"/>
    <w:rsid w:val="00D95E36"/>
    <w:rsid w:val="00D96325"/>
    <w:rsid w:val="00D9644B"/>
    <w:rsid w:val="00D97844"/>
    <w:rsid w:val="00D97A06"/>
    <w:rsid w:val="00D97A5B"/>
    <w:rsid w:val="00DA1DB1"/>
    <w:rsid w:val="00DA1E18"/>
    <w:rsid w:val="00DA2009"/>
    <w:rsid w:val="00DA25C2"/>
    <w:rsid w:val="00DA296C"/>
    <w:rsid w:val="00DA3D8F"/>
    <w:rsid w:val="00DA5410"/>
    <w:rsid w:val="00DA5833"/>
    <w:rsid w:val="00DA585A"/>
    <w:rsid w:val="00DA7741"/>
    <w:rsid w:val="00DA7769"/>
    <w:rsid w:val="00DB05B1"/>
    <w:rsid w:val="00DB11FA"/>
    <w:rsid w:val="00DB2823"/>
    <w:rsid w:val="00DB28AD"/>
    <w:rsid w:val="00DB2D74"/>
    <w:rsid w:val="00DB3786"/>
    <w:rsid w:val="00DB3910"/>
    <w:rsid w:val="00DB553E"/>
    <w:rsid w:val="00DB59E8"/>
    <w:rsid w:val="00DB5A79"/>
    <w:rsid w:val="00DB7341"/>
    <w:rsid w:val="00DC22E2"/>
    <w:rsid w:val="00DC2465"/>
    <w:rsid w:val="00DC373A"/>
    <w:rsid w:val="00DC3878"/>
    <w:rsid w:val="00DC47F5"/>
    <w:rsid w:val="00DC4BCA"/>
    <w:rsid w:val="00DC50E8"/>
    <w:rsid w:val="00DC5CA4"/>
    <w:rsid w:val="00DC5CDA"/>
    <w:rsid w:val="00DC5E2C"/>
    <w:rsid w:val="00DC6B80"/>
    <w:rsid w:val="00DC71B8"/>
    <w:rsid w:val="00DC7497"/>
    <w:rsid w:val="00DC7D48"/>
    <w:rsid w:val="00DD0253"/>
    <w:rsid w:val="00DD08EF"/>
    <w:rsid w:val="00DD145A"/>
    <w:rsid w:val="00DD512E"/>
    <w:rsid w:val="00DD560D"/>
    <w:rsid w:val="00DD5EC8"/>
    <w:rsid w:val="00DD6BE2"/>
    <w:rsid w:val="00DD7B34"/>
    <w:rsid w:val="00DD7BEC"/>
    <w:rsid w:val="00DE06C9"/>
    <w:rsid w:val="00DE083E"/>
    <w:rsid w:val="00DE0C22"/>
    <w:rsid w:val="00DE1177"/>
    <w:rsid w:val="00DE1422"/>
    <w:rsid w:val="00DE1698"/>
    <w:rsid w:val="00DE2CEA"/>
    <w:rsid w:val="00DE3CFE"/>
    <w:rsid w:val="00DE515B"/>
    <w:rsid w:val="00DE567C"/>
    <w:rsid w:val="00DE6154"/>
    <w:rsid w:val="00DE634D"/>
    <w:rsid w:val="00DE6A3C"/>
    <w:rsid w:val="00DE6C0E"/>
    <w:rsid w:val="00DE74F4"/>
    <w:rsid w:val="00DE7823"/>
    <w:rsid w:val="00DE7C8B"/>
    <w:rsid w:val="00DE7F97"/>
    <w:rsid w:val="00DF0AAF"/>
    <w:rsid w:val="00DF1010"/>
    <w:rsid w:val="00DF2244"/>
    <w:rsid w:val="00DF334D"/>
    <w:rsid w:val="00DF53D9"/>
    <w:rsid w:val="00DF5AEA"/>
    <w:rsid w:val="00DF5D49"/>
    <w:rsid w:val="00DF614D"/>
    <w:rsid w:val="00DF627E"/>
    <w:rsid w:val="00DF63F6"/>
    <w:rsid w:val="00DF68D3"/>
    <w:rsid w:val="00DF7992"/>
    <w:rsid w:val="00DF7B43"/>
    <w:rsid w:val="00DF7BD0"/>
    <w:rsid w:val="00E003E6"/>
    <w:rsid w:val="00E0045E"/>
    <w:rsid w:val="00E00C8E"/>
    <w:rsid w:val="00E0219D"/>
    <w:rsid w:val="00E0276A"/>
    <w:rsid w:val="00E0374B"/>
    <w:rsid w:val="00E0632F"/>
    <w:rsid w:val="00E06C36"/>
    <w:rsid w:val="00E071A9"/>
    <w:rsid w:val="00E07D26"/>
    <w:rsid w:val="00E106E4"/>
    <w:rsid w:val="00E10B28"/>
    <w:rsid w:val="00E10F79"/>
    <w:rsid w:val="00E114AA"/>
    <w:rsid w:val="00E117FD"/>
    <w:rsid w:val="00E13747"/>
    <w:rsid w:val="00E14758"/>
    <w:rsid w:val="00E20348"/>
    <w:rsid w:val="00E21088"/>
    <w:rsid w:val="00E21942"/>
    <w:rsid w:val="00E23C5E"/>
    <w:rsid w:val="00E23CCB"/>
    <w:rsid w:val="00E23E29"/>
    <w:rsid w:val="00E24632"/>
    <w:rsid w:val="00E25155"/>
    <w:rsid w:val="00E25AEA"/>
    <w:rsid w:val="00E27C2C"/>
    <w:rsid w:val="00E30D26"/>
    <w:rsid w:val="00E30DEF"/>
    <w:rsid w:val="00E30ED2"/>
    <w:rsid w:val="00E31276"/>
    <w:rsid w:val="00E3155D"/>
    <w:rsid w:val="00E31579"/>
    <w:rsid w:val="00E31E3B"/>
    <w:rsid w:val="00E32102"/>
    <w:rsid w:val="00E33207"/>
    <w:rsid w:val="00E34666"/>
    <w:rsid w:val="00E34793"/>
    <w:rsid w:val="00E3642C"/>
    <w:rsid w:val="00E36A66"/>
    <w:rsid w:val="00E37A67"/>
    <w:rsid w:val="00E37F70"/>
    <w:rsid w:val="00E405D8"/>
    <w:rsid w:val="00E41377"/>
    <w:rsid w:val="00E41985"/>
    <w:rsid w:val="00E42B89"/>
    <w:rsid w:val="00E43D7E"/>
    <w:rsid w:val="00E4403D"/>
    <w:rsid w:val="00E446C1"/>
    <w:rsid w:val="00E45C53"/>
    <w:rsid w:val="00E46BCD"/>
    <w:rsid w:val="00E46D1E"/>
    <w:rsid w:val="00E47C88"/>
    <w:rsid w:val="00E51857"/>
    <w:rsid w:val="00E51CCC"/>
    <w:rsid w:val="00E52079"/>
    <w:rsid w:val="00E53247"/>
    <w:rsid w:val="00E5336E"/>
    <w:rsid w:val="00E53651"/>
    <w:rsid w:val="00E53B7B"/>
    <w:rsid w:val="00E545D7"/>
    <w:rsid w:val="00E547FE"/>
    <w:rsid w:val="00E54960"/>
    <w:rsid w:val="00E55927"/>
    <w:rsid w:val="00E55D7F"/>
    <w:rsid w:val="00E561E6"/>
    <w:rsid w:val="00E5636F"/>
    <w:rsid w:val="00E5669C"/>
    <w:rsid w:val="00E56A58"/>
    <w:rsid w:val="00E57735"/>
    <w:rsid w:val="00E60ECA"/>
    <w:rsid w:val="00E613AB"/>
    <w:rsid w:val="00E6168B"/>
    <w:rsid w:val="00E61A7F"/>
    <w:rsid w:val="00E634D2"/>
    <w:rsid w:val="00E637B6"/>
    <w:rsid w:val="00E6460A"/>
    <w:rsid w:val="00E663B6"/>
    <w:rsid w:val="00E66BBE"/>
    <w:rsid w:val="00E670B5"/>
    <w:rsid w:val="00E67488"/>
    <w:rsid w:val="00E6780D"/>
    <w:rsid w:val="00E67B4F"/>
    <w:rsid w:val="00E7169A"/>
    <w:rsid w:val="00E716A7"/>
    <w:rsid w:val="00E71DFE"/>
    <w:rsid w:val="00E7215F"/>
    <w:rsid w:val="00E73083"/>
    <w:rsid w:val="00E74AF4"/>
    <w:rsid w:val="00E75412"/>
    <w:rsid w:val="00E756E4"/>
    <w:rsid w:val="00E758B9"/>
    <w:rsid w:val="00E76025"/>
    <w:rsid w:val="00E76B45"/>
    <w:rsid w:val="00E76C67"/>
    <w:rsid w:val="00E8066B"/>
    <w:rsid w:val="00E806A5"/>
    <w:rsid w:val="00E816E4"/>
    <w:rsid w:val="00E81BC1"/>
    <w:rsid w:val="00E82FE5"/>
    <w:rsid w:val="00E83724"/>
    <w:rsid w:val="00E84236"/>
    <w:rsid w:val="00E843A4"/>
    <w:rsid w:val="00E8470B"/>
    <w:rsid w:val="00E84C02"/>
    <w:rsid w:val="00E84D5C"/>
    <w:rsid w:val="00E85569"/>
    <w:rsid w:val="00E856AF"/>
    <w:rsid w:val="00E859D9"/>
    <w:rsid w:val="00E86B83"/>
    <w:rsid w:val="00E86D6E"/>
    <w:rsid w:val="00E86D7D"/>
    <w:rsid w:val="00E878FB"/>
    <w:rsid w:val="00E87C64"/>
    <w:rsid w:val="00E912E1"/>
    <w:rsid w:val="00E919C3"/>
    <w:rsid w:val="00E93A01"/>
    <w:rsid w:val="00E93FF8"/>
    <w:rsid w:val="00E948D8"/>
    <w:rsid w:val="00E948F4"/>
    <w:rsid w:val="00E94EB6"/>
    <w:rsid w:val="00E94F16"/>
    <w:rsid w:val="00E950CA"/>
    <w:rsid w:val="00E95CA8"/>
    <w:rsid w:val="00E96643"/>
    <w:rsid w:val="00E96CE0"/>
    <w:rsid w:val="00E96EAF"/>
    <w:rsid w:val="00E979D5"/>
    <w:rsid w:val="00EA044C"/>
    <w:rsid w:val="00EA1752"/>
    <w:rsid w:val="00EA1911"/>
    <w:rsid w:val="00EA305A"/>
    <w:rsid w:val="00EA539B"/>
    <w:rsid w:val="00EA5A89"/>
    <w:rsid w:val="00EA5BDB"/>
    <w:rsid w:val="00EA63FA"/>
    <w:rsid w:val="00EA7DEB"/>
    <w:rsid w:val="00EB019E"/>
    <w:rsid w:val="00EB056C"/>
    <w:rsid w:val="00EB0A73"/>
    <w:rsid w:val="00EB0A9C"/>
    <w:rsid w:val="00EB0B55"/>
    <w:rsid w:val="00EB1C2C"/>
    <w:rsid w:val="00EB2D73"/>
    <w:rsid w:val="00EB3A98"/>
    <w:rsid w:val="00EB46D9"/>
    <w:rsid w:val="00EB4909"/>
    <w:rsid w:val="00EB6349"/>
    <w:rsid w:val="00EB6EF6"/>
    <w:rsid w:val="00EC0199"/>
    <w:rsid w:val="00EC0E64"/>
    <w:rsid w:val="00EC11AB"/>
    <w:rsid w:val="00EC142D"/>
    <w:rsid w:val="00EC1E16"/>
    <w:rsid w:val="00EC2DD1"/>
    <w:rsid w:val="00EC31BB"/>
    <w:rsid w:val="00EC3BAD"/>
    <w:rsid w:val="00EC4BA5"/>
    <w:rsid w:val="00EC4BCF"/>
    <w:rsid w:val="00EC52DA"/>
    <w:rsid w:val="00EC6F28"/>
    <w:rsid w:val="00ED0024"/>
    <w:rsid w:val="00ED073E"/>
    <w:rsid w:val="00ED0C8E"/>
    <w:rsid w:val="00ED0EA0"/>
    <w:rsid w:val="00ED0F85"/>
    <w:rsid w:val="00ED2B5C"/>
    <w:rsid w:val="00ED3269"/>
    <w:rsid w:val="00ED3A18"/>
    <w:rsid w:val="00ED3AB7"/>
    <w:rsid w:val="00ED3C57"/>
    <w:rsid w:val="00ED42A0"/>
    <w:rsid w:val="00ED50D6"/>
    <w:rsid w:val="00ED63EF"/>
    <w:rsid w:val="00ED7D1B"/>
    <w:rsid w:val="00EE0D12"/>
    <w:rsid w:val="00EE1A8C"/>
    <w:rsid w:val="00EE1C03"/>
    <w:rsid w:val="00EE2AE6"/>
    <w:rsid w:val="00EE3FED"/>
    <w:rsid w:val="00EE4643"/>
    <w:rsid w:val="00EE4B65"/>
    <w:rsid w:val="00EE529F"/>
    <w:rsid w:val="00EE65B6"/>
    <w:rsid w:val="00EE7970"/>
    <w:rsid w:val="00EE7C86"/>
    <w:rsid w:val="00EF1330"/>
    <w:rsid w:val="00EF15FF"/>
    <w:rsid w:val="00EF31D8"/>
    <w:rsid w:val="00EF5147"/>
    <w:rsid w:val="00EF55E6"/>
    <w:rsid w:val="00EF5707"/>
    <w:rsid w:val="00EF6F1F"/>
    <w:rsid w:val="00EF70EC"/>
    <w:rsid w:val="00EF7111"/>
    <w:rsid w:val="00EF7D1A"/>
    <w:rsid w:val="00F02658"/>
    <w:rsid w:val="00F02759"/>
    <w:rsid w:val="00F03B49"/>
    <w:rsid w:val="00F0448F"/>
    <w:rsid w:val="00F04E9B"/>
    <w:rsid w:val="00F0716C"/>
    <w:rsid w:val="00F105AE"/>
    <w:rsid w:val="00F108A8"/>
    <w:rsid w:val="00F12E8B"/>
    <w:rsid w:val="00F13319"/>
    <w:rsid w:val="00F14353"/>
    <w:rsid w:val="00F1628B"/>
    <w:rsid w:val="00F1694D"/>
    <w:rsid w:val="00F16EBE"/>
    <w:rsid w:val="00F22B26"/>
    <w:rsid w:val="00F22CAC"/>
    <w:rsid w:val="00F22E81"/>
    <w:rsid w:val="00F24382"/>
    <w:rsid w:val="00F26525"/>
    <w:rsid w:val="00F2681D"/>
    <w:rsid w:val="00F270E9"/>
    <w:rsid w:val="00F273EF"/>
    <w:rsid w:val="00F27440"/>
    <w:rsid w:val="00F275C0"/>
    <w:rsid w:val="00F300B8"/>
    <w:rsid w:val="00F304D0"/>
    <w:rsid w:val="00F317B5"/>
    <w:rsid w:val="00F33348"/>
    <w:rsid w:val="00F346B6"/>
    <w:rsid w:val="00F3608D"/>
    <w:rsid w:val="00F36145"/>
    <w:rsid w:val="00F37B80"/>
    <w:rsid w:val="00F37BDD"/>
    <w:rsid w:val="00F401C0"/>
    <w:rsid w:val="00F40716"/>
    <w:rsid w:val="00F41503"/>
    <w:rsid w:val="00F417D4"/>
    <w:rsid w:val="00F432CF"/>
    <w:rsid w:val="00F437FD"/>
    <w:rsid w:val="00F43B69"/>
    <w:rsid w:val="00F43D8C"/>
    <w:rsid w:val="00F4479A"/>
    <w:rsid w:val="00F44D82"/>
    <w:rsid w:val="00F44F3C"/>
    <w:rsid w:val="00F45589"/>
    <w:rsid w:val="00F46034"/>
    <w:rsid w:val="00F46207"/>
    <w:rsid w:val="00F466C8"/>
    <w:rsid w:val="00F469A9"/>
    <w:rsid w:val="00F46B50"/>
    <w:rsid w:val="00F47C20"/>
    <w:rsid w:val="00F50B46"/>
    <w:rsid w:val="00F50D1F"/>
    <w:rsid w:val="00F51545"/>
    <w:rsid w:val="00F51901"/>
    <w:rsid w:val="00F521DE"/>
    <w:rsid w:val="00F5371A"/>
    <w:rsid w:val="00F54162"/>
    <w:rsid w:val="00F541D4"/>
    <w:rsid w:val="00F54369"/>
    <w:rsid w:val="00F54B00"/>
    <w:rsid w:val="00F553CE"/>
    <w:rsid w:val="00F5565A"/>
    <w:rsid w:val="00F56043"/>
    <w:rsid w:val="00F565B2"/>
    <w:rsid w:val="00F5664E"/>
    <w:rsid w:val="00F56BD8"/>
    <w:rsid w:val="00F56FA9"/>
    <w:rsid w:val="00F6171A"/>
    <w:rsid w:val="00F620A1"/>
    <w:rsid w:val="00F62306"/>
    <w:rsid w:val="00F635FC"/>
    <w:rsid w:val="00F63B08"/>
    <w:rsid w:val="00F63D03"/>
    <w:rsid w:val="00F65E2F"/>
    <w:rsid w:val="00F663D3"/>
    <w:rsid w:val="00F664B1"/>
    <w:rsid w:val="00F66520"/>
    <w:rsid w:val="00F66719"/>
    <w:rsid w:val="00F6673F"/>
    <w:rsid w:val="00F67385"/>
    <w:rsid w:val="00F67DF1"/>
    <w:rsid w:val="00F7054E"/>
    <w:rsid w:val="00F7137C"/>
    <w:rsid w:val="00F72A09"/>
    <w:rsid w:val="00F72B1C"/>
    <w:rsid w:val="00F74D74"/>
    <w:rsid w:val="00F74E67"/>
    <w:rsid w:val="00F7552B"/>
    <w:rsid w:val="00F81C46"/>
    <w:rsid w:val="00F8309B"/>
    <w:rsid w:val="00F831E2"/>
    <w:rsid w:val="00F833C9"/>
    <w:rsid w:val="00F8533A"/>
    <w:rsid w:val="00F90064"/>
    <w:rsid w:val="00F9022A"/>
    <w:rsid w:val="00F90520"/>
    <w:rsid w:val="00F9056D"/>
    <w:rsid w:val="00F91E1A"/>
    <w:rsid w:val="00F93C79"/>
    <w:rsid w:val="00F94217"/>
    <w:rsid w:val="00F9586C"/>
    <w:rsid w:val="00F96AFD"/>
    <w:rsid w:val="00F96F4C"/>
    <w:rsid w:val="00F97C64"/>
    <w:rsid w:val="00FA014C"/>
    <w:rsid w:val="00FA07F4"/>
    <w:rsid w:val="00FA1398"/>
    <w:rsid w:val="00FA1515"/>
    <w:rsid w:val="00FA2E19"/>
    <w:rsid w:val="00FA43C8"/>
    <w:rsid w:val="00FA5EBA"/>
    <w:rsid w:val="00FA697F"/>
    <w:rsid w:val="00FA7147"/>
    <w:rsid w:val="00FA7A0A"/>
    <w:rsid w:val="00FB0147"/>
    <w:rsid w:val="00FB0F92"/>
    <w:rsid w:val="00FB1B41"/>
    <w:rsid w:val="00FB2015"/>
    <w:rsid w:val="00FB223A"/>
    <w:rsid w:val="00FB2852"/>
    <w:rsid w:val="00FB2B00"/>
    <w:rsid w:val="00FB2FB3"/>
    <w:rsid w:val="00FB3846"/>
    <w:rsid w:val="00FB5059"/>
    <w:rsid w:val="00FB5521"/>
    <w:rsid w:val="00FB610D"/>
    <w:rsid w:val="00FB626E"/>
    <w:rsid w:val="00FB782F"/>
    <w:rsid w:val="00FC21AC"/>
    <w:rsid w:val="00FC4477"/>
    <w:rsid w:val="00FC46FB"/>
    <w:rsid w:val="00FC51FF"/>
    <w:rsid w:val="00FC6630"/>
    <w:rsid w:val="00FC7110"/>
    <w:rsid w:val="00FC7B66"/>
    <w:rsid w:val="00FD0D94"/>
    <w:rsid w:val="00FD106C"/>
    <w:rsid w:val="00FD1B08"/>
    <w:rsid w:val="00FD1CB8"/>
    <w:rsid w:val="00FD2BD3"/>
    <w:rsid w:val="00FD3DEF"/>
    <w:rsid w:val="00FD4CA5"/>
    <w:rsid w:val="00FD4CCA"/>
    <w:rsid w:val="00FD58B1"/>
    <w:rsid w:val="00FD7002"/>
    <w:rsid w:val="00FD7610"/>
    <w:rsid w:val="00FE04BA"/>
    <w:rsid w:val="00FE234B"/>
    <w:rsid w:val="00FE2A9E"/>
    <w:rsid w:val="00FE34B3"/>
    <w:rsid w:val="00FE46B7"/>
    <w:rsid w:val="00FE4CEC"/>
    <w:rsid w:val="00FE6C21"/>
    <w:rsid w:val="00FE7B54"/>
    <w:rsid w:val="00FF0420"/>
    <w:rsid w:val="00FF41B8"/>
    <w:rsid w:val="00FF47C1"/>
    <w:rsid w:val="00FF4F5A"/>
    <w:rsid w:val="00FF5237"/>
    <w:rsid w:val="00FF58E4"/>
    <w:rsid w:val="00FF5B79"/>
    <w:rsid w:val="00FF60BD"/>
    <w:rsid w:val="06763376"/>
    <w:rsid w:val="06D79157"/>
    <w:rsid w:val="0DD79F36"/>
    <w:rsid w:val="0EEF67E2"/>
    <w:rsid w:val="11B2F77D"/>
    <w:rsid w:val="11E43BAB"/>
    <w:rsid w:val="121534C5"/>
    <w:rsid w:val="161E678D"/>
    <w:rsid w:val="19090967"/>
    <w:rsid w:val="1B3C24C5"/>
    <w:rsid w:val="210B7837"/>
    <w:rsid w:val="23B4E6BE"/>
    <w:rsid w:val="24F18C83"/>
    <w:rsid w:val="25653D02"/>
    <w:rsid w:val="27AA7305"/>
    <w:rsid w:val="27DDB067"/>
    <w:rsid w:val="287BFAB7"/>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5E673"/>
  <w15:chartTrackingRefBased/>
  <w15:docId w15:val="{F8C0A981-1704-416E-9ED9-560E5378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宋体"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eastAsia="宋体" w:hAnsi="Arial"/>
      <w:sz w:val="13"/>
      <w:szCs w:val="24"/>
      <w:lang w:val="de-DE" w:eastAsia="zh-CN"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eastAsia="宋体" w:hAnsi="Arial" w:cs="Arial"/>
      <w:b/>
      <w:bCs/>
      <w:kern w:val="32"/>
      <w:sz w:val="36"/>
      <w:szCs w:val="32"/>
      <w:lang w:val="de-DE"/>
    </w:rPr>
  </w:style>
  <w:style w:type="character" w:styleId="Hyperlink">
    <w:name w:val="Hyperlink"/>
    <w:rsid w:val="00336854"/>
    <w:rPr>
      <w:rFonts w:ascii="Segoe UI" w:eastAsia="宋体"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eastAsia="宋体"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eastAsia="宋体" w:hAnsi="Segoe UI"/>
      <w:bCs/>
      <w:noProof/>
      <w:sz w:val="12"/>
      <w:szCs w:val="24"/>
      <w:lang w:val="de-DE"/>
    </w:rPr>
  </w:style>
  <w:style w:type="character" w:customStyle="1" w:styleId="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eastAsia="宋体" w:hAnsi="Segoe UI"/>
      <w:sz w:val="18"/>
    </w:rPr>
  </w:style>
  <w:style w:type="character" w:customStyle="1" w:styleId="AboutandContactHeadline">
    <w:name w:val="About and Contact Headline"/>
    <w:basedOn w:val="DefaultParagraphFont"/>
    <w:rsid w:val="00336854"/>
    <w:rPr>
      <w:rFonts w:ascii="Segoe UI" w:eastAsia="宋体"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eastAsia="宋体"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eastAsia="宋体"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lang w:val="de-DE"/>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de-DE"/>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lang w:val="de-DE"/>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lang w:val="de-DE"/>
    </w:rPr>
  </w:style>
  <w:style w:type="character" w:customStyle="1" w:styleId="He05FettZchn">
    <w:name w:val="_He_05_Fett Zchn"/>
    <w:basedOn w:val="DefaultParagraphFont"/>
    <w:link w:val="He05Fett"/>
    <w:rsid w:val="00B33C35"/>
    <w:rPr>
      <w:rFonts w:eastAsiaTheme="minorHAnsi" w:cstheme="minorBidi"/>
      <w:b/>
      <w:szCs w:val="22"/>
      <w:lang w:val="de-DE"/>
    </w:rPr>
  </w:style>
  <w:style w:type="paragraph" w:customStyle="1" w:styleId="Default">
    <w:name w:val="Default"/>
    <w:rsid w:val="0026342A"/>
    <w:pPr>
      <w:autoSpaceDE w:val="0"/>
      <w:autoSpaceDN w:val="0"/>
      <w:adjustRightInd w:val="0"/>
    </w:pPr>
    <w:rPr>
      <w:rFonts w:cs="Segoe UI"/>
      <w:color w:val="000000"/>
      <w:sz w:val="24"/>
      <w:lang w:val="de-DE"/>
    </w:rPr>
  </w:style>
  <w:style w:type="paragraph" w:styleId="Date">
    <w:name w:val="Date"/>
    <w:basedOn w:val="Normal"/>
    <w:next w:val="Normal"/>
    <w:link w:val="DateChar"/>
    <w:rsid w:val="00461D39"/>
    <w:pPr>
      <w:ind w:leftChars="2500" w:left="100"/>
    </w:pPr>
  </w:style>
  <w:style w:type="character" w:customStyle="1" w:styleId="DateChar">
    <w:name w:val="Date Char"/>
    <w:basedOn w:val="DefaultParagraphFont"/>
    <w:link w:val="Date"/>
    <w:rsid w:val="00461D39"/>
    <w:rPr>
      <w:sz w:val="22"/>
    </w:rPr>
  </w:style>
  <w:style w:type="character" w:customStyle="1" w:styleId="normaltextrun">
    <w:name w:val="normaltextrun"/>
    <w:basedOn w:val="DefaultParagraphFont"/>
    <w:rsid w:val="008D455D"/>
  </w:style>
  <w:style w:type="character" w:customStyle="1" w:styleId="eop">
    <w:name w:val="eop"/>
    <w:basedOn w:val="DefaultParagraphFont"/>
    <w:rsid w:val="008D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ki.qin@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ouise.cheung@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tect.checkpoint.com/v2/___http://www.henkel.com___.YzJ1OndlY29tbXVuaWNhdGlvbnM6YzpvOmM1ZDRlMDJhYjlmMDNjY2Y3MTNjZmQ0MDJkNjM2NjBkOjY6ODUwZTo1ZmM4YmM4ZDE5NzBiYzljNmI3ZDI1NTJiZDlmMzFiMzA5MGY1MmJkNTA2MWEzZmRkYmZkYjVlMGUyY2JiMDRiOnA6VDp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42DBD2E4-BEAA-4191-9B41-67D2978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8</Pages>
  <Words>6547</Words>
  <Characters>1336</Characters>
  <Application>Microsoft Office Word</Application>
  <DocSecurity>4</DocSecurity>
  <Lines>11</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Liki Qin</cp:lastModifiedBy>
  <cp:revision>2</cp:revision>
  <cp:lastPrinted>2025-03-10T20:06:00Z</cp:lastPrinted>
  <dcterms:created xsi:type="dcterms:W3CDTF">2025-03-13T09:55:00Z</dcterms:created>
  <dcterms:modified xsi:type="dcterms:W3CDTF">2025-03-13T09:55:00Z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