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7C10" w14:textId="1ED06364" w:rsidR="00B422EC" w:rsidRPr="000B4203" w:rsidRDefault="004D4CB6" w:rsidP="000B4203">
      <w:pPr>
        <w:spacing w:before="120"/>
        <w:jc w:val="right"/>
        <w:rPr>
          <w:rFonts w:ascii="Segoe UI" w:hAnsi="Segoe UI" w:cs="Segoe UI"/>
          <w:i/>
          <w:sz w:val="22"/>
          <w:szCs w:val="22"/>
          <w:lang w:val="hu-HU"/>
        </w:rPr>
      </w:pPr>
      <w:r w:rsidRPr="000B4203">
        <w:rPr>
          <w:rFonts w:ascii="Segoe UI" w:hAnsi="Segoe UI" w:cs="Segoe UI"/>
          <w:bCs/>
          <w:i/>
          <w:iCs/>
          <w:sz w:val="22"/>
          <w:szCs w:val="22"/>
          <w:lang w:val="hu-HU"/>
        </w:rPr>
        <w:t xml:space="preserve"> </w:t>
      </w:r>
      <w:r w:rsidR="00B02FC0" w:rsidRPr="000B4203">
        <w:rPr>
          <w:rFonts w:ascii="Segoe UI" w:hAnsi="Segoe UI" w:cs="Segoe UI"/>
          <w:sz w:val="22"/>
          <w:szCs w:val="22"/>
          <w:lang w:val="hu-HU"/>
        </w:rPr>
        <w:t>20</w:t>
      </w:r>
      <w:r w:rsidR="00EE1460" w:rsidRPr="000B4203">
        <w:rPr>
          <w:rFonts w:ascii="Segoe UI" w:hAnsi="Segoe UI" w:cs="Segoe UI"/>
          <w:sz w:val="22"/>
          <w:szCs w:val="22"/>
          <w:lang w:val="hu-HU"/>
        </w:rPr>
        <w:t>2</w:t>
      </w:r>
      <w:r w:rsidR="005F1B4E">
        <w:rPr>
          <w:rFonts w:ascii="Segoe UI" w:hAnsi="Segoe UI" w:cs="Segoe UI"/>
          <w:sz w:val="22"/>
          <w:szCs w:val="22"/>
          <w:lang w:val="hu-HU"/>
        </w:rPr>
        <w:t>5</w:t>
      </w:r>
      <w:r w:rsidR="00B02FC0" w:rsidRPr="000B4203">
        <w:rPr>
          <w:rFonts w:ascii="Segoe UI" w:hAnsi="Segoe UI" w:cs="Segoe UI"/>
          <w:sz w:val="22"/>
          <w:szCs w:val="22"/>
          <w:lang w:val="hu-HU"/>
        </w:rPr>
        <w:t xml:space="preserve">. </w:t>
      </w:r>
      <w:r w:rsidR="00A374FD">
        <w:rPr>
          <w:rFonts w:ascii="Segoe UI" w:hAnsi="Segoe UI" w:cs="Segoe UI"/>
          <w:sz w:val="22"/>
          <w:szCs w:val="22"/>
          <w:lang w:val="hu-HU"/>
        </w:rPr>
        <w:t>március</w:t>
      </w:r>
      <w:r w:rsidR="003C64AB">
        <w:rPr>
          <w:rFonts w:ascii="Segoe UI" w:hAnsi="Segoe UI" w:cs="Segoe UI"/>
          <w:sz w:val="22"/>
          <w:szCs w:val="22"/>
          <w:lang w:val="hu-HU"/>
        </w:rPr>
        <w:t xml:space="preserve"> </w:t>
      </w:r>
      <w:r w:rsidR="00004393">
        <w:rPr>
          <w:rFonts w:ascii="Segoe UI" w:hAnsi="Segoe UI" w:cs="Segoe UI"/>
          <w:sz w:val="22"/>
          <w:szCs w:val="22"/>
          <w:lang w:val="hu-HU"/>
        </w:rPr>
        <w:t>1</w:t>
      </w:r>
      <w:r w:rsidR="00985CC1">
        <w:rPr>
          <w:rFonts w:ascii="Segoe UI" w:hAnsi="Segoe UI" w:cs="Segoe UI"/>
          <w:sz w:val="22"/>
          <w:szCs w:val="22"/>
          <w:lang w:val="hu-HU"/>
        </w:rPr>
        <w:t>1</w:t>
      </w:r>
      <w:r w:rsidR="003433AB" w:rsidRPr="004F2E5E">
        <w:rPr>
          <w:rFonts w:ascii="Segoe UI" w:hAnsi="Segoe UI" w:cs="Segoe UI"/>
          <w:sz w:val="22"/>
          <w:szCs w:val="22"/>
          <w:lang w:val="hu-HU"/>
        </w:rPr>
        <w:t>.</w:t>
      </w:r>
    </w:p>
    <w:p w14:paraId="60DEEFAA" w14:textId="3AF49354" w:rsidR="005A062E" w:rsidRPr="007E39EB" w:rsidRDefault="00536E1B" w:rsidP="001A553E">
      <w:pPr>
        <w:pStyle w:val="Topline"/>
        <w:spacing w:after="360"/>
        <w:rPr>
          <w:lang w:val="hu-HU"/>
        </w:rPr>
      </w:pPr>
      <w:bookmarkStart w:id="0" w:name="_Hlk185411512"/>
      <w:r w:rsidRPr="007E39EB">
        <w:rPr>
          <w:lang w:val="hu-HU"/>
        </w:rPr>
        <w:t>A Henkel bemutatja 2024-es eredményeit</w:t>
      </w:r>
    </w:p>
    <w:p w14:paraId="16496533" w14:textId="7850C65D" w:rsidR="002E0A72" w:rsidRDefault="007E39EB" w:rsidP="007E39EB">
      <w:pPr>
        <w:shd w:val="clear" w:color="auto" w:fill="FFFFFF"/>
        <w:spacing w:line="276" w:lineRule="auto"/>
        <w:jc w:val="both"/>
        <w:rPr>
          <w:rStyle w:val="Headline"/>
          <w:rFonts w:ascii="Segoe UI" w:hAnsi="Segoe UI"/>
          <w:szCs w:val="22"/>
          <w:lang w:val="hu-HU"/>
        </w:rPr>
      </w:pPr>
      <w:r w:rsidRPr="007E39EB">
        <w:rPr>
          <w:rStyle w:val="Headline"/>
          <w:rFonts w:ascii="Segoe UI" w:hAnsi="Segoe UI"/>
          <w:szCs w:val="22"/>
          <w:lang w:val="hu-HU"/>
        </w:rPr>
        <w:t>A 2024</w:t>
      </w:r>
      <w:r w:rsidR="00C23282">
        <w:rPr>
          <w:rStyle w:val="Headline"/>
          <w:rFonts w:ascii="Segoe UI" w:hAnsi="Segoe UI"/>
          <w:szCs w:val="22"/>
          <w:lang w:val="hu-HU"/>
        </w:rPr>
        <w:t>-es</w:t>
      </w:r>
      <w:r w:rsidRPr="007E39EB">
        <w:rPr>
          <w:rStyle w:val="Headline"/>
          <w:rFonts w:ascii="Segoe UI" w:hAnsi="Segoe UI"/>
          <w:szCs w:val="22"/>
          <w:lang w:val="hu-HU"/>
        </w:rPr>
        <w:t xml:space="preserve"> kiváló eredmények a Céltudatos Növekedési Program</w:t>
      </w:r>
      <w:r>
        <w:rPr>
          <w:rStyle w:val="Headline"/>
          <w:rFonts w:ascii="Segoe UI" w:hAnsi="Segoe UI"/>
          <w:szCs w:val="22"/>
          <w:lang w:val="hu-HU"/>
        </w:rPr>
        <w:t xml:space="preserve"> </w:t>
      </w:r>
      <w:r w:rsidRPr="007E39EB">
        <w:rPr>
          <w:rStyle w:val="Headline"/>
          <w:rFonts w:ascii="Segoe UI" w:hAnsi="Segoe UI"/>
          <w:szCs w:val="22"/>
          <w:lang w:val="hu-HU"/>
        </w:rPr>
        <w:t xml:space="preserve">sikeres végrehajtását </w:t>
      </w:r>
      <w:r w:rsidR="00CB11B6">
        <w:rPr>
          <w:rStyle w:val="Headline"/>
          <w:rFonts w:ascii="Segoe UI" w:hAnsi="Segoe UI"/>
          <w:szCs w:val="22"/>
          <w:lang w:val="hu-HU"/>
        </w:rPr>
        <w:t>mutatják</w:t>
      </w:r>
    </w:p>
    <w:p w14:paraId="1A78AB55" w14:textId="77777777" w:rsidR="007E39EB" w:rsidRDefault="007E39EB" w:rsidP="007E39EB">
      <w:pPr>
        <w:shd w:val="clear" w:color="auto" w:fill="FFFFFF"/>
        <w:spacing w:line="276" w:lineRule="auto"/>
        <w:jc w:val="both"/>
        <w:rPr>
          <w:rStyle w:val="Headline"/>
          <w:rFonts w:ascii="Segoe UI" w:hAnsi="Segoe UI"/>
          <w:szCs w:val="22"/>
          <w:lang w:val="hu-HU"/>
        </w:rPr>
      </w:pPr>
    </w:p>
    <w:p w14:paraId="3EC70D65" w14:textId="77777777" w:rsidR="0009600D" w:rsidRPr="001A553E" w:rsidRDefault="0009600D" w:rsidP="0009600D">
      <w:pPr>
        <w:pStyle w:val="Listaszerbekezds"/>
        <w:numPr>
          <w:ilvl w:val="0"/>
          <w:numId w:val="8"/>
        </w:numPr>
        <w:spacing w:after="80"/>
        <w:ind w:left="357" w:right="-108" w:hanging="357"/>
        <w:contextualSpacing w:val="0"/>
        <w:jc w:val="left"/>
        <w:rPr>
          <w:rFonts w:asciiTheme="majorHAnsi" w:hAnsiTheme="majorHAnsi" w:cs="Calibri Light"/>
          <w:b/>
          <w:szCs w:val="22"/>
          <w:lang w:val="hu-HU"/>
        </w:rPr>
      </w:pPr>
      <w:bookmarkStart w:id="1" w:name="_Hlk64363173"/>
      <w:r w:rsidRPr="001A553E">
        <w:rPr>
          <w:rFonts w:cs="Segoe UI"/>
          <w:b/>
          <w:szCs w:val="22"/>
          <w:lang w:val="hu-HU"/>
        </w:rPr>
        <w:t>Erős üzletági teljesítmény a 2024-es pénzügyi évben</w:t>
      </w:r>
    </w:p>
    <w:bookmarkEnd w:id="1"/>
    <w:p w14:paraId="7559C0B1" w14:textId="77777777" w:rsidR="0009600D" w:rsidRPr="001A553E" w:rsidRDefault="0009600D" w:rsidP="0009600D">
      <w:pPr>
        <w:pStyle w:val="Listaszerbekezds"/>
        <w:numPr>
          <w:ilvl w:val="1"/>
          <w:numId w:val="8"/>
        </w:numPr>
        <w:spacing w:after="80" w:line="266" w:lineRule="auto"/>
        <w:ind w:left="709" w:right="-108" w:hanging="283"/>
        <w:contextualSpacing w:val="0"/>
        <w:jc w:val="left"/>
        <w:rPr>
          <w:rFonts w:asciiTheme="majorHAnsi" w:hAnsiTheme="majorHAnsi" w:cs="Calibri Light"/>
          <w:b/>
          <w:szCs w:val="22"/>
          <w:lang w:val="hu-HU"/>
        </w:rPr>
      </w:pPr>
      <w:r w:rsidRPr="001A553E">
        <w:rPr>
          <w:rFonts w:cs="Segoe UI"/>
          <w:b/>
          <w:szCs w:val="22"/>
          <w:lang w:val="hu-HU"/>
        </w:rPr>
        <w:t>Árbevétel: 21,6 milliárd euró, jó, 2,6 százalékos szerves növekedés</w:t>
      </w:r>
    </w:p>
    <w:p w14:paraId="0F4240D0" w14:textId="77777777" w:rsidR="0009600D" w:rsidRPr="001A553E" w:rsidRDefault="0009600D" w:rsidP="0009600D">
      <w:pPr>
        <w:pStyle w:val="Listaszerbekezds"/>
        <w:numPr>
          <w:ilvl w:val="1"/>
          <w:numId w:val="8"/>
        </w:numPr>
        <w:spacing w:after="80" w:line="266" w:lineRule="auto"/>
        <w:ind w:left="709" w:right="-108" w:hanging="283"/>
        <w:contextualSpacing w:val="0"/>
        <w:rPr>
          <w:rFonts w:cs="Segoe UI"/>
          <w:b/>
          <w:szCs w:val="22"/>
          <w:lang w:val="hu-HU"/>
        </w:rPr>
      </w:pPr>
      <w:r w:rsidRPr="001A553E">
        <w:rPr>
          <w:rFonts w:cs="Segoe UI"/>
          <w:b/>
          <w:szCs w:val="22"/>
          <w:lang w:val="hu-HU"/>
        </w:rPr>
        <w:t>Üzemi eredmény (EBIT)*: 3,1 milliárd euró, nagyon jelentős, 20,9 százalékos növekedés</w:t>
      </w:r>
    </w:p>
    <w:p w14:paraId="7BBD1E6F" w14:textId="3A5B6005" w:rsidR="0009600D" w:rsidRPr="001A553E" w:rsidRDefault="0009600D" w:rsidP="0009600D">
      <w:pPr>
        <w:pStyle w:val="Listaszerbekezds"/>
        <w:numPr>
          <w:ilvl w:val="1"/>
          <w:numId w:val="8"/>
        </w:numPr>
        <w:spacing w:after="80" w:line="266" w:lineRule="auto"/>
        <w:ind w:left="709" w:right="-108" w:hanging="283"/>
        <w:contextualSpacing w:val="0"/>
        <w:rPr>
          <w:rFonts w:cs="Segoe UI"/>
          <w:b/>
          <w:szCs w:val="22"/>
          <w:lang w:val="hu-HU"/>
        </w:rPr>
      </w:pPr>
      <w:r w:rsidRPr="001A553E">
        <w:rPr>
          <w:rFonts w:cs="Segoe UI"/>
          <w:b/>
          <w:szCs w:val="22"/>
          <w:lang w:val="hu-HU"/>
        </w:rPr>
        <w:t xml:space="preserve">EBIT </w:t>
      </w:r>
      <w:proofErr w:type="spellStart"/>
      <w:r w:rsidRPr="001A553E">
        <w:rPr>
          <w:rFonts w:cs="Segoe UI"/>
          <w:b/>
          <w:szCs w:val="22"/>
          <w:lang w:val="hu-HU"/>
        </w:rPr>
        <w:t>marzs</w:t>
      </w:r>
      <w:proofErr w:type="spellEnd"/>
      <w:r w:rsidRPr="001A553E">
        <w:rPr>
          <w:rFonts w:cs="Segoe UI"/>
          <w:b/>
          <w:szCs w:val="22"/>
          <w:lang w:val="hu-HU"/>
        </w:rPr>
        <w:t xml:space="preserve">*: 14,3 százalék, kiemelkedő, </w:t>
      </w:r>
      <w:r w:rsidR="00022E6C">
        <w:rPr>
          <w:rFonts w:cs="Segoe UI"/>
          <w:b/>
          <w:szCs w:val="22"/>
          <w:lang w:val="hu-HU"/>
        </w:rPr>
        <w:t>240</w:t>
      </w:r>
      <w:r w:rsidRPr="001A553E">
        <w:rPr>
          <w:rFonts w:cs="Segoe UI"/>
          <w:b/>
          <w:szCs w:val="22"/>
          <w:lang w:val="hu-HU"/>
        </w:rPr>
        <w:t xml:space="preserve"> bázispontos javulás</w:t>
      </w:r>
    </w:p>
    <w:p w14:paraId="21459557" w14:textId="77777777" w:rsidR="0009600D" w:rsidRPr="001A553E" w:rsidRDefault="0009600D" w:rsidP="0009600D">
      <w:pPr>
        <w:pStyle w:val="Listaszerbekezds"/>
        <w:numPr>
          <w:ilvl w:val="1"/>
          <w:numId w:val="8"/>
        </w:numPr>
        <w:spacing w:after="80" w:line="266" w:lineRule="auto"/>
        <w:ind w:left="709" w:right="-108" w:hanging="283"/>
        <w:contextualSpacing w:val="0"/>
        <w:rPr>
          <w:rFonts w:cs="Segoe UI"/>
          <w:b/>
          <w:szCs w:val="22"/>
          <w:lang w:val="hu-HU"/>
        </w:rPr>
      </w:pPr>
      <w:r w:rsidRPr="001A553E">
        <w:rPr>
          <w:rFonts w:cs="Segoe UI"/>
          <w:b/>
          <w:szCs w:val="22"/>
          <w:lang w:val="hu-HU"/>
        </w:rPr>
        <w:t>Elsőbbségi részvények korrigált hozama (EPS)* jelentősen magasabb: 5,36 euró, +25,1 százalék változatlan árfolyamon</w:t>
      </w:r>
    </w:p>
    <w:p w14:paraId="057EFEC1" w14:textId="77F6DAAD" w:rsidR="0009600D" w:rsidRPr="001A553E" w:rsidRDefault="0009600D" w:rsidP="0009600D">
      <w:pPr>
        <w:pStyle w:val="Listaszerbekezds"/>
        <w:numPr>
          <w:ilvl w:val="1"/>
          <w:numId w:val="8"/>
        </w:numPr>
        <w:spacing w:after="80" w:line="266" w:lineRule="auto"/>
        <w:ind w:left="709" w:right="-108" w:hanging="283"/>
        <w:contextualSpacing w:val="0"/>
        <w:rPr>
          <w:rFonts w:cs="Segoe UI"/>
          <w:b/>
          <w:szCs w:val="22"/>
          <w:lang w:val="hu-HU"/>
        </w:rPr>
      </w:pPr>
      <w:r w:rsidRPr="001A553E">
        <w:rPr>
          <w:rFonts w:cs="Segoe UI"/>
          <w:b/>
          <w:szCs w:val="22"/>
          <w:lang w:val="hu-HU"/>
        </w:rPr>
        <w:t>Erős, 2,</w:t>
      </w:r>
      <w:r w:rsidR="00246B23">
        <w:rPr>
          <w:rFonts w:cs="Segoe UI"/>
          <w:b/>
          <w:szCs w:val="22"/>
          <w:lang w:val="hu-HU"/>
        </w:rPr>
        <w:t>4</w:t>
      </w:r>
      <w:r w:rsidRPr="001A553E">
        <w:rPr>
          <w:rFonts w:cs="Segoe UI"/>
          <w:b/>
          <w:szCs w:val="22"/>
          <w:lang w:val="hu-HU"/>
        </w:rPr>
        <w:t xml:space="preserve"> milliárd eurós szabad cash flow</w:t>
      </w:r>
    </w:p>
    <w:p w14:paraId="3AFDC4B1" w14:textId="10771FEE" w:rsidR="0009600D" w:rsidRPr="005E13D6" w:rsidRDefault="0009600D" w:rsidP="00A466BB">
      <w:pPr>
        <w:pStyle w:val="Listaszerbekezds"/>
        <w:numPr>
          <w:ilvl w:val="0"/>
          <w:numId w:val="8"/>
        </w:numPr>
        <w:spacing w:after="80"/>
        <w:ind w:left="357" w:right="-108" w:hanging="357"/>
        <w:contextualSpacing w:val="0"/>
        <w:jc w:val="left"/>
        <w:rPr>
          <w:rFonts w:cs="Segoe UI"/>
          <w:b/>
          <w:szCs w:val="22"/>
          <w:lang w:val="hu-HU"/>
        </w:rPr>
      </w:pPr>
      <w:r w:rsidRPr="005E13D6">
        <w:rPr>
          <w:rFonts w:cs="Segoe UI"/>
          <w:b/>
          <w:szCs w:val="22"/>
          <w:lang w:val="hu-HU"/>
        </w:rPr>
        <w:t>Kétszámjegyű százalékos osztalékemelés javasolt:</w:t>
      </w:r>
      <w:r w:rsidR="005E13D6">
        <w:rPr>
          <w:rFonts w:cs="Segoe UI"/>
          <w:b/>
          <w:szCs w:val="22"/>
          <w:lang w:val="hu-HU"/>
        </w:rPr>
        <w:t xml:space="preserve"> </w:t>
      </w:r>
      <w:r w:rsidRPr="005E13D6">
        <w:rPr>
          <w:rFonts w:cs="Segoe UI"/>
          <w:b/>
          <w:szCs w:val="22"/>
          <w:lang w:val="hu-HU"/>
        </w:rPr>
        <w:t>2,04 euró/elsőbbségi részvény (+10,3 százalék)</w:t>
      </w:r>
    </w:p>
    <w:p w14:paraId="346F927E" w14:textId="6994D9EE" w:rsidR="0009600D" w:rsidRPr="0066351F" w:rsidRDefault="0009600D" w:rsidP="0009600D">
      <w:pPr>
        <w:pStyle w:val="Listaszerbekezds"/>
        <w:numPr>
          <w:ilvl w:val="0"/>
          <w:numId w:val="8"/>
        </w:numPr>
        <w:spacing w:after="80"/>
        <w:ind w:right="-108"/>
        <w:contextualSpacing w:val="0"/>
        <w:jc w:val="left"/>
        <w:rPr>
          <w:rFonts w:cs="Segoe UI"/>
          <w:b/>
          <w:szCs w:val="22"/>
          <w:lang w:val="hu-HU"/>
        </w:rPr>
      </w:pPr>
      <w:r w:rsidRPr="0066351F">
        <w:rPr>
          <w:rFonts w:cs="Segoe UI"/>
          <w:b/>
          <w:szCs w:val="22"/>
          <w:lang w:val="hu-HU"/>
        </w:rPr>
        <w:t>Új, akár 1 milliárd eurós részvény-visszavásárlásról dönt</w:t>
      </w:r>
      <w:r w:rsidR="00E65AC7">
        <w:rPr>
          <w:rFonts w:cs="Segoe UI"/>
          <w:b/>
          <w:szCs w:val="22"/>
          <w:lang w:val="hu-HU"/>
        </w:rPr>
        <w:t>öttek</w:t>
      </w:r>
    </w:p>
    <w:p w14:paraId="3753BD99" w14:textId="726EB9EC" w:rsidR="0009600D" w:rsidRPr="0066351F" w:rsidRDefault="00E65AC7" w:rsidP="0066351F">
      <w:pPr>
        <w:pStyle w:val="Listaszerbekezds"/>
        <w:numPr>
          <w:ilvl w:val="0"/>
          <w:numId w:val="8"/>
        </w:numPr>
        <w:spacing w:after="80"/>
        <w:ind w:right="-108"/>
        <w:contextualSpacing w:val="0"/>
        <w:jc w:val="left"/>
        <w:rPr>
          <w:rFonts w:cs="Segoe UI"/>
          <w:b/>
          <w:szCs w:val="22"/>
          <w:lang w:val="hu-HU"/>
        </w:rPr>
      </w:pPr>
      <w:r>
        <w:rPr>
          <w:rFonts w:cs="Segoe UI"/>
          <w:b/>
          <w:szCs w:val="22"/>
          <w:lang w:val="hu-HU"/>
        </w:rPr>
        <w:t xml:space="preserve">Tovább haladt a </w:t>
      </w:r>
      <w:r w:rsidR="0009600D" w:rsidRPr="0066351F">
        <w:rPr>
          <w:rFonts w:cs="Segoe UI"/>
          <w:b/>
          <w:szCs w:val="22"/>
          <w:lang w:val="hu-HU"/>
        </w:rPr>
        <w:t>Céltudatos Növekedési Program végrehajtás</w:t>
      </w:r>
      <w:r>
        <w:rPr>
          <w:rFonts w:cs="Segoe UI"/>
          <w:b/>
          <w:szCs w:val="22"/>
          <w:lang w:val="hu-HU"/>
        </w:rPr>
        <w:t>a</w:t>
      </w:r>
    </w:p>
    <w:p w14:paraId="229D578C" w14:textId="15B570AE" w:rsidR="0009600D" w:rsidRPr="0066351F" w:rsidRDefault="0009600D" w:rsidP="0066351F">
      <w:pPr>
        <w:pStyle w:val="Listaszerbekezds"/>
        <w:numPr>
          <w:ilvl w:val="1"/>
          <w:numId w:val="8"/>
        </w:numPr>
        <w:spacing w:after="80" w:line="266" w:lineRule="auto"/>
        <w:ind w:left="709" w:right="-108" w:hanging="283"/>
        <w:contextualSpacing w:val="0"/>
        <w:jc w:val="left"/>
        <w:rPr>
          <w:rFonts w:cs="Segoe UI"/>
          <w:b/>
          <w:szCs w:val="22"/>
          <w:lang w:val="hu-HU"/>
        </w:rPr>
      </w:pPr>
      <w:r w:rsidRPr="0066351F">
        <w:rPr>
          <w:rFonts w:cs="Segoe UI"/>
          <w:b/>
          <w:szCs w:val="22"/>
          <w:lang w:val="hu-HU"/>
        </w:rPr>
        <w:t xml:space="preserve">Consumer </w:t>
      </w:r>
      <w:proofErr w:type="spellStart"/>
      <w:r w:rsidRPr="0066351F">
        <w:rPr>
          <w:rFonts w:cs="Segoe UI"/>
          <w:b/>
          <w:szCs w:val="22"/>
          <w:lang w:val="hu-HU"/>
        </w:rPr>
        <w:t>Brands</w:t>
      </w:r>
      <w:proofErr w:type="spellEnd"/>
      <w:r w:rsidRPr="0066351F">
        <w:rPr>
          <w:rFonts w:cs="Segoe UI"/>
          <w:b/>
          <w:szCs w:val="22"/>
          <w:lang w:val="hu-HU"/>
        </w:rPr>
        <w:t>: A tervezettnél gyorsabb integráció, portfólióintézkedések véglegesítve, a teljes megtakarítás már 2025 végé</w:t>
      </w:r>
      <w:r w:rsidR="00C70000">
        <w:rPr>
          <w:rFonts w:cs="Segoe UI"/>
          <w:b/>
          <w:szCs w:val="22"/>
          <w:lang w:val="hu-HU"/>
        </w:rPr>
        <w:t>ig</w:t>
      </w:r>
      <w:r w:rsidRPr="0066351F">
        <w:rPr>
          <w:rFonts w:cs="Segoe UI"/>
          <w:b/>
          <w:szCs w:val="22"/>
          <w:lang w:val="hu-HU"/>
        </w:rPr>
        <w:t xml:space="preserve"> megvalósul</w:t>
      </w:r>
    </w:p>
    <w:p w14:paraId="09345BD9" w14:textId="51AC69AF" w:rsidR="0009600D" w:rsidRPr="0066351F" w:rsidRDefault="0009600D" w:rsidP="0066351F">
      <w:pPr>
        <w:pStyle w:val="Listaszerbekezds"/>
        <w:numPr>
          <w:ilvl w:val="1"/>
          <w:numId w:val="8"/>
        </w:numPr>
        <w:spacing w:after="80" w:line="266" w:lineRule="auto"/>
        <w:ind w:left="709" w:right="-108" w:hanging="283"/>
        <w:contextualSpacing w:val="0"/>
        <w:jc w:val="left"/>
        <w:rPr>
          <w:rFonts w:cs="Segoe UI"/>
          <w:b/>
          <w:szCs w:val="22"/>
          <w:lang w:val="hu-HU"/>
        </w:rPr>
      </w:pPr>
      <w:r w:rsidRPr="0066351F">
        <w:rPr>
          <w:rFonts w:cs="Segoe UI"/>
          <w:b/>
          <w:szCs w:val="22"/>
          <w:lang w:val="hu-HU"/>
        </w:rPr>
        <w:t>Adhesive Technologies: A 2023-ban bevezetett új rendszer kifizetőd</w:t>
      </w:r>
      <w:r w:rsidR="00455442">
        <w:rPr>
          <w:rFonts w:cs="Segoe UI"/>
          <w:b/>
          <w:szCs w:val="22"/>
          <w:lang w:val="hu-HU"/>
        </w:rPr>
        <w:t>ik</w:t>
      </w:r>
    </w:p>
    <w:p w14:paraId="38B439F9" w14:textId="39BF2148" w:rsidR="0009600D" w:rsidRPr="0066351F" w:rsidRDefault="0009600D" w:rsidP="0066351F">
      <w:pPr>
        <w:pStyle w:val="Listaszerbekezds"/>
        <w:numPr>
          <w:ilvl w:val="1"/>
          <w:numId w:val="8"/>
        </w:numPr>
        <w:spacing w:after="80" w:line="266" w:lineRule="auto"/>
        <w:ind w:left="709" w:right="-108" w:hanging="283"/>
        <w:contextualSpacing w:val="0"/>
        <w:jc w:val="left"/>
        <w:rPr>
          <w:rFonts w:cs="Segoe UI"/>
          <w:b/>
          <w:szCs w:val="22"/>
          <w:lang w:val="hu-HU"/>
        </w:rPr>
      </w:pPr>
      <w:r w:rsidRPr="0066351F">
        <w:rPr>
          <w:rFonts w:cs="Segoe UI"/>
          <w:b/>
          <w:szCs w:val="22"/>
          <w:lang w:val="hu-HU"/>
        </w:rPr>
        <w:t xml:space="preserve">Ambiciózus </w:t>
      </w:r>
      <w:r w:rsidR="00455442">
        <w:rPr>
          <w:rFonts w:cs="Segoe UI"/>
          <w:b/>
          <w:szCs w:val="22"/>
          <w:lang w:val="hu-HU"/>
        </w:rPr>
        <w:t>klíma</w:t>
      </w:r>
      <w:r w:rsidRPr="0066351F">
        <w:rPr>
          <w:rFonts w:cs="Segoe UI"/>
          <w:b/>
          <w:szCs w:val="22"/>
          <w:lang w:val="hu-HU"/>
        </w:rPr>
        <w:t>védelmi célok: a nettó nullára vonatkozó ütemterv meghatározása</w:t>
      </w:r>
    </w:p>
    <w:p w14:paraId="55ECB605" w14:textId="77777777" w:rsidR="00617666" w:rsidRPr="00267ABC" w:rsidRDefault="0009600D" w:rsidP="00267ABC">
      <w:pPr>
        <w:pStyle w:val="Listaszerbekezds"/>
        <w:numPr>
          <w:ilvl w:val="0"/>
          <w:numId w:val="15"/>
        </w:numPr>
        <w:spacing w:after="80" w:line="266" w:lineRule="auto"/>
        <w:ind w:left="426" w:right="-108"/>
        <w:rPr>
          <w:rFonts w:cs="Segoe UI"/>
          <w:b/>
          <w:szCs w:val="22"/>
          <w:lang w:val="hu-HU"/>
        </w:rPr>
      </w:pPr>
      <w:r w:rsidRPr="00267ABC">
        <w:rPr>
          <w:rFonts w:cs="Segoe UI"/>
          <w:b/>
          <w:szCs w:val="22"/>
          <w:lang w:val="hu-HU"/>
        </w:rPr>
        <w:t xml:space="preserve">Kilátások a 2025-ös pénzügyi évre: További felső és alsó növekedésre van kilátás </w:t>
      </w:r>
      <w:r w:rsidR="00617666" w:rsidRPr="00267ABC">
        <w:rPr>
          <w:rFonts w:cs="Segoe UI"/>
          <w:b/>
          <w:bCs/>
          <w:szCs w:val="22"/>
          <w:lang w:val="hu-HU"/>
        </w:rPr>
        <w:t>–</w:t>
      </w:r>
      <w:r w:rsidRPr="00267ABC">
        <w:rPr>
          <w:rFonts w:cs="Segoe UI"/>
          <w:b/>
          <w:szCs w:val="22"/>
          <w:lang w:val="hu-HU"/>
        </w:rPr>
        <w:t xml:space="preserve"> lassú évkezdéssel, majd az év során gyorsul</w:t>
      </w:r>
      <w:r w:rsidR="00617666" w:rsidRPr="00267ABC">
        <w:rPr>
          <w:rFonts w:cs="Segoe UI"/>
          <w:b/>
          <w:szCs w:val="22"/>
          <w:lang w:val="hu-HU"/>
        </w:rPr>
        <w:t>ással</w:t>
      </w:r>
    </w:p>
    <w:p w14:paraId="06013C5E" w14:textId="0FB2B594" w:rsidR="0009600D" w:rsidRPr="00617666" w:rsidRDefault="0009600D" w:rsidP="006242E1">
      <w:pPr>
        <w:numPr>
          <w:ilvl w:val="1"/>
          <w:numId w:val="8"/>
        </w:numPr>
        <w:spacing w:after="80" w:line="266" w:lineRule="auto"/>
        <w:ind w:left="709" w:right="-108" w:hanging="283"/>
        <w:rPr>
          <w:rFonts w:ascii="Segoe UI" w:hAnsi="Segoe UI" w:cs="Segoe UI"/>
          <w:b/>
          <w:sz w:val="22"/>
          <w:szCs w:val="22"/>
          <w:lang w:val="hu-HU"/>
        </w:rPr>
      </w:pPr>
      <w:r w:rsidRPr="00617666">
        <w:rPr>
          <w:rFonts w:ascii="Segoe UI" w:hAnsi="Segoe UI" w:cs="Segoe UI"/>
          <w:b/>
          <w:sz w:val="22"/>
          <w:szCs w:val="22"/>
          <w:lang w:val="hu-HU"/>
        </w:rPr>
        <w:t>Szerves árbevétel-növekedés: 1,5 – 3,5 százalék</w:t>
      </w:r>
    </w:p>
    <w:p w14:paraId="7875941F" w14:textId="77777777" w:rsidR="0009600D" w:rsidRPr="000E11DD" w:rsidRDefault="0009600D" w:rsidP="000E11DD">
      <w:pPr>
        <w:pStyle w:val="Listaszerbekezds"/>
        <w:numPr>
          <w:ilvl w:val="1"/>
          <w:numId w:val="8"/>
        </w:numPr>
        <w:spacing w:after="80" w:line="266" w:lineRule="auto"/>
        <w:ind w:left="709" w:right="-108" w:hanging="283"/>
        <w:contextualSpacing w:val="0"/>
        <w:jc w:val="left"/>
        <w:rPr>
          <w:rFonts w:cs="Segoe UI"/>
          <w:b/>
          <w:szCs w:val="22"/>
          <w:lang w:val="hu-HU"/>
        </w:rPr>
      </w:pPr>
      <w:r w:rsidRPr="000E11DD">
        <w:rPr>
          <w:rFonts w:cs="Segoe UI"/>
          <w:b/>
          <w:szCs w:val="22"/>
          <w:lang w:val="hu-HU"/>
        </w:rPr>
        <w:t xml:space="preserve">EBIT </w:t>
      </w:r>
      <w:proofErr w:type="spellStart"/>
      <w:r w:rsidRPr="000E11DD">
        <w:rPr>
          <w:rFonts w:cs="Segoe UI"/>
          <w:b/>
          <w:szCs w:val="22"/>
          <w:lang w:val="hu-HU"/>
        </w:rPr>
        <w:t>marzs</w:t>
      </w:r>
      <w:proofErr w:type="spellEnd"/>
      <w:r w:rsidRPr="000E11DD">
        <w:rPr>
          <w:rFonts w:cs="Segoe UI"/>
          <w:b/>
          <w:szCs w:val="22"/>
          <w:lang w:val="hu-HU"/>
        </w:rPr>
        <w:t>*: 14,0 – 15,5 százalék</w:t>
      </w:r>
    </w:p>
    <w:p w14:paraId="41BCCD48" w14:textId="4EF6EE32" w:rsidR="001A553E" w:rsidRPr="000E11DD" w:rsidRDefault="001A553E" w:rsidP="000E11DD">
      <w:pPr>
        <w:pStyle w:val="Listaszerbekezds"/>
        <w:numPr>
          <w:ilvl w:val="1"/>
          <w:numId w:val="8"/>
        </w:numPr>
        <w:spacing w:after="80" w:line="266" w:lineRule="auto"/>
        <w:ind w:left="709" w:right="-108" w:hanging="283"/>
        <w:contextualSpacing w:val="0"/>
        <w:jc w:val="left"/>
        <w:rPr>
          <w:rFonts w:cs="Segoe UI"/>
          <w:b/>
          <w:szCs w:val="22"/>
          <w:lang w:val="hu-HU"/>
        </w:rPr>
      </w:pPr>
      <w:r w:rsidRPr="001A553E">
        <w:rPr>
          <w:rFonts w:cs="Segoe UI"/>
          <w:b/>
          <w:szCs w:val="22"/>
          <w:lang w:val="hu-HU"/>
        </w:rPr>
        <w:lastRenderedPageBreak/>
        <w:t>Elsőbbségi részvények korrigált hozama (EPS)*</w:t>
      </w:r>
      <w:r w:rsidRPr="000E11DD">
        <w:rPr>
          <w:rFonts w:cs="Segoe UI"/>
          <w:b/>
          <w:szCs w:val="22"/>
          <w:lang w:val="hu-HU"/>
        </w:rPr>
        <w:t xml:space="preserve">: </w:t>
      </w:r>
      <w:r w:rsidR="00617666">
        <w:rPr>
          <w:rFonts w:cs="Segoe UI"/>
          <w:b/>
          <w:szCs w:val="22"/>
          <w:lang w:val="hu-HU"/>
        </w:rPr>
        <w:t>Növekedés az a</w:t>
      </w:r>
      <w:r w:rsidRPr="000E11DD">
        <w:rPr>
          <w:rFonts w:cs="Segoe UI"/>
          <w:b/>
          <w:szCs w:val="22"/>
          <w:lang w:val="hu-HU"/>
        </w:rPr>
        <w:t xml:space="preserve">lacsony és </w:t>
      </w:r>
      <w:r w:rsidR="00617666">
        <w:rPr>
          <w:rFonts w:cs="Segoe UI"/>
          <w:b/>
          <w:szCs w:val="22"/>
          <w:lang w:val="hu-HU"/>
        </w:rPr>
        <w:t xml:space="preserve">a </w:t>
      </w:r>
      <w:r w:rsidRPr="000E11DD">
        <w:rPr>
          <w:rFonts w:cs="Segoe UI"/>
          <w:b/>
          <w:szCs w:val="22"/>
          <w:lang w:val="hu-HU"/>
        </w:rPr>
        <w:t xml:space="preserve">magas egyszámjegyű százalékos </w:t>
      </w:r>
      <w:r w:rsidR="00617666">
        <w:rPr>
          <w:rFonts w:cs="Segoe UI"/>
          <w:b/>
          <w:szCs w:val="22"/>
          <w:lang w:val="hu-HU"/>
        </w:rPr>
        <w:t>tartományban</w:t>
      </w:r>
      <w:r w:rsidRPr="000E11DD">
        <w:rPr>
          <w:rFonts w:cs="Segoe UI"/>
          <w:b/>
          <w:szCs w:val="22"/>
          <w:lang w:val="hu-HU"/>
        </w:rPr>
        <w:t xml:space="preserve"> (változatlan</w:t>
      </w:r>
      <w:r w:rsidR="00130D50">
        <w:rPr>
          <w:rFonts w:cs="Segoe UI"/>
          <w:b/>
          <w:szCs w:val="22"/>
          <w:lang w:val="hu-HU"/>
        </w:rPr>
        <w:t xml:space="preserve"> ár</w:t>
      </w:r>
      <w:r w:rsidRPr="000E11DD">
        <w:rPr>
          <w:rFonts w:cs="Segoe UI"/>
          <w:b/>
          <w:szCs w:val="22"/>
          <w:lang w:val="hu-HU"/>
        </w:rPr>
        <w:t>folyamon)</w:t>
      </w:r>
    </w:p>
    <w:p w14:paraId="4185B6A6" w14:textId="77777777" w:rsidR="001A553E" w:rsidRPr="00130D50" w:rsidRDefault="001A553E" w:rsidP="001A553E">
      <w:pPr>
        <w:pStyle w:val="Listaszerbekezds"/>
        <w:spacing w:after="80" w:line="266" w:lineRule="auto"/>
        <w:ind w:left="567" w:right="-108"/>
        <w:contextualSpacing w:val="0"/>
        <w:jc w:val="left"/>
        <w:rPr>
          <w:rFonts w:asciiTheme="majorHAnsi" w:hAnsiTheme="majorHAnsi" w:cs="Calibri Light"/>
          <w:b/>
          <w:szCs w:val="22"/>
          <w:lang w:val="hu-HU"/>
        </w:rPr>
      </w:pPr>
    </w:p>
    <w:p w14:paraId="6E9FEB74" w14:textId="7AD01850" w:rsidR="002E635B" w:rsidRPr="00285EF4" w:rsidRDefault="002E635B" w:rsidP="00285EF4">
      <w:pPr>
        <w:spacing w:line="276" w:lineRule="auto"/>
        <w:jc w:val="both"/>
        <w:rPr>
          <w:rFonts w:ascii="Segoe UI" w:hAnsi="Segoe UI" w:cs="Segoe UI"/>
          <w:b/>
          <w:bCs/>
          <w:sz w:val="22"/>
          <w:szCs w:val="22"/>
          <w:lang w:val="hu-HU"/>
        </w:rPr>
      </w:pPr>
      <w:r w:rsidRPr="00285EF4">
        <w:rPr>
          <w:rFonts w:ascii="Segoe UI" w:hAnsi="Segoe UI" w:cs="Segoe UI"/>
          <w:b/>
          <w:bCs/>
          <w:sz w:val="22"/>
          <w:szCs w:val="22"/>
          <w:lang w:val="hu-HU"/>
        </w:rPr>
        <w:t xml:space="preserve">„A 2024-es pénzügyi évet ismét </w:t>
      </w:r>
      <w:r w:rsidR="00617666">
        <w:rPr>
          <w:rFonts w:ascii="Segoe UI" w:hAnsi="Segoe UI" w:cs="Segoe UI"/>
          <w:b/>
          <w:bCs/>
          <w:sz w:val="22"/>
          <w:szCs w:val="22"/>
          <w:lang w:val="hu-HU"/>
        </w:rPr>
        <w:t>komoly</w:t>
      </w:r>
      <w:r w:rsidRPr="00285EF4">
        <w:rPr>
          <w:rFonts w:ascii="Segoe UI" w:hAnsi="Segoe UI" w:cs="Segoe UI"/>
          <w:b/>
          <w:bCs/>
          <w:sz w:val="22"/>
          <w:szCs w:val="22"/>
          <w:lang w:val="hu-HU"/>
        </w:rPr>
        <w:t xml:space="preserve"> kihívások és számos gazdasági bizonytalanság jellemezte. Ennek ellenére az elmúlt évben következetesen mozdítottuk előre a Henkelt, és fontos mérföldköveket értünk el, sőt </w:t>
      </w:r>
      <w:r w:rsidR="00504DE7">
        <w:rPr>
          <w:rFonts w:ascii="Segoe UI" w:hAnsi="Segoe UI" w:cs="Segoe UI"/>
          <w:b/>
          <w:bCs/>
          <w:sz w:val="22"/>
          <w:szCs w:val="22"/>
          <w:lang w:val="hu-HU"/>
        </w:rPr>
        <w:t>meg is haladtuk</w:t>
      </w:r>
      <w:r w:rsidRPr="00285EF4">
        <w:rPr>
          <w:rFonts w:ascii="Segoe UI" w:hAnsi="Segoe UI" w:cs="Segoe UI"/>
          <w:b/>
          <w:bCs/>
          <w:sz w:val="22"/>
          <w:szCs w:val="22"/>
          <w:lang w:val="hu-HU"/>
        </w:rPr>
        <w:t xml:space="preserve"> azokat. A 2024-es kiváló üzleti eredmények mindenekelőtt a Céltudatos Növekedési Programunk sikeres megvalósítását bizonyítják” </w:t>
      </w:r>
      <w:r w:rsidR="00E862BC" w:rsidRPr="00953059">
        <w:rPr>
          <w:rFonts w:cs="Segoe UI"/>
          <w:b/>
          <w:bCs/>
          <w:szCs w:val="22"/>
          <w:lang w:val="hu-HU"/>
        </w:rPr>
        <w:t>–</w:t>
      </w:r>
      <w:r w:rsidRPr="00285EF4">
        <w:rPr>
          <w:rFonts w:ascii="Segoe UI" w:hAnsi="Segoe UI" w:cs="Segoe UI"/>
          <w:b/>
          <w:bCs/>
          <w:sz w:val="22"/>
          <w:szCs w:val="22"/>
          <w:lang w:val="hu-HU"/>
        </w:rPr>
        <w:t xml:space="preserve"> mondta Carsten </w:t>
      </w:r>
      <w:proofErr w:type="spellStart"/>
      <w:r w:rsidRPr="00285EF4">
        <w:rPr>
          <w:rFonts w:ascii="Segoe UI" w:hAnsi="Segoe UI" w:cs="Segoe UI"/>
          <w:b/>
          <w:bCs/>
          <w:sz w:val="22"/>
          <w:szCs w:val="22"/>
          <w:lang w:val="hu-HU"/>
        </w:rPr>
        <w:t>Knobel</w:t>
      </w:r>
      <w:proofErr w:type="spellEnd"/>
      <w:r w:rsidRPr="00285EF4">
        <w:rPr>
          <w:rFonts w:ascii="Segoe UI" w:hAnsi="Segoe UI" w:cs="Segoe UI"/>
          <w:b/>
          <w:bCs/>
          <w:sz w:val="22"/>
          <w:szCs w:val="22"/>
          <w:lang w:val="hu-HU"/>
        </w:rPr>
        <w:t xml:space="preserve">, a Henkel igazgatóságának elnöke. „2024-ben jó szerves árbevétel-növekedést értünk el, és nagyon jelentősen javítottuk a jövedelmezőségünket </w:t>
      </w:r>
      <w:r w:rsidR="00953059" w:rsidRPr="00DF1B5B">
        <w:rPr>
          <w:rFonts w:cs="Segoe UI"/>
          <w:b/>
          <w:bCs/>
          <w:szCs w:val="22"/>
          <w:lang w:val="hu-HU"/>
        </w:rPr>
        <w:t xml:space="preserve">– </w:t>
      </w:r>
      <w:r w:rsidRPr="00285EF4">
        <w:rPr>
          <w:rFonts w:ascii="Segoe UI" w:hAnsi="Segoe UI" w:cs="Segoe UI"/>
          <w:b/>
          <w:bCs/>
          <w:sz w:val="22"/>
          <w:szCs w:val="22"/>
          <w:lang w:val="hu-HU"/>
        </w:rPr>
        <w:t xml:space="preserve">kiemelkedő, 2,4 százalékpontos árrésnövekedéssel, amelyet a bruttó árrés kiváló alakulása támogatott, az elsőbbségi részvények korrigált hozamának rendkívüli, 25 százalékos növekedésével. </w:t>
      </w:r>
      <w:r w:rsidR="006612A7" w:rsidRPr="006612A7">
        <w:rPr>
          <w:rFonts w:ascii="Segoe UI" w:hAnsi="Segoe UI" w:cs="Segoe UI"/>
          <w:b/>
          <w:bCs/>
          <w:sz w:val="22"/>
          <w:szCs w:val="22"/>
          <w:lang w:val="hu-HU"/>
        </w:rPr>
        <w:t>Termékeink értékének célzott növelése az ügyfelek és a fogyasztók számára kulcsfontosságú mozgatórugója volt</w:t>
      </w:r>
      <w:r w:rsidR="00116915">
        <w:rPr>
          <w:rFonts w:ascii="Segoe UI" w:hAnsi="Segoe UI" w:cs="Segoe UI"/>
          <w:b/>
          <w:bCs/>
          <w:sz w:val="22"/>
          <w:szCs w:val="22"/>
          <w:lang w:val="hu-HU"/>
        </w:rPr>
        <w:t xml:space="preserve"> bevételeink javulásának. </w:t>
      </w:r>
      <w:r w:rsidRPr="00285EF4">
        <w:rPr>
          <w:rFonts w:ascii="Segoe UI" w:hAnsi="Segoe UI" w:cs="Segoe UI"/>
          <w:b/>
          <w:bCs/>
          <w:sz w:val="22"/>
          <w:szCs w:val="22"/>
          <w:lang w:val="hu-HU"/>
        </w:rPr>
        <w:t xml:space="preserve">Emellett a Consumer </w:t>
      </w:r>
      <w:proofErr w:type="spellStart"/>
      <w:r w:rsidR="00DF1B5B">
        <w:rPr>
          <w:rFonts w:ascii="Segoe UI" w:hAnsi="Segoe UI" w:cs="Segoe UI"/>
          <w:b/>
          <w:bCs/>
          <w:sz w:val="22"/>
          <w:szCs w:val="22"/>
          <w:lang w:val="hu-HU"/>
        </w:rPr>
        <w:t>B</w:t>
      </w:r>
      <w:r w:rsidRPr="00285EF4">
        <w:rPr>
          <w:rFonts w:ascii="Segoe UI" w:hAnsi="Segoe UI" w:cs="Segoe UI"/>
          <w:b/>
          <w:bCs/>
          <w:sz w:val="22"/>
          <w:szCs w:val="22"/>
          <w:lang w:val="hu-HU"/>
        </w:rPr>
        <w:t>rands</w:t>
      </w:r>
      <w:proofErr w:type="spellEnd"/>
      <w:r w:rsidRPr="00285EF4">
        <w:rPr>
          <w:rFonts w:ascii="Segoe UI" w:hAnsi="Segoe UI" w:cs="Segoe UI"/>
          <w:b/>
          <w:bCs/>
          <w:sz w:val="22"/>
          <w:szCs w:val="22"/>
          <w:lang w:val="hu-HU"/>
        </w:rPr>
        <w:t xml:space="preserve"> integrációjából származó megtakarítások, valamint a bejelentett portfólióoptimalizálási intézkedések is hozzájárultak ezekhez az erős eredményekhez.”</w:t>
      </w:r>
    </w:p>
    <w:p w14:paraId="0818C265" w14:textId="77777777" w:rsidR="002E635B" w:rsidRPr="00285EF4" w:rsidRDefault="002E635B" w:rsidP="002E635B">
      <w:pPr>
        <w:rPr>
          <w:rFonts w:cs="Segoe UI"/>
          <w:b/>
          <w:bCs/>
          <w:szCs w:val="22"/>
          <w:lang w:val="hu-HU"/>
        </w:rPr>
      </w:pPr>
    </w:p>
    <w:p w14:paraId="38E65CE8" w14:textId="70B51BC0" w:rsidR="002E635B" w:rsidRPr="00285EF4" w:rsidRDefault="002E635B" w:rsidP="00285EF4">
      <w:pPr>
        <w:spacing w:line="276" w:lineRule="auto"/>
        <w:jc w:val="both"/>
        <w:rPr>
          <w:rFonts w:ascii="Segoe UI" w:hAnsi="Segoe UI" w:cs="Segoe UI"/>
          <w:b/>
          <w:bCs/>
          <w:sz w:val="22"/>
          <w:szCs w:val="22"/>
          <w:lang w:val="hu-HU"/>
        </w:rPr>
      </w:pPr>
      <w:r w:rsidRPr="00285EF4">
        <w:rPr>
          <w:rFonts w:ascii="Segoe UI" w:hAnsi="Segoe UI" w:cs="Segoe UI"/>
          <w:b/>
          <w:bCs/>
          <w:sz w:val="22"/>
          <w:szCs w:val="22"/>
          <w:lang w:val="hu-HU"/>
        </w:rPr>
        <w:t>„Ugyanakkor nagyon fontos volt, hogy továbbra is nagy hangsúlyt fektessünk üzletágainkba és a jövőbeli növekedésbe történő beruházásokra</w:t>
      </w:r>
      <w:r w:rsidR="00D24FCF">
        <w:rPr>
          <w:rFonts w:ascii="Segoe UI" w:hAnsi="Segoe UI" w:cs="Segoe UI"/>
          <w:b/>
          <w:bCs/>
          <w:sz w:val="22"/>
          <w:szCs w:val="22"/>
          <w:lang w:val="hu-HU"/>
        </w:rPr>
        <w:t xml:space="preserve">, </w:t>
      </w:r>
      <w:r w:rsidRPr="00285EF4">
        <w:rPr>
          <w:rFonts w:ascii="Segoe UI" w:hAnsi="Segoe UI" w:cs="Segoe UI"/>
          <w:b/>
          <w:bCs/>
          <w:sz w:val="22"/>
          <w:szCs w:val="22"/>
          <w:lang w:val="hu-HU"/>
        </w:rPr>
        <w:t>például a fogyasztói üzlet</w:t>
      </w:r>
      <w:r w:rsidR="00B069D8">
        <w:rPr>
          <w:rFonts w:ascii="Segoe UI" w:hAnsi="Segoe UI" w:cs="Segoe UI"/>
          <w:b/>
          <w:bCs/>
          <w:sz w:val="22"/>
          <w:szCs w:val="22"/>
          <w:lang w:val="hu-HU"/>
        </w:rPr>
        <w:t xml:space="preserve">ág </w:t>
      </w:r>
      <w:r w:rsidR="001B477F">
        <w:rPr>
          <w:rFonts w:ascii="Segoe UI" w:hAnsi="Segoe UI" w:cs="Segoe UI"/>
          <w:b/>
          <w:bCs/>
          <w:sz w:val="22"/>
          <w:szCs w:val="22"/>
          <w:lang w:val="hu-HU"/>
        </w:rPr>
        <w:t xml:space="preserve">fokozott </w:t>
      </w:r>
      <w:r w:rsidRPr="00285EF4">
        <w:rPr>
          <w:rFonts w:ascii="Segoe UI" w:hAnsi="Segoe UI" w:cs="Segoe UI"/>
          <w:b/>
          <w:bCs/>
          <w:sz w:val="22"/>
          <w:szCs w:val="22"/>
          <w:lang w:val="hu-HU"/>
        </w:rPr>
        <w:t xml:space="preserve">marketingtevékenysége és </w:t>
      </w:r>
      <w:r w:rsidR="007F5240" w:rsidRPr="007F5240">
        <w:rPr>
          <w:rFonts w:ascii="Segoe UI" w:hAnsi="Segoe UI" w:cs="Segoe UI"/>
          <w:b/>
          <w:bCs/>
          <w:sz w:val="22"/>
          <w:szCs w:val="22"/>
          <w:lang w:val="hu-HU"/>
        </w:rPr>
        <w:t>mindkét üzlet</w:t>
      </w:r>
      <w:r w:rsidR="007F5240">
        <w:rPr>
          <w:rFonts w:ascii="Segoe UI" w:hAnsi="Segoe UI" w:cs="Segoe UI"/>
          <w:b/>
          <w:bCs/>
          <w:sz w:val="22"/>
          <w:szCs w:val="22"/>
          <w:lang w:val="hu-HU"/>
        </w:rPr>
        <w:t>ág</w:t>
      </w:r>
      <w:r w:rsidR="007F5240" w:rsidRPr="007F5240">
        <w:rPr>
          <w:rFonts w:ascii="Segoe UI" w:hAnsi="Segoe UI" w:cs="Segoe UI"/>
          <w:b/>
          <w:bCs/>
          <w:sz w:val="22"/>
          <w:szCs w:val="22"/>
          <w:lang w:val="hu-HU"/>
        </w:rPr>
        <w:t xml:space="preserve"> sikeres innovációi révén</w:t>
      </w:r>
      <w:r w:rsidRPr="00285EF4">
        <w:rPr>
          <w:rFonts w:ascii="Segoe UI" w:hAnsi="Segoe UI" w:cs="Segoe UI"/>
          <w:b/>
          <w:bCs/>
          <w:sz w:val="22"/>
          <w:szCs w:val="22"/>
          <w:lang w:val="hu-HU"/>
        </w:rPr>
        <w:t xml:space="preserve">. Szeretnénk, ha részvényeseink részt vennének a vállalat sikeres fejlődésében. Ezért az éves közgyűlésen </w:t>
      </w:r>
      <w:r w:rsidR="00C04A89" w:rsidRPr="00C04A89">
        <w:rPr>
          <w:rFonts w:ascii="Segoe UI" w:hAnsi="Segoe UI" w:cs="Segoe UI"/>
          <w:b/>
          <w:bCs/>
          <w:sz w:val="22"/>
          <w:szCs w:val="22"/>
          <w:lang w:val="hu-HU"/>
        </w:rPr>
        <w:t>az osztalék kétszámjegyű százalékos emelését javasoljuk</w:t>
      </w:r>
      <w:r w:rsidRPr="00285EF4">
        <w:rPr>
          <w:rFonts w:ascii="Segoe UI" w:hAnsi="Segoe UI" w:cs="Segoe UI"/>
          <w:b/>
          <w:bCs/>
          <w:sz w:val="22"/>
          <w:szCs w:val="22"/>
          <w:lang w:val="hu-HU"/>
        </w:rPr>
        <w:t xml:space="preserve">. </w:t>
      </w:r>
      <w:r w:rsidR="00C04A89">
        <w:rPr>
          <w:rFonts w:ascii="Segoe UI" w:hAnsi="Segoe UI" w:cs="Segoe UI"/>
          <w:b/>
          <w:bCs/>
          <w:sz w:val="22"/>
          <w:szCs w:val="22"/>
          <w:lang w:val="hu-HU"/>
        </w:rPr>
        <w:t xml:space="preserve">Döntöttünk egy </w:t>
      </w:r>
      <w:r w:rsidRPr="00285EF4">
        <w:rPr>
          <w:rFonts w:ascii="Segoe UI" w:hAnsi="Segoe UI" w:cs="Segoe UI"/>
          <w:b/>
          <w:bCs/>
          <w:sz w:val="22"/>
          <w:szCs w:val="22"/>
          <w:lang w:val="hu-HU"/>
        </w:rPr>
        <w:t xml:space="preserve">új, </w:t>
      </w:r>
      <w:r w:rsidR="00C04A89">
        <w:rPr>
          <w:rFonts w:ascii="Segoe UI" w:hAnsi="Segoe UI" w:cs="Segoe UI"/>
          <w:b/>
          <w:bCs/>
          <w:sz w:val="22"/>
          <w:szCs w:val="22"/>
          <w:lang w:val="hu-HU"/>
        </w:rPr>
        <w:t>legfeljebb</w:t>
      </w:r>
      <w:r w:rsidRPr="00285EF4">
        <w:rPr>
          <w:rFonts w:ascii="Segoe UI" w:hAnsi="Segoe UI" w:cs="Segoe UI"/>
          <w:b/>
          <w:bCs/>
          <w:sz w:val="22"/>
          <w:szCs w:val="22"/>
          <w:lang w:val="hu-HU"/>
        </w:rPr>
        <w:t xml:space="preserve"> 1 milliárd eurós részvény-visszavásárlási programról is” </w:t>
      </w:r>
      <w:r w:rsidR="00C04A89" w:rsidRPr="00953059">
        <w:rPr>
          <w:rFonts w:cs="Segoe UI"/>
          <w:b/>
          <w:bCs/>
          <w:szCs w:val="22"/>
          <w:lang w:val="hu-HU"/>
        </w:rPr>
        <w:t>–</w:t>
      </w:r>
      <w:r w:rsidR="00C04A89">
        <w:rPr>
          <w:rFonts w:cs="Segoe UI"/>
          <w:b/>
          <w:bCs/>
          <w:szCs w:val="22"/>
          <w:lang w:val="hu-HU"/>
        </w:rPr>
        <w:t xml:space="preserve"> </w:t>
      </w:r>
      <w:r w:rsidRPr="00285EF4">
        <w:rPr>
          <w:rFonts w:ascii="Segoe UI" w:hAnsi="Segoe UI" w:cs="Segoe UI"/>
          <w:b/>
          <w:bCs/>
          <w:sz w:val="22"/>
          <w:szCs w:val="22"/>
          <w:lang w:val="hu-HU"/>
        </w:rPr>
        <w:t xml:space="preserve">folytatta Carsten </w:t>
      </w:r>
      <w:proofErr w:type="spellStart"/>
      <w:r w:rsidRPr="00285EF4">
        <w:rPr>
          <w:rFonts w:ascii="Segoe UI" w:hAnsi="Segoe UI" w:cs="Segoe UI"/>
          <w:b/>
          <w:bCs/>
          <w:sz w:val="22"/>
          <w:szCs w:val="22"/>
          <w:lang w:val="hu-HU"/>
        </w:rPr>
        <w:t>Knobel</w:t>
      </w:r>
      <w:proofErr w:type="spellEnd"/>
      <w:r w:rsidRPr="00285EF4">
        <w:rPr>
          <w:rFonts w:ascii="Segoe UI" w:hAnsi="Segoe UI" w:cs="Segoe UI"/>
          <w:b/>
          <w:bCs/>
          <w:sz w:val="22"/>
          <w:szCs w:val="22"/>
          <w:lang w:val="hu-HU"/>
        </w:rPr>
        <w:t>.</w:t>
      </w:r>
    </w:p>
    <w:p w14:paraId="7886FD4E" w14:textId="77777777" w:rsidR="002E635B" w:rsidRPr="00285EF4" w:rsidRDefault="002E635B" w:rsidP="002E635B">
      <w:pPr>
        <w:rPr>
          <w:rFonts w:cs="Segoe UI"/>
          <w:b/>
          <w:bCs/>
          <w:szCs w:val="22"/>
          <w:highlight w:val="yellow"/>
          <w:lang w:val="hu-HU"/>
        </w:rPr>
      </w:pPr>
    </w:p>
    <w:p w14:paraId="6DB08F0C" w14:textId="30ED326A" w:rsidR="002E635B" w:rsidRPr="00285EF4" w:rsidRDefault="002E635B" w:rsidP="00285EF4">
      <w:pPr>
        <w:spacing w:line="276" w:lineRule="auto"/>
        <w:jc w:val="both"/>
        <w:rPr>
          <w:rFonts w:ascii="Segoe UI" w:hAnsi="Segoe UI" w:cs="Segoe UI"/>
          <w:b/>
          <w:bCs/>
          <w:sz w:val="22"/>
          <w:szCs w:val="22"/>
          <w:lang w:val="hu-HU"/>
        </w:rPr>
      </w:pPr>
      <w:r w:rsidRPr="00285EF4">
        <w:rPr>
          <w:rFonts w:ascii="Segoe UI" w:hAnsi="Segoe UI" w:cs="Segoe UI"/>
          <w:b/>
          <w:bCs/>
          <w:sz w:val="22"/>
          <w:szCs w:val="22"/>
          <w:lang w:val="hu-HU"/>
        </w:rPr>
        <w:t xml:space="preserve">„Az elmúlt év eredményei egyértelműen bizonyítják, hogy a Henkel átalakulása sikeresen halad, </w:t>
      </w:r>
      <w:r w:rsidR="00DD7433">
        <w:rPr>
          <w:rFonts w:ascii="Segoe UI" w:hAnsi="Segoe UI" w:cs="Segoe UI"/>
          <w:b/>
          <w:bCs/>
          <w:sz w:val="22"/>
          <w:szCs w:val="22"/>
          <w:lang w:val="hu-HU"/>
        </w:rPr>
        <w:t xml:space="preserve">és </w:t>
      </w:r>
      <w:r w:rsidR="00DD7433" w:rsidRPr="00DD7433">
        <w:rPr>
          <w:rFonts w:ascii="Segoe UI" w:hAnsi="Segoe UI" w:cs="Segoe UI"/>
          <w:b/>
          <w:bCs/>
          <w:sz w:val="22"/>
          <w:szCs w:val="22"/>
          <w:lang w:val="hu-HU"/>
        </w:rPr>
        <w:t>hogy a céltudatos növekedésre vonatkozó stratégiai programunkkal jó úton haladunk afelé, hogy a vállalatot a lehető legjobban pozícionáljuk a jövőre nézve</w:t>
      </w:r>
      <w:r w:rsidRPr="00285EF4">
        <w:rPr>
          <w:rFonts w:ascii="Segoe UI" w:hAnsi="Segoe UI" w:cs="Segoe UI"/>
          <w:b/>
          <w:bCs/>
          <w:sz w:val="22"/>
          <w:szCs w:val="22"/>
          <w:lang w:val="hu-HU"/>
        </w:rPr>
        <w:t xml:space="preserve">” </w:t>
      </w:r>
      <w:r w:rsidR="00DD7433" w:rsidRPr="00953059">
        <w:rPr>
          <w:rFonts w:cs="Segoe UI"/>
          <w:b/>
          <w:bCs/>
          <w:szCs w:val="22"/>
          <w:lang w:val="hu-HU"/>
        </w:rPr>
        <w:t>–</w:t>
      </w:r>
      <w:r w:rsidR="00E83D08">
        <w:rPr>
          <w:rFonts w:cs="Segoe UI"/>
          <w:b/>
          <w:bCs/>
          <w:szCs w:val="22"/>
          <w:lang w:val="hu-HU"/>
        </w:rPr>
        <w:t xml:space="preserve"> ö</w:t>
      </w:r>
      <w:r w:rsidRPr="00285EF4">
        <w:rPr>
          <w:rFonts w:ascii="Segoe UI" w:hAnsi="Segoe UI" w:cs="Segoe UI"/>
          <w:b/>
          <w:bCs/>
          <w:sz w:val="22"/>
          <w:szCs w:val="22"/>
          <w:lang w:val="hu-HU"/>
        </w:rPr>
        <w:t xml:space="preserve">sszegezte Carsten </w:t>
      </w:r>
      <w:proofErr w:type="spellStart"/>
      <w:r w:rsidRPr="00285EF4">
        <w:rPr>
          <w:rFonts w:ascii="Segoe UI" w:hAnsi="Segoe UI" w:cs="Segoe UI"/>
          <w:b/>
          <w:bCs/>
          <w:sz w:val="22"/>
          <w:szCs w:val="22"/>
          <w:lang w:val="hu-HU"/>
        </w:rPr>
        <w:t>Knobel</w:t>
      </w:r>
      <w:proofErr w:type="spellEnd"/>
      <w:r w:rsidRPr="00285EF4">
        <w:rPr>
          <w:rFonts w:ascii="Segoe UI" w:hAnsi="Segoe UI" w:cs="Segoe UI"/>
          <w:b/>
          <w:bCs/>
          <w:sz w:val="22"/>
          <w:szCs w:val="22"/>
          <w:lang w:val="hu-HU"/>
        </w:rPr>
        <w:t xml:space="preserve">. „Ez tükröződik a 2025-ös pénzügyi évre vonatkozó kilátásokban is, amelyekben </w:t>
      </w:r>
      <w:r w:rsidR="00A644AF" w:rsidRPr="00A644AF">
        <w:rPr>
          <w:rFonts w:ascii="Segoe UI" w:hAnsi="Segoe UI" w:cs="Segoe UI"/>
          <w:b/>
          <w:bCs/>
          <w:sz w:val="22"/>
          <w:szCs w:val="22"/>
          <w:lang w:val="hu-HU"/>
        </w:rPr>
        <w:t>további árbevétel- és eredménynövekedésre számítunk a továbbra is kihívásokkal teli üzleti környezet ellenére.</w:t>
      </w:r>
      <w:r w:rsidRPr="00285EF4">
        <w:rPr>
          <w:rFonts w:ascii="Segoe UI" w:hAnsi="Segoe UI" w:cs="Segoe UI"/>
          <w:b/>
          <w:bCs/>
          <w:sz w:val="22"/>
          <w:szCs w:val="22"/>
          <w:lang w:val="hu-HU"/>
        </w:rPr>
        <w:t xml:space="preserve"> Szeretné</w:t>
      </w:r>
      <w:r w:rsidR="00A644AF">
        <w:rPr>
          <w:rFonts w:ascii="Segoe UI" w:hAnsi="Segoe UI" w:cs="Segoe UI"/>
          <w:b/>
          <w:bCs/>
          <w:sz w:val="22"/>
          <w:szCs w:val="22"/>
          <w:lang w:val="hu-HU"/>
        </w:rPr>
        <w:t>m meg</w:t>
      </w:r>
      <w:r w:rsidR="0037247B">
        <w:rPr>
          <w:rFonts w:ascii="Segoe UI" w:hAnsi="Segoe UI" w:cs="Segoe UI"/>
          <w:b/>
          <w:bCs/>
          <w:sz w:val="22"/>
          <w:szCs w:val="22"/>
          <w:lang w:val="hu-HU"/>
        </w:rPr>
        <w:t>k</w:t>
      </w:r>
      <w:r w:rsidRPr="00285EF4">
        <w:rPr>
          <w:rFonts w:ascii="Segoe UI" w:hAnsi="Segoe UI" w:cs="Segoe UI"/>
          <w:b/>
          <w:bCs/>
          <w:sz w:val="22"/>
          <w:szCs w:val="22"/>
          <w:lang w:val="hu-HU"/>
        </w:rPr>
        <w:t>öszön</w:t>
      </w:r>
      <w:r w:rsidR="00A644AF">
        <w:rPr>
          <w:rFonts w:ascii="Segoe UI" w:hAnsi="Segoe UI" w:cs="Segoe UI"/>
          <w:b/>
          <w:bCs/>
          <w:sz w:val="22"/>
          <w:szCs w:val="22"/>
          <w:lang w:val="hu-HU"/>
        </w:rPr>
        <w:t>ni</w:t>
      </w:r>
      <w:r w:rsidRPr="00285EF4">
        <w:rPr>
          <w:rFonts w:ascii="Segoe UI" w:hAnsi="Segoe UI" w:cs="Segoe UI"/>
          <w:b/>
          <w:bCs/>
          <w:sz w:val="22"/>
          <w:szCs w:val="22"/>
          <w:lang w:val="hu-HU"/>
        </w:rPr>
        <w:t xml:space="preserve"> a Henkel valamennyi munkatársának kiemelkedő teljesítményét. Csapatmunkájuknak és rendkívüli elkötelezettségüknek köszönhetően ismét sikeresen át</w:t>
      </w:r>
      <w:r w:rsidR="00587739">
        <w:rPr>
          <w:rFonts w:ascii="Segoe UI" w:hAnsi="Segoe UI" w:cs="Segoe UI"/>
          <w:b/>
          <w:bCs/>
          <w:sz w:val="22"/>
          <w:szCs w:val="22"/>
          <w:lang w:val="hu-HU"/>
        </w:rPr>
        <w:t>vezettük</w:t>
      </w:r>
      <w:r w:rsidRPr="00285EF4">
        <w:rPr>
          <w:rFonts w:ascii="Segoe UI" w:hAnsi="Segoe UI" w:cs="Segoe UI"/>
          <w:b/>
          <w:bCs/>
          <w:sz w:val="22"/>
          <w:szCs w:val="22"/>
          <w:lang w:val="hu-HU"/>
        </w:rPr>
        <w:t xml:space="preserve"> vállalatunkat egy kihívásokkal teli éven.”</w:t>
      </w:r>
    </w:p>
    <w:p w14:paraId="296CA6FD" w14:textId="77777777" w:rsidR="002E635B" w:rsidRPr="00587739" w:rsidRDefault="002E635B" w:rsidP="002E635B">
      <w:pPr>
        <w:spacing w:after="80"/>
        <w:rPr>
          <w:rFonts w:cs="Segoe UI"/>
          <w:szCs w:val="22"/>
          <w:lang w:val="hu-HU" w:eastAsia="de-DE"/>
        </w:rPr>
      </w:pPr>
    </w:p>
    <w:p w14:paraId="484EF37A" w14:textId="77777777" w:rsidR="002E635B" w:rsidRPr="00E50541" w:rsidRDefault="002E635B" w:rsidP="000109A5">
      <w:pPr>
        <w:spacing w:after="120" w:line="276" w:lineRule="auto"/>
        <w:jc w:val="both"/>
        <w:rPr>
          <w:rFonts w:ascii="Segoe UI" w:hAnsi="Segoe UI" w:cs="Segoe UI"/>
          <w:b/>
          <w:bCs/>
          <w:sz w:val="22"/>
          <w:szCs w:val="22"/>
          <w:lang w:val="hu-HU" w:eastAsia="de-DE"/>
        </w:rPr>
      </w:pPr>
      <w:r w:rsidRPr="00E50541">
        <w:rPr>
          <w:rFonts w:ascii="Segoe UI" w:hAnsi="Segoe UI" w:cs="Segoe UI"/>
          <w:b/>
          <w:bCs/>
          <w:sz w:val="22"/>
          <w:szCs w:val="22"/>
          <w:lang w:val="hu-HU" w:eastAsia="de-DE"/>
        </w:rPr>
        <w:t>Kilátások 2025-re</w:t>
      </w:r>
    </w:p>
    <w:p w14:paraId="17DF78AC" w14:textId="77777777" w:rsidR="002E635B" w:rsidRPr="00E50541" w:rsidRDefault="002E635B" w:rsidP="001C663E">
      <w:pPr>
        <w:spacing w:line="276" w:lineRule="auto"/>
        <w:jc w:val="both"/>
        <w:rPr>
          <w:rFonts w:ascii="Segoe UI" w:hAnsi="Segoe UI" w:cs="Segoe UI"/>
          <w:sz w:val="22"/>
          <w:szCs w:val="22"/>
          <w:lang w:val="hu-HU"/>
        </w:rPr>
      </w:pPr>
      <w:r w:rsidRPr="00E50541">
        <w:rPr>
          <w:rFonts w:ascii="Segoe UI" w:hAnsi="Segoe UI" w:cs="Segoe UI"/>
          <w:sz w:val="22"/>
          <w:szCs w:val="22"/>
          <w:lang w:val="hu-HU"/>
        </w:rPr>
        <w:t xml:space="preserve">A 2024-es mérsékelt növekedési lendületet követően 2025-ben ismét mérsékelt globális gazdasági teljesítmény várható. Ez mind az ipari kereslet, mind a fogyasztói kereslet mérsékelt növekedését feltételezi a Henkel számára a fogyasztási cikkek üzlet kulcsfontosságú területein. </w:t>
      </w:r>
      <w:r w:rsidRPr="00E50541">
        <w:rPr>
          <w:rFonts w:ascii="Segoe UI" w:hAnsi="Segoe UI" w:cs="Segoe UI"/>
          <w:sz w:val="22"/>
          <w:szCs w:val="22"/>
          <w:lang w:val="hu-HU"/>
        </w:rPr>
        <w:lastRenderedPageBreak/>
        <w:t>Továbbá a jelenlegi becslések alapján a 2025-ös pénzügyi évben a korábbi évekhez képest a globális infláció várhatóan tovább mérséklődik, és a kamatlábak is várhatóan csökkennek.</w:t>
      </w:r>
    </w:p>
    <w:p w14:paraId="732520CB" w14:textId="77777777" w:rsidR="002E635B" w:rsidRPr="00E50541" w:rsidRDefault="002E635B" w:rsidP="002E635B">
      <w:pPr>
        <w:rPr>
          <w:rFonts w:cs="Segoe UI"/>
          <w:szCs w:val="22"/>
          <w:lang w:val="hu-HU"/>
        </w:rPr>
      </w:pPr>
    </w:p>
    <w:p w14:paraId="7268026E" w14:textId="77777777" w:rsidR="002E635B" w:rsidRPr="00E50541" w:rsidRDefault="002E635B" w:rsidP="001C663E">
      <w:pPr>
        <w:spacing w:line="276" w:lineRule="auto"/>
        <w:jc w:val="both"/>
        <w:rPr>
          <w:rFonts w:ascii="Segoe UI" w:hAnsi="Segoe UI" w:cs="Segoe UI"/>
          <w:sz w:val="22"/>
          <w:szCs w:val="22"/>
          <w:lang w:val="hu-HU"/>
        </w:rPr>
      </w:pPr>
      <w:r w:rsidRPr="00E50541">
        <w:rPr>
          <w:rFonts w:ascii="Segoe UI" w:hAnsi="Segoe UI" w:cs="Segoe UI"/>
          <w:sz w:val="22"/>
          <w:szCs w:val="22"/>
          <w:lang w:val="hu-HU"/>
        </w:rPr>
        <w:t>A direkt anyagok árait illetően a Henkel a 2024-es éves átlaghoz képest alacsony és közepes egyszámjegyű százalékos növekedésre számít. A külföldi pénznemben történő értékesítés átváltása várhatóan semleges vagy negatív hatással lesz az alacsony egyszámjegyű százalékos tartományban.</w:t>
      </w:r>
    </w:p>
    <w:p w14:paraId="1B322B60" w14:textId="77777777" w:rsidR="002E635B" w:rsidRPr="00E50541" w:rsidRDefault="002E635B" w:rsidP="001C663E">
      <w:pPr>
        <w:spacing w:line="276" w:lineRule="auto"/>
        <w:jc w:val="both"/>
        <w:rPr>
          <w:rFonts w:ascii="Segoe UI" w:hAnsi="Segoe UI" w:cs="Segoe UI"/>
          <w:sz w:val="22"/>
          <w:szCs w:val="22"/>
          <w:lang w:val="hu-HU"/>
        </w:rPr>
      </w:pPr>
    </w:p>
    <w:p w14:paraId="6EB6CDA0" w14:textId="77777777" w:rsidR="002E635B" w:rsidRPr="00E50541" w:rsidRDefault="002E635B" w:rsidP="001C663E">
      <w:pPr>
        <w:spacing w:line="276" w:lineRule="auto"/>
        <w:jc w:val="both"/>
        <w:rPr>
          <w:rFonts w:ascii="Segoe UI" w:hAnsi="Segoe UI" w:cs="Segoe UI"/>
          <w:sz w:val="22"/>
          <w:szCs w:val="22"/>
          <w:lang w:val="hu-HU"/>
        </w:rPr>
      </w:pPr>
      <w:r w:rsidRPr="00E50541">
        <w:rPr>
          <w:rFonts w:ascii="Segoe UI" w:hAnsi="Segoe UI" w:cs="Segoe UI"/>
          <w:sz w:val="22"/>
          <w:szCs w:val="22"/>
          <w:lang w:val="hu-HU"/>
        </w:rPr>
        <w:t>Emellett az általános makrogazdasági és geopolitikai környezet volatilitása és bizonytalansága várhatóan egész évben magas marad.</w:t>
      </w:r>
    </w:p>
    <w:p w14:paraId="75FB6576" w14:textId="77777777" w:rsidR="002E635B" w:rsidRPr="00E50541" w:rsidRDefault="002E635B" w:rsidP="002E635B">
      <w:pPr>
        <w:rPr>
          <w:rFonts w:cs="Segoe UI"/>
          <w:lang w:val="hu-HU"/>
        </w:rPr>
      </w:pPr>
    </w:p>
    <w:p w14:paraId="48706743" w14:textId="77777777" w:rsidR="002E635B" w:rsidRPr="00E50541" w:rsidRDefault="002E635B" w:rsidP="002F4BFA">
      <w:pPr>
        <w:spacing w:line="276" w:lineRule="auto"/>
        <w:jc w:val="both"/>
        <w:rPr>
          <w:rFonts w:ascii="Segoe UI" w:hAnsi="Segoe UI" w:cs="Segoe UI"/>
          <w:szCs w:val="20"/>
          <w:lang w:val="hu-HU"/>
        </w:rPr>
      </w:pPr>
      <w:r w:rsidRPr="00A24C0A">
        <w:rPr>
          <w:rFonts w:ascii="Segoe UI" w:hAnsi="Segoe UI" w:cs="Segoe UI"/>
          <w:sz w:val="22"/>
          <w:szCs w:val="22"/>
          <w:lang w:val="hu-HU"/>
        </w:rPr>
        <w:t xml:space="preserve">Ezeket a feltételezéseket figyelembe véve a Henkel arra számít, hogy a 2025-ös pénzügyi évben 1,5 és 3,5 százalék közötti </w:t>
      </w:r>
      <w:r w:rsidRPr="00A24C0A">
        <w:rPr>
          <w:rFonts w:ascii="Segoe UI" w:hAnsi="Segoe UI" w:cs="Segoe UI"/>
          <w:b/>
          <w:sz w:val="22"/>
          <w:szCs w:val="22"/>
          <w:lang w:val="hu-HU"/>
        </w:rPr>
        <w:t>szerves árbevétel-növekedést</w:t>
      </w:r>
      <w:r w:rsidRPr="00A24C0A">
        <w:rPr>
          <w:rFonts w:ascii="Segoe UI" w:hAnsi="Segoe UI" w:cs="Segoe UI"/>
          <w:sz w:val="22"/>
          <w:szCs w:val="22"/>
          <w:lang w:val="hu-HU"/>
        </w:rPr>
        <w:t xml:space="preserve"> ér el. Az Adhesive Technologies üzletág esetében 2,0 és 4,0 százalék közötti, a Consumer </w:t>
      </w:r>
      <w:proofErr w:type="spellStart"/>
      <w:r w:rsidRPr="00A24C0A">
        <w:rPr>
          <w:rFonts w:ascii="Segoe UI" w:hAnsi="Segoe UI" w:cs="Segoe UI"/>
          <w:sz w:val="22"/>
          <w:szCs w:val="22"/>
          <w:lang w:val="hu-HU"/>
        </w:rPr>
        <w:t>Brands</w:t>
      </w:r>
      <w:proofErr w:type="spellEnd"/>
      <w:r w:rsidRPr="00A24C0A">
        <w:rPr>
          <w:rFonts w:ascii="Segoe UI" w:hAnsi="Segoe UI" w:cs="Segoe UI"/>
          <w:sz w:val="22"/>
          <w:szCs w:val="22"/>
          <w:lang w:val="hu-HU"/>
        </w:rPr>
        <w:t xml:space="preserve"> üzletág esetében pedig 1,0 és 3,0 százalék közötti szerves növekedést várnak. A </w:t>
      </w:r>
      <w:r w:rsidRPr="00A24C0A">
        <w:rPr>
          <w:rFonts w:ascii="Segoe UI" w:hAnsi="Segoe UI" w:cs="Segoe UI"/>
          <w:b/>
          <w:sz w:val="22"/>
          <w:szCs w:val="22"/>
          <w:lang w:val="hu-HU"/>
        </w:rPr>
        <w:t>korrigált árbevétel-arányos megtérülés</w:t>
      </w:r>
      <w:r w:rsidRPr="00A24C0A">
        <w:rPr>
          <w:rFonts w:ascii="Segoe UI" w:hAnsi="Segoe UI" w:cs="Segoe UI"/>
          <w:sz w:val="22"/>
          <w:szCs w:val="22"/>
          <w:lang w:val="hu-HU"/>
        </w:rPr>
        <w:t xml:space="preserve"> (</w:t>
      </w:r>
      <w:r w:rsidRPr="006A7531">
        <w:rPr>
          <w:rFonts w:ascii="Segoe UI" w:hAnsi="Segoe UI" w:cs="Segoe UI"/>
          <w:b/>
          <w:bCs/>
          <w:sz w:val="22"/>
          <w:szCs w:val="22"/>
          <w:lang w:val="hu-HU"/>
        </w:rPr>
        <w:t xml:space="preserve">korrigált EBIT </w:t>
      </w:r>
      <w:proofErr w:type="spellStart"/>
      <w:r w:rsidRPr="006A7531">
        <w:rPr>
          <w:rFonts w:ascii="Segoe UI" w:hAnsi="Segoe UI" w:cs="Segoe UI"/>
          <w:b/>
          <w:bCs/>
          <w:sz w:val="22"/>
          <w:szCs w:val="22"/>
          <w:lang w:val="hu-HU"/>
        </w:rPr>
        <w:t>marzs</w:t>
      </w:r>
      <w:proofErr w:type="spellEnd"/>
      <w:r w:rsidRPr="00A24C0A">
        <w:rPr>
          <w:rFonts w:ascii="Segoe UI" w:hAnsi="Segoe UI" w:cs="Segoe UI"/>
          <w:sz w:val="22"/>
          <w:szCs w:val="22"/>
          <w:lang w:val="hu-HU"/>
        </w:rPr>
        <w:t xml:space="preserve">) várhatóan 14,0 és 15,5 százalék között lesz. Az Adhesive Technologies esetében a korrigált árbevétel-arányos megtérülés várhatóan 16,0 és 17,5 százalék között, a Consumer </w:t>
      </w:r>
      <w:proofErr w:type="spellStart"/>
      <w:r w:rsidRPr="00A24C0A">
        <w:rPr>
          <w:rFonts w:ascii="Segoe UI" w:hAnsi="Segoe UI" w:cs="Segoe UI"/>
          <w:sz w:val="22"/>
          <w:szCs w:val="22"/>
          <w:lang w:val="hu-HU"/>
        </w:rPr>
        <w:t>Brands</w:t>
      </w:r>
      <w:proofErr w:type="spellEnd"/>
      <w:r w:rsidRPr="00A24C0A">
        <w:rPr>
          <w:rFonts w:ascii="Segoe UI" w:hAnsi="Segoe UI" w:cs="Segoe UI"/>
          <w:sz w:val="22"/>
          <w:szCs w:val="22"/>
          <w:lang w:val="hu-HU"/>
        </w:rPr>
        <w:t xml:space="preserve"> esetében pedig 13,5 és 15,0 százalék között lesz. Az </w:t>
      </w:r>
      <w:r w:rsidRPr="00A24C0A">
        <w:rPr>
          <w:rFonts w:ascii="Segoe UI" w:hAnsi="Segoe UI" w:cs="Segoe UI"/>
          <w:b/>
          <w:sz w:val="22"/>
          <w:szCs w:val="22"/>
          <w:lang w:val="hu-HU"/>
        </w:rPr>
        <w:t>elsőbbségi részvények korrigált hozama</w:t>
      </w:r>
      <w:r w:rsidRPr="00A24C0A">
        <w:rPr>
          <w:rFonts w:ascii="Segoe UI" w:hAnsi="Segoe UI" w:cs="Segoe UI"/>
          <w:sz w:val="22"/>
          <w:szCs w:val="22"/>
          <w:lang w:val="hu-HU"/>
        </w:rPr>
        <w:t xml:space="preserve"> </w:t>
      </w:r>
      <w:r w:rsidRPr="002F4BFA">
        <w:rPr>
          <w:rFonts w:ascii="Segoe UI" w:hAnsi="Segoe UI" w:cs="Segoe UI"/>
          <w:b/>
          <w:bCs/>
          <w:sz w:val="22"/>
          <w:szCs w:val="22"/>
          <w:lang w:val="hu-HU"/>
        </w:rPr>
        <w:t xml:space="preserve">(EPS) </w:t>
      </w:r>
      <w:r w:rsidRPr="00A24C0A">
        <w:rPr>
          <w:rFonts w:ascii="Segoe UI" w:hAnsi="Segoe UI" w:cs="Segoe UI"/>
          <w:sz w:val="22"/>
          <w:szCs w:val="22"/>
          <w:lang w:val="hu-HU"/>
        </w:rPr>
        <w:t>változatlan árfolyamon számolva várhatóan az alacsony és a magas egyszámjegyű százalékos tartományba esik</w:t>
      </w:r>
      <w:r w:rsidRPr="00E50541">
        <w:rPr>
          <w:rFonts w:ascii="Segoe UI" w:hAnsi="Segoe UI" w:cs="Segoe UI"/>
          <w:szCs w:val="20"/>
          <w:lang w:val="hu-HU"/>
        </w:rPr>
        <w:t>.</w:t>
      </w:r>
    </w:p>
    <w:p w14:paraId="1B3657E0" w14:textId="77777777" w:rsidR="002E635B" w:rsidRPr="00810F03" w:rsidRDefault="002E635B" w:rsidP="002E635B">
      <w:pPr>
        <w:rPr>
          <w:rFonts w:cs="Segoe UI"/>
          <w:szCs w:val="22"/>
          <w:lang w:val="hu-HU"/>
        </w:rPr>
      </w:pPr>
    </w:p>
    <w:p w14:paraId="0ED5DA62" w14:textId="6EAEB97D" w:rsidR="002E635B" w:rsidRPr="002F4BFA" w:rsidRDefault="002E635B" w:rsidP="002F4BFA">
      <w:pPr>
        <w:spacing w:line="276" w:lineRule="auto"/>
        <w:jc w:val="both"/>
        <w:rPr>
          <w:rFonts w:ascii="Segoe UI" w:hAnsi="Segoe UI" w:cs="Segoe UI"/>
          <w:color w:val="000000"/>
          <w:sz w:val="22"/>
          <w:szCs w:val="22"/>
          <w:lang w:val="hu-HU"/>
        </w:rPr>
      </w:pPr>
      <w:r w:rsidRPr="002F4BFA">
        <w:rPr>
          <w:rFonts w:ascii="Segoe UI" w:hAnsi="Segoe UI" w:cs="Segoe UI"/>
          <w:color w:val="000000"/>
          <w:sz w:val="22"/>
          <w:szCs w:val="22"/>
          <w:lang w:val="hu-HU"/>
        </w:rPr>
        <w:t>Ezáltal lassabb évkezdésre számíthatunk. Ugyanakkor az is várható, hogy az év folyamán a szerves árbevétel-növekedés felgyorsul, ami a 2025-ös pénzügyi év második felében az első félévhez képest erősebb lesz. Ez mindkét üzletágra igaz. Ennek oka a jelenleg kihívásokkal teli ipari környezet, valamint a visszafogott piaci növekedés és fogyasztói hangulat egyes piacainkon, különösen Észak-Amerikában.</w:t>
      </w:r>
    </w:p>
    <w:p w14:paraId="3D27A94F" w14:textId="77777777" w:rsidR="002E635B" w:rsidRPr="002F4BFA" w:rsidRDefault="002E635B" w:rsidP="002F4BFA">
      <w:pPr>
        <w:spacing w:line="276" w:lineRule="auto"/>
        <w:jc w:val="both"/>
        <w:rPr>
          <w:rFonts w:ascii="Segoe UI" w:hAnsi="Segoe UI" w:cs="Segoe UI"/>
          <w:sz w:val="22"/>
          <w:szCs w:val="22"/>
          <w:lang w:val="hu-HU"/>
        </w:rPr>
      </w:pPr>
    </w:p>
    <w:p w14:paraId="7F280C0D" w14:textId="36A12522" w:rsidR="002E635B" w:rsidRDefault="002E635B" w:rsidP="002F4BFA">
      <w:pPr>
        <w:spacing w:line="276" w:lineRule="auto"/>
        <w:jc w:val="both"/>
        <w:rPr>
          <w:rFonts w:ascii="Segoe UI" w:hAnsi="Segoe UI" w:cs="Segoe UI"/>
          <w:sz w:val="22"/>
          <w:szCs w:val="22"/>
          <w:lang w:val="hu-HU"/>
        </w:rPr>
      </w:pPr>
      <w:r w:rsidRPr="002F4BFA">
        <w:rPr>
          <w:rFonts w:ascii="Segoe UI" w:hAnsi="Segoe UI" w:cs="Segoe UI"/>
          <w:sz w:val="22"/>
          <w:szCs w:val="22"/>
          <w:lang w:val="hu-HU"/>
        </w:rPr>
        <w:t xml:space="preserve">A </w:t>
      </w:r>
      <w:r w:rsidRPr="002F4BFA">
        <w:rPr>
          <w:rFonts w:ascii="Segoe UI" w:hAnsi="Segoe UI" w:cs="Segoe UI"/>
          <w:b/>
          <w:sz w:val="22"/>
          <w:szCs w:val="22"/>
          <w:lang w:val="hu-HU"/>
        </w:rPr>
        <w:t xml:space="preserve">Consumer </w:t>
      </w:r>
      <w:proofErr w:type="spellStart"/>
      <w:r w:rsidRPr="002F4BFA">
        <w:rPr>
          <w:rFonts w:ascii="Segoe UI" w:hAnsi="Segoe UI" w:cs="Segoe UI"/>
          <w:b/>
          <w:sz w:val="22"/>
          <w:szCs w:val="22"/>
          <w:lang w:val="hu-HU"/>
        </w:rPr>
        <w:t>Brands</w:t>
      </w:r>
      <w:proofErr w:type="spellEnd"/>
      <w:r w:rsidRPr="002F4BFA">
        <w:rPr>
          <w:rFonts w:ascii="Segoe UI" w:hAnsi="Segoe UI" w:cs="Segoe UI"/>
          <w:sz w:val="22"/>
          <w:szCs w:val="22"/>
          <w:lang w:val="hu-HU"/>
        </w:rPr>
        <w:t xml:space="preserve"> esetében figyelembe kell venni </w:t>
      </w:r>
      <w:r w:rsidR="00EE6FED" w:rsidRPr="00EE6FED">
        <w:rPr>
          <w:rFonts w:ascii="Segoe UI" w:hAnsi="Segoe UI" w:cs="Segoe UI"/>
          <w:sz w:val="22"/>
          <w:szCs w:val="22"/>
          <w:lang w:val="hu-HU"/>
        </w:rPr>
        <w:t>az előző év magas szerves árbevétel-növekedését, különösen a 2024 első felében bevezetett erős innovációs termékbevezetések miatt.</w:t>
      </w:r>
      <w:r w:rsidRPr="002F4BFA">
        <w:rPr>
          <w:rFonts w:ascii="Segoe UI" w:hAnsi="Segoe UI" w:cs="Segoe UI"/>
          <w:sz w:val="22"/>
          <w:szCs w:val="22"/>
          <w:lang w:val="hu-HU"/>
        </w:rPr>
        <w:t xml:space="preserve"> 2025-ben az innovációs termékbevezetések inkább 2025 második felére tolódnak ki. Emellett az ellátási láncunkban az 1-1-1 megközelítés véglegesítésével kapcsolatos egyszeri működési témák, valamint a promóciós szakaszo</w:t>
      </w:r>
      <w:r w:rsidR="0069414E">
        <w:rPr>
          <w:rFonts w:ascii="Segoe UI" w:hAnsi="Segoe UI" w:cs="Segoe UI"/>
          <w:sz w:val="22"/>
          <w:szCs w:val="22"/>
          <w:lang w:val="hu-HU"/>
        </w:rPr>
        <w:t>k</w:t>
      </w:r>
      <w:r w:rsidRPr="002F4BFA">
        <w:rPr>
          <w:rFonts w:ascii="Segoe UI" w:hAnsi="Segoe UI" w:cs="Segoe UI"/>
          <w:sz w:val="22"/>
          <w:szCs w:val="22"/>
          <w:lang w:val="hu-HU"/>
        </w:rPr>
        <w:t xml:space="preserve"> is hozzájárul</w:t>
      </w:r>
      <w:r w:rsidR="0069414E">
        <w:rPr>
          <w:rFonts w:ascii="Segoe UI" w:hAnsi="Segoe UI" w:cs="Segoe UI"/>
          <w:sz w:val="22"/>
          <w:szCs w:val="22"/>
          <w:lang w:val="hu-HU"/>
        </w:rPr>
        <w:t>nak</w:t>
      </w:r>
      <w:r w:rsidRPr="002F4BFA">
        <w:rPr>
          <w:rFonts w:ascii="Segoe UI" w:hAnsi="Segoe UI" w:cs="Segoe UI"/>
          <w:sz w:val="22"/>
          <w:szCs w:val="22"/>
          <w:lang w:val="hu-HU"/>
        </w:rPr>
        <w:t xml:space="preserve"> ahhoz, hogy az első negyedévben a szerves árbevétel-növekedés és a volumenek az előző évinél alacsonyabbak legyenek. Az első negyedévben a szerves árbevétel növekedése várhatóan -2 és -4 százalék között </w:t>
      </w:r>
      <w:r w:rsidR="00296BA6">
        <w:rPr>
          <w:rFonts w:ascii="Segoe UI" w:hAnsi="Segoe UI" w:cs="Segoe UI"/>
          <w:sz w:val="22"/>
          <w:szCs w:val="22"/>
          <w:lang w:val="hu-HU"/>
        </w:rPr>
        <w:t>lesz</w:t>
      </w:r>
      <w:r w:rsidRPr="002F4BFA">
        <w:rPr>
          <w:rFonts w:ascii="Segoe UI" w:hAnsi="Segoe UI" w:cs="Segoe UI"/>
          <w:sz w:val="22"/>
          <w:szCs w:val="22"/>
          <w:lang w:val="hu-HU"/>
        </w:rPr>
        <w:t xml:space="preserve">, míg az </w:t>
      </w:r>
      <w:proofErr w:type="spellStart"/>
      <w:r w:rsidRPr="002F4BFA">
        <w:rPr>
          <w:rFonts w:ascii="Segoe UI" w:hAnsi="Segoe UI" w:cs="Segoe UI"/>
          <w:sz w:val="22"/>
          <w:szCs w:val="22"/>
          <w:lang w:val="hu-HU"/>
        </w:rPr>
        <w:t>árképzés</w:t>
      </w:r>
      <w:proofErr w:type="spellEnd"/>
      <w:r w:rsidRPr="002F4BFA">
        <w:rPr>
          <w:rFonts w:ascii="Segoe UI" w:hAnsi="Segoe UI" w:cs="Segoe UI"/>
          <w:sz w:val="22"/>
          <w:szCs w:val="22"/>
          <w:lang w:val="hu-HU"/>
        </w:rPr>
        <w:t xml:space="preserve"> várhatóan pozitív lesz. </w:t>
      </w:r>
      <w:r w:rsidR="00296BA6" w:rsidRPr="00296BA6">
        <w:rPr>
          <w:rFonts w:ascii="Segoe UI" w:hAnsi="Segoe UI" w:cs="Segoe UI"/>
          <w:sz w:val="22"/>
          <w:szCs w:val="22"/>
          <w:lang w:val="hu-HU"/>
        </w:rPr>
        <w:t xml:space="preserve">A teljes 2025-ös évre összességében pozitív szerves árbevétel-növekedés várható, mind a mennyiség, mind az ár </w:t>
      </w:r>
      <w:r w:rsidR="007A74B7">
        <w:rPr>
          <w:rFonts w:ascii="Segoe UI" w:hAnsi="Segoe UI" w:cs="Segoe UI"/>
          <w:sz w:val="22"/>
          <w:szCs w:val="22"/>
          <w:lang w:val="hu-HU"/>
        </w:rPr>
        <w:t>tekintetében</w:t>
      </w:r>
      <w:r w:rsidR="00296BA6" w:rsidRPr="00296BA6">
        <w:rPr>
          <w:rFonts w:ascii="Segoe UI" w:hAnsi="Segoe UI" w:cs="Segoe UI"/>
          <w:sz w:val="22"/>
          <w:szCs w:val="22"/>
          <w:lang w:val="hu-HU"/>
        </w:rPr>
        <w:t>.</w:t>
      </w:r>
    </w:p>
    <w:p w14:paraId="46B62B34" w14:textId="77777777" w:rsidR="008E3591" w:rsidRPr="002F4BFA" w:rsidRDefault="008E3591" w:rsidP="002F4BFA">
      <w:pPr>
        <w:spacing w:line="276" w:lineRule="auto"/>
        <w:jc w:val="both"/>
        <w:rPr>
          <w:rFonts w:ascii="Segoe UI" w:hAnsi="Segoe UI" w:cs="Segoe UI"/>
          <w:sz w:val="22"/>
          <w:szCs w:val="22"/>
          <w:lang w:val="hu-HU"/>
        </w:rPr>
      </w:pPr>
    </w:p>
    <w:p w14:paraId="3E635BBD" w14:textId="77777777" w:rsidR="002E635B" w:rsidRPr="002F4BFA" w:rsidRDefault="002E635B" w:rsidP="0088061D">
      <w:pPr>
        <w:spacing w:line="276" w:lineRule="auto"/>
        <w:jc w:val="both"/>
        <w:rPr>
          <w:rFonts w:ascii="Segoe UI" w:hAnsi="Segoe UI" w:cs="Segoe UI"/>
          <w:sz w:val="22"/>
          <w:szCs w:val="22"/>
          <w:lang w:val="hu-HU"/>
        </w:rPr>
      </w:pPr>
      <w:bookmarkStart w:id="2" w:name="_Hlk192504294"/>
      <w:r w:rsidRPr="002F4BFA">
        <w:rPr>
          <w:rFonts w:ascii="Segoe UI" w:hAnsi="Segoe UI" w:cs="Segoe UI"/>
          <w:sz w:val="22"/>
          <w:szCs w:val="22"/>
          <w:lang w:val="hu-HU"/>
        </w:rPr>
        <w:t>A 2025-ös teljes évre vonatkozóan mindkét üzletág és így a Csoport esetében is további árrés- és ezáltal nyereségességjavulás várható az előző évhez képest. A 2025-ös pénzügyi év első két hónapjának alakulása azt mutatja, hogy a Henkel és mindkét üzletág jó úton halad.</w:t>
      </w:r>
      <w:bookmarkEnd w:id="2"/>
    </w:p>
    <w:p w14:paraId="04C335CF" w14:textId="77777777" w:rsidR="002E635B" w:rsidRPr="00810F03" w:rsidRDefault="002E635B" w:rsidP="002E635B">
      <w:pPr>
        <w:spacing w:line="240" w:lineRule="auto"/>
        <w:rPr>
          <w:rFonts w:cs="Segoe UI"/>
          <w:b/>
          <w:bCs/>
          <w:szCs w:val="22"/>
          <w:lang w:val="hu-HU" w:eastAsia="de-DE"/>
        </w:rPr>
      </w:pPr>
    </w:p>
    <w:p w14:paraId="4FF3F900" w14:textId="1AEEA007" w:rsidR="002E635B" w:rsidRPr="0088061D" w:rsidRDefault="002E635B" w:rsidP="0088061D">
      <w:pPr>
        <w:spacing w:after="120" w:line="276" w:lineRule="auto"/>
        <w:jc w:val="both"/>
        <w:rPr>
          <w:rFonts w:ascii="Segoe UI" w:hAnsi="Segoe UI" w:cs="Segoe UI"/>
          <w:b/>
          <w:bCs/>
          <w:sz w:val="22"/>
          <w:szCs w:val="22"/>
          <w:lang w:val="hu-HU" w:eastAsia="de-DE"/>
        </w:rPr>
      </w:pPr>
      <w:r w:rsidRPr="0088061D">
        <w:rPr>
          <w:rFonts w:ascii="Segoe UI" w:hAnsi="Segoe UI" w:cs="Segoe UI"/>
          <w:b/>
          <w:bCs/>
          <w:sz w:val="22"/>
          <w:szCs w:val="22"/>
          <w:lang w:val="hu-HU" w:eastAsia="de-DE"/>
        </w:rPr>
        <w:t>A csoport árbevétel</w:t>
      </w:r>
      <w:r w:rsidR="00D1252A">
        <w:rPr>
          <w:rFonts w:ascii="Segoe UI" w:hAnsi="Segoe UI" w:cs="Segoe UI"/>
          <w:b/>
          <w:bCs/>
          <w:sz w:val="22"/>
          <w:szCs w:val="22"/>
          <w:lang w:val="hu-HU" w:eastAsia="de-DE"/>
        </w:rPr>
        <w:t>é</w:t>
      </w:r>
      <w:r w:rsidRPr="0088061D">
        <w:rPr>
          <w:rFonts w:ascii="Segoe UI" w:hAnsi="Segoe UI" w:cs="Segoe UI"/>
          <w:b/>
          <w:bCs/>
          <w:sz w:val="22"/>
          <w:szCs w:val="22"/>
          <w:lang w:val="hu-HU" w:eastAsia="de-DE"/>
        </w:rPr>
        <w:t>nek és eredményének alakulása a 2024-es pénzügyi évben</w:t>
      </w:r>
    </w:p>
    <w:p w14:paraId="5DA454AF" w14:textId="086EA3A7" w:rsidR="002E635B" w:rsidRPr="0088061D" w:rsidRDefault="002E635B" w:rsidP="0088061D">
      <w:pPr>
        <w:spacing w:line="276" w:lineRule="auto"/>
        <w:jc w:val="both"/>
        <w:rPr>
          <w:rFonts w:ascii="Segoe UI" w:hAnsi="Segoe UI" w:cs="Segoe UI"/>
          <w:sz w:val="22"/>
          <w:szCs w:val="22"/>
          <w:lang w:val="hu-HU"/>
        </w:rPr>
      </w:pPr>
      <w:r w:rsidRPr="0088061D">
        <w:rPr>
          <w:rFonts w:ascii="Segoe UI" w:hAnsi="Segoe UI" w:cs="Segoe UI"/>
          <w:sz w:val="22"/>
          <w:szCs w:val="22"/>
          <w:lang w:val="hu-HU"/>
        </w:rPr>
        <w:t xml:space="preserve">A Henkel-csoport </w:t>
      </w:r>
      <w:r w:rsidRPr="0088061D">
        <w:rPr>
          <w:rFonts w:ascii="Segoe UI" w:hAnsi="Segoe UI" w:cs="Segoe UI"/>
          <w:b/>
          <w:sz w:val="22"/>
          <w:szCs w:val="22"/>
          <w:lang w:val="hu-HU"/>
        </w:rPr>
        <w:t>árbevétele</w:t>
      </w:r>
      <w:r w:rsidRPr="0088061D">
        <w:rPr>
          <w:rFonts w:ascii="Segoe UI" w:hAnsi="Segoe UI" w:cs="Segoe UI"/>
          <w:sz w:val="22"/>
          <w:szCs w:val="22"/>
          <w:lang w:val="hu-HU"/>
        </w:rPr>
        <w:t xml:space="preserve"> a 2024-es pénzügyi évben elérte a 21 586 millió eurót, ami névlegesen 0,3 százalékos növekedést jelent az előző évhez képest. Az árfolyamhatások -1,8 százalékos negatív hatással voltak az árbevételre. Ezen árfolyamhatásokkal kiigazítva az árbevétel növekedése 2,1 százalékos volt. Az akvizíciók/értékesítések enyhén negatív, -0,4 százalékos hatással voltak az árbevételre, ami főként az oroszországi üzleti tevékenységünk 2023-as eladásának volt köszönhető. </w:t>
      </w:r>
      <w:r w:rsidRPr="00EF7C94">
        <w:rPr>
          <w:rFonts w:ascii="Segoe UI" w:hAnsi="Segoe UI" w:cs="Segoe UI"/>
          <w:b/>
          <w:bCs/>
          <w:sz w:val="22"/>
          <w:szCs w:val="22"/>
          <w:lang w:val="hu-HU"/>
        </w:rPr>
        <w:t>A szerves</w:t>
      </w:r>
      <w:r w:rsidRPr="0088061D">
        <w:rPr>
          <w:rFonts w:ascii="Segoe UI" w:hAnsi="Segoe UI" w:cs="Segoe UI"/>
          <w:sz w:val="22"/>
          <w:szCs w:val="22"/>
          <w:lang w:val="hu-HU"/>
        </w:rPr>
        <w:t xml:space="preserve">, azaz az árfolyamhatásokkal és az akvizíciókkal/értékesítésekkel korrigált </w:t>
      </w:r>
      <w:r w:rsidRPr="00EF7C94">
        <w:rPr>
          <w:rFonts w:ascii="Segoe UI" w:hAnsi="Segoe UI" w:cs="Segoe UI"/>
          <w:b/>
          <w:bCs/>
          <w:sz w:val="22"/>
          <w:szCs w:val="22"/>
          <w:lang w:val="hu-HU"/>
        </w:rPr>
        <w:t>árbevétel-növekedés</w:t>
      </w:r>
      <w:r w:rsidRPr="0088061D">
        <w:rPr>
          <w:rFonts w:ascii="Segoe UI" w:hAnsi="Segoe UI" w:cs="Segoe UI"/>
          <w:sz w:val="22"/>
          <w:szCs w:val="22"/>
          <w:lang w:val="hu-HU"/>
        </w:rPr>
        <w:t xml:space="preserve"> jó, 2,6 százalékos növekedést mutatott. Ezt mind a </w:t>
      </w:r>
      <w:r w:rsidR="00810F03">
        <w:rPr>
          <w:rFonts w:ascii="Segoe UI" w:hAnsi="Segoe UI" w:cs="Segoe UI"/>
          <w:sz w:val="22"/>
          <w:szCs w:val="22"/>
          <w:lang w:val="hu-HU"/>
        </w:rPr>
        <w:t>helyes</w:t>
      </w:r>
      <w:r w:rsidRPr="0088061D">
        <w:rPr>
          <w:rFonts w:ascii="Segoe UI" w:hAnsi="Segoe UI" w:cs="Segoe UI"/>
          <w:sz w:val="22"/>
          <w:szCs w:val="22"/>
          <w:lang w:val="hu-HU"/>
        </w:rPr>
        <w:t xml:space="preserve"> ár</w:t>
      </w:r>
      <w:r w:rsidR="00810F03">
        <w:rPr>
          <w:rFonts w:ascii="Segoe UI" w:hAnsi="Segoe UI" w:cs="Segoe UI"/>
          <w:sz w:val="22"/>
          <w:szCs w:val="22"/>
          <w:lang w:val="hu-HU"/>
        </w:rPr>
        <w:t>azás</w:t>
      </w:r>
      <w:r w:rsidR="003809FA">
        <w:rPr>
          <w:rFonts w:ascii="Segoe UI" w:hAnsi="Segoe UI" w:cs="Segoe UI"/>
          <w:sz w:val="22"/>
          <w:szCs w:val="22"/>
          <w:lang w:val="hu-HU"/>
        </w:rPr>
        <w:t>nak</w:t>
      </w:r>
      <w:r w:rsidRPr="0088061D">
        <w:rPr>
          <w:rFonts w:ascii="Segoe UI" w:hAnsi="Segoe UI" w:cs="Segoe UI"/>
          <w:sz w:val="22"/>
          <w:szCs w:val="22"/>
          <w:lang w:val="hu-HU"/>
        </w:rPr>
        <w:t>, mind a pozitív volumen</w:t>
      </w:r>
      <w:r w:rsidR="003809FA">
        <w:rPr>
          <w:rFonts w:ascii="Segoe UI" w:hAnsi="Segoe UI" w:cs="Segoe UI"/>
          <w:sz w:val="22"/>
          <w:szCs w:val="22"/>
          <w:lang w:val="hu-HU"/>
        </w:rPr>
        <w:t xml:space="preserve"> növekedésne</w:t>
      </w:r>
      <w:r w:rsidRPr="0088061D">
        <w:rPr>
          <w:rFonts w:ascii="Segoe UI" w:hAnsi="Segoe UI" w:cs="Segoe UI"/>
          <w:sz w:val="22"/>
          <w:szCs w:val="22"/>
          <w:lang w:val="hu-HU"/>
        </w:rPr>
        <w:t>k köszönhettük.</w:t>
      </w:r>
    </w:p>
    <w:p w14:paraId="045195B2" w14:textId="77777777" w:rsidR="002E635B" w:rsidRPr="003809FA" w:rsidRDefault="002E635B" w:rsidP="002E635B">
      <w:pPr>
        <w:rPr>
          <w:rFonts w:cs="Segoe UI"/>
          <w:szCs w:val="22"/>
          <w:lang w:val="hu-HU"/>
        </w:rPr>
      </w:pPr>
    </w:p>
    <w:p w14:paraId="48E87227" w14:textId="77777777" w:rsidR="002E635B" w:rsidRPr="0088061D" w:rsidRDefault="002E635B" w:rsidP="0088061D">
      <w:pPr>
        <w:spacing w:line="276" w:lineRule="auto"/>
        <w:jc w:val="both"/>
        <w:rPr>
          <w:rFonts w:ascii="Segoe UI" w:hAnsi="Segoe UI" w:cs="Segoe UI"/>
          <w:sz w:val="22"/>
          <w:lang w:val="hu-HU"/>
        </w:rPr>
      </w:pPr>
      <w:r w:rsidRPr="0088061D">
        <w:rPr>
          <w:rFonts w:ascii="Segoe UI" w:hAnsi="Segoe UI" w:cs="Segoe UI"/>
          <w:sz w:val="22"/>
          <w:lang w:val="hu-HU"/>
        </w:rPr>
        <w:t xml:space="preserve">Az </w:t>
      </w:r>
      <w:r w:rsidRPr="0088061D">
        <w:rPr>
          <w:rFonts w:ascii="Segoe UI" w:hAnsi="Segoe UI" w:cs="Segoe UI"/>
          <w:b/>
          <w:sz w:val="22"/>
          <w:lang w:val="hu-HU"/>
        </w:rPr>
        <w:t>Adhesive Technologies</w:t>
      </w:r>
      <w:r w:rsidRPr="0088061D">
        <w:rPr>
          <w:rFonts w:ascii="Segoe UI" w:hAnsi="Segoe UI" w:cs="Segoe UI"/>
          <w:sz w:val="22"/>
          <w:lang w:val="hu-HU"/>
        </w:rPr>
        <w:t xml:space="preserve"> üzletág jó, 2,4 százalékos szerves árbevétel-növekedést ért el, különösen a </w:t>
      </w:r>
      <w:proofErr w:type="spellStart"/>
      <w:r w:rsidRPr="0088061D">
        <w:rPr>
          <w:rFonts w:ascii="Segoe UI" w:hAnsi="Segoe UI" w:cs="Segoe UI"/>
          <w:sz w:val="22"/>
          <w:lang w:val="hu-HU"/>
        </w:rPr>
        <w:t>Mobility</w:t>
      </w:r>
      <w:proofErr w:type="spellEnd"/>
      <w:r w:rsidRPr="0088061D">
        <w:rPr>
          <w:rFonts w:ascii="Segoe UI" w:hAnsi="Segoe UI" w:cs="Segoe UI"/>
          <w:sz w:val="22"/>
          <w:lang w:val="hu-HU"/>
        </w:rPr>
        <w:t xml:space="preserve"> &amp; Electronics üzleti területnek köszönhetően. A </w:t>
      </w:r>
      <w:r w:rsidRPr="0088061D">
        <w:rPr>
          <w:rFonts w:ascii="Segoe UI" w:hAnsi="Segoe UI" w:cs="Segoe UI"/>
          <w:b/>
          <w:sz w:val="22"/>
          <w:lang w:val="hu-HU"/>
        </w:rPr>
        <w:t xml:space="preserve">Consumer </w:t>
      </w:r>
      <w:proofErr w:type="spellStart"/>
      <w:r w:rsidRPr="0088061D">
        <w:rPr>
          <w:rFonts w:ascii="Segoe UI" w:hAnsi="Segoe UI" w:cs="Segoe UI"/>
          <w:b/>
          <w:sz w:val="22"/>
          <w:lang w:val="hu-HU"/>
        </w:rPr>
        <w:t>Brands</w:t>
      </w:r>
      <w:proofErr w:type="spellEnd"/>
      <w:r w:rsidRPr="0088061D">
        <w:rPr>
          <w:rFonts w:ascii="Segoe UI" w:hAnsi="Segoe UI" w:cs="Segoe UI"/>
          <w:sz w:val="22"/>
          <w:lang w:val="hu-HU"/>
        </w:rPr>
        <w:t xml:space="preserve"> üzletág erős, 3,0 százalékos szerves árbevétel-növekedést ért el, elsősorban a </w:t>
      </w:r>
      <w:proofErr w:type="spellStart"/>
      <w:r w:rsidRPr="0088061D">
        <w:rPr>
          <w:rFonts w:ascii="Segoe UI" w:hAnsi="Segoe UI" w:cs="Segoe UI"/>
          <w:sz w:val="22"/>
          <w:lang w:val="hu-HU"/>
        </w:rPr>
        <w:t>Hair</w:t>
      </w:r>
      <w:proofErr w:type="spellEnd"/>
      <w:r w:rsidRPr="0088061D">
        <w:rPr>
          <w:rFonts w:ascii="Segoe UI" w:hAnsi="Segoe UI" w:cs="Segoe UI"/>
          <w:sz w:val="22"/>
          <w:lang w:val="hu-HU"/>
        </w:rPr>
        <w:t xml:space="preserve"> üzleti területnek köszönhetően.</w:t>
      </w:r>
    </w:p>
    <w:p w14:paraId="18702D9E" w14:textId="77777777" w:rsidR="002E635B" w:rsidRPr="0088061D" w:rsidRDefault="002E635B" w:rsidP="0088061D">
      <w:pPr>
        <w:spacing w:line="276" w:lineRule="auto"/>
        <w:jc w:val="both"/>
        <w:rPr>
          <w:rFonts w:ascii="Segoe UI" w:hAnsi="Segoe UI" w:cs="Segoe UI"/>
          <w:b/>
          <w:bCs/>
          <w:sz w:val="22"/>
          <w:lang w:val="hu-HU"/>
        </w:rPr>
      </w:pPr>
    </w:p>
    <w:p w14:paraId="2292CC02" w14:textId="77777777" w:rsidR="002E635B" w:rsidRPr="0088061D" w:rsidRDefault="002E635B" w:rsidP="0088061D">
      <w:pPr>
        <w:spacing w:line="276" w:lineRule="auto"/>
        <w:jc w:val="both"/>
        <w:rPr>
          <w:rFonts w:ascii="Segoe UI" w:hAnsi="Segoe UI" w:cs="Segoe UI"/>
          <w:sz w:val="22"/>
          <w:lang w:val="hu-HU"/>
        </w:rPr>
      </w:pPr>
      <w:r w:rsidRPr="0088061D">
        <w:rPr>
          <w:rFonts w:ascii="Segoe UI" w:hAnsi="Segoe UI" w:cs="Segoe UI"/>
          <w:sz w:val="22"/>
          <w:lang w:val="hu-HU"/>
        </w:rPr>
        <w:t xml:space="preserve">A </w:t>
      </w:r>
      <w:r w:rsidRPr="0088061D">
        <w:rPr>
          <w:rFonts w:ascii="Segoe UI" w:hAnsi="Segoe UI" w:cs="Segoe UI"/>
          <w:b/>
          <w:sz w:val="22"/>
          <w:lang w:val="hu-HU"/>
        </w:rPr>
        <w:t>korrigált üzemi eredmény</w:t>
      </w:r>
      <w:r w:rsidRPr="0088061D">
        <w:rPr>
          <w:rFonts w:ascii="Segoe UI" w:hAnsi="Segoe UI" w:cs="Segoe UI"/>
          <w:sz w:val="22"/>
          <w:lang w:val="hu-HU"/>
        </w:rPr>
        <w:t xml:space="preserve"> </w:t>
      </w:r>
      <w:r w:rsidRPr="0032256C">
        <w:rPr>
          <w:rFonts w:ascii="Segoe UI" w:hAnsi="Segoe UI" w:cs="Segoe UI"/>
          <w:b/>
          <w:bCs/>
          <w:sz w:val="22"/>
          <w:lang w:val="hu-HU"/>
        </w:rPr>
        <w:t>(korrigált EBIT)</w:t>
      </w:r>
      <w:r w:rsidRPr="0088061D">
        <w:rPr>
          <w:rFonts w:ascii="Segoe UI" w:hAnsi="Segoe UI" w:cs="Segoe UI"/>
          <w:sz w:val="22"/>
          <w:lang w:val="hu-HU"/>
        </w:rPr>
        <w:t xml:space="preserve"> jelentősen, 20,9 százalékkal, 3 089 millió euróra nőtt (előző év: 2 556 millió euró).</w:t>
      </w:r>
    </w:p>
    <w:p w14:paraId="74A938BF" w14:textId="77777777" w:rsidR="002E635B" w:rsidRPr="0088061D" w:rsidRDefault="002E635B" w:rsidP="0088061D">
      <w:pPr>
        <w:spacing w:line="276" w:lineRule="auto"/>
        <w:jc w:val="both"/>
        <w:rPr>
          <w:rFonts w:ascii="Segoe UI" w:hAnsi="Segoe UI" w:cs="Segoe UI"/>
          <w:sz w:val="22"/>
          <w:lang w:val="hu-HU"/>
        </w:rPr>
      </w:pPr>
    </w:p>
    <w:p w14:paraId="1AF2F74B" w14:textId="77777777" w:rsidR="002E635B" w:rsidRPr="0088061D" w:rsidRDefault="002E635B" w:rsidP="0088061D">
      <w:pPr>
        <w:spacing w:line="276" w:lineRule="auto"/>
        <w:jc w:val="both"/>
        <w:rPr>
          <w:rFonts w:ascii="Segoe UI" w:hAnsi="Segoe UI" w:cs="Segoe UI"/>
          <w:sz w:val="22"/>
          <w:lang w:val="hu-HU"/>
        </w:rPr>
      </w:pPr>
      <w:r w:rsidRPr="0088061D">
        <w:rPr>
          <w:rFonts w:ascii="Segoe UI" w:hAnsi="Segoe UI" w:cs="Segoe UI"/>
          <w:sz w:val="22"/>
          <w:lang w:val="hu-HU"/>
        </w:rPr>
        <w:t xml:space="preserve">A 2024-es pénzügyi évben a </w:t>
      </w:r>
      <w:r w:rsidRPr="0088061D">
        <w:rPr>
          <w:rFonts w:ascii="Segoe UI" w:hAnsi="Segoe UI" w:cs="Segoe UI"/>
          <w:b/>
          <w:sz w:val="22"/>
          <w:lang w:val="hu-HU"/>
        </w:rPr>
        <w:t>korrigált árbevétel-arányos megtérülés</w:t>
      </w:r>
      <w:r w:rsidRPr="0088061D">
        <w:rPr>
          <w:rFonts w:ascii="Segoe UI" w:hAnsi="Segoe UI" w:cs="Segoe UI"/>
          <w:sz w:val="22"/>
          <w:lang w:val="hu-HU"/>
        </w:rPr>
        <w:t xml:space="preserve"> </w:t>
      </w:r>
      <w:r w:rsidRPr="0032256C">
        <w:rPr>
          <w:rFonts w:ascii="Segoe UI" w:hAnsi="Segoe UI" w:cs="Segoe UI"/>
          <w:b/>
          <w:bCs/>
          <w:sz w:val="22"/>
          <w:lang w:val="hu-HU"/>
        </w:rPr>
        <w:t xml:space="preserve">(korrigált EBIT </w:t>
      </w:r>
      <w:proofErr w:type="spellStart"/>
      <w:r w:rsidRPr="0032256C">
        <w:rPr>
          <w:rFonts w:ascii="Segoe UI" w:hAnsi="Segoe UI" w:cs="Segoe UI"/>
          <w:b/>
          <w:bCs/>
          <w:sz w:val="22"/>
          <w:lang w:val="hu-HU"/>
        </w:rPr>
        <w:t>marzs</w:t>
      </w:r>
      <w:proofErr w:type="spellEnd"/>
      <w:r w:rsidRPr="0032256C">
        <w:rPr>
          <w:rFonts w:ascii="Segoe UI" w:hAnsi="Segoe UI" w:cs="Segoe UI"/>
          <w:b/>
          <w:bCs/>
          <w:sz w:val="22"/>
          <w:lang w:val="hu-HU"/>
        </w:rPr>
        <w:t>)</w:t>
      </w:r>
      <w:r w:rsidRPr="0088061D">
        <w:rPr>
          <w:rFonts w:ascii="Segoe UI" w:hAnsi="Segoe UI" w:cs="Segoe UI"/>
          <w:sz w:val="22"/>
          <w:lang w:val="hu-HU"/>
        </w:rPr>
        <w:t xml:space="preserve"> szintén jelentősen magasabb volt az előző évinél, 14,3 százalék (2023: 11,9 százalék).</w:t>
      </w:r>
    </w:p>
    <w:p w14:paraId="7605AE1E" w14:textId="77777777" w:rsidR="002E635B" w:rsidRPr="0088061D" w:rsidRDefault="002E635B" w:rsidP="0088061D">
      <w:pPr>
        <w:spacing w:line="276" w:lineRule="auto"/>
        <w:jc w:val="both"/>
        <w:rPr>
          <w:rFonts w:ascii="Segoe UI" w:hAnsi="Segoe UI" w:cs="Segoe UI"/>
          <w:sz w:val="22"/>
          <w:lang w:val="hu-HU"/>
        </w:rPr>
      </w:pPr>
    </w:p>
    <w:p w14:paraId="52F5A5BD" w14:textId="77777777" w:rsidR="002E635B" w:rsidRPr="0088061D" w:rsidRDefault="002E635B" w:rsidP="0088061D">
      <w:pPr>
        <w:spacing w:line="276" w:lineRule="auto"/>
        <w:jc w:val="both"/>
        <w:rPr>
          <w:rFonts w:ascii="Segoe UI" w:hAnsi="Segoe UI" w:cs="Segoe UI"/>
          <w:sz w:val="22"/>
          <w:lang w:val="hu-HU"/>
        </w:rPr>
      </w:pPr>
      <w:r w:rsidRPr="0088061D">
        <w:rPr>
          <w:rFonts w:ascii="Segoe UI" w:hAnsi="Segoe UI" w:cs="Segoe UI"/>
          <w:sz w:val="22"/>
          <w:lang w:val="hu-HU"/>
        </w:rPr>
        <w:t xml:space="preserve">Az </w:t>
      </w:r>
      <w:r w:rsidRPr="0088061D">
        <w:rPr>
          <w:rFonts w:ascii="Segoe UI" w:hAnsi="Segoe UI" w:cs="Segoe UI"/>
          <w:b/>
          <w:sz w:val="22"/>
          <w:lang w:val="hu-HU"/>
        </w:rPr>
        <w:t>elsőbbségi részvények korrigált hozama</w:t>
      </w:r>
      <w:r w:rsidRPr="0088061D">
        <w:rPr>
          <w:rFonts w:ascii="Segoe UI" w:hAnsi="Segoe UI" w:cs="Segoe UI"/>
          <w:sz w:val="22"/>
          <w:lang w:val="hu-HU"/>
        </w:rPr>
        <w:t xml:space="preserve"> jelentősen, 23,2 százalékkal 5,36 euróra nőtt (előző év: 4,35 euró). Állandó árfolyamon számolva az egy elsőbbségi részvényre jutó korrigált eredmény 25,1 százalékkal nőtt.</w:t>
      </w:r>
    </w:p>
    <w:p w14:paraId="34E432C8" w14:textId="77777777" w:rsidR="002E635B" w:rsidRPr="0088061D" w:rsidRDefault="002E635B" w:rsidP="0088061D">
      <w:pPr>
        <w:spacing w:line="276" w:lineRule="auto"/>
        <w:jc w:val="both"/>
        <w:rPr>
          <w:rFonts w:ascii="Segoe UI" w:hAnsi="Segoe UI" w:cs="Segoe UI"/>
          <w:sz w:val="22"/>
          <w:lang w:val="hu-HU"/>
        </w:rPr>
      </w:pPr>
    </w:p>
    <w:p w14:paraId="317CE472" w14:textId="75D41C2B" w:rsidR="002E635B" w:rsidRPr="0088061D" w:rsidRDefault="002E635B" w:rsidP="0088061D">
      <w:pPr>
        <w:spacing w:line="276" w:lineRule="auto"/>
        <w:jc w:val="both"/>
        <w:rPr>
          <w:rFonts w:ascii="Segoe UI" w:hAnsi="Segoe UI" w:cs="Segoe UI"/>
          <w:sz w:val="22"/>
          <w:lang w:val="hu-HU"/>
        </w:rPr>
      </w:pPr>
      <w:r w:rsidRPr="0088061D">
        <w:rPr>
          <w:rFonts w:ascii="Segoe UI" w:hAnsi="Segoe UI" w:cs="Segoe UI"/>
          <w:sz w:val="22"/>
          <w:lang w:val="hu-HU"/>
        </w:rPr>
        <w:t xml:space="preserve">A </w:t>
      </w:r>
      <w:r w:rsidRPr="0088061D">
        <w:rPr>
          <w:rFonts w:ascii="Segoe UI" w:hAnsi="Segoe UI" w:cs="Segoe UI"/>
          <w:b/>
          <w:sz w:val="22"/>
          <w:lang w:val="hu-HU"/>
        </w:rPr>
        <w:t>nettó működőtőke</w:t>
      </w:r>
      <w:r w:rsidRPr="0088061D">
        <w:rPr>
          <w:rFonts w:ascii="Segoe UI" w:hAnsi="Segoe UI" w:cs="Segoe UI"/>
          <w:sz w:val="22"/>
          <w:lang w:val="hu-HU"/>
        </w:rPr>
        <w:t xml:space="preserve"> az árbevétel százalékában kifejezve 3,0 százalékot tett ki, </w:t>
      </w:r>
      <w:r w:rsidR="00F12D04" w:rsidRPr="00F12D04">
        <w:rPr>
          <w:rFonts w:ascii="Segoe UI" w:hAnsi="Segoe UI" w:cs="Segoe UI"/>
          <w:sz w:val="22"/>
          <w:lang w:val="hu-HU"/>
        </w:rPr>
        <w:t>enyhén meghaladta az előző évet</w:t>
      </w:r>
      <w:r w:rsidRPr="0088061D">
        <w:rPr>
          <w:rFonts w:ascii="Segoe UI" w:hAnsi="Segoe UI" w:cs="Segoe UI"/>
          <w:sz w:val="22"/>
          <w:lang w:val="hu-HU"/>
        </w:rPr>
        <w:t xml:space="preserve"> (2023: 2,6 százalék).</w:t>
      </w:r>
    </w:p>
    <w:p w14:paraId="1F54AF53" w14:textId="77777777" w:rsidR="002E635B" w:rsidRPr="0088061D" w:rsidRDefault="002E635B" w:rsidP="0088061D">
      <w:pPr>
        <w:spacing w:line="276" w:lineRule="auto"/>
        <w:jc w:val="both"/>
        <w:rPr>
          <w:rFonts w:ascii="Segoe UI" w:hAnsi="Segoe UI" w:cs="Segoe UI"/>
          <w:sz w:val="22"/>
          <w:lang w:val="hu-HU"/>
        </w:rPr>
      </w:pPr>
    </w:p>
    <w:p w14:paraId="0ED6C8B0" w14:textId="77777777" w:rsidR="002E635B" w:rsidRPr="0088061D" w:rsidRDefault="002E635B" w:rsidP="0088061D">
      <w:pPr>
        <w:spacing w:line="276" w:lineRule="auto"/>
        <w:jc w:val="both"/>
        <w:rPr>
          <w:rFonts w:ascii="Segoe UI" w:hAnsi="Segoe UI" w:cs="Segoe UI"/>
          <w:sz w:val="22"/>
          <w:lang w:val="hu-HU"/>
        </w:rPr>
      </w:pPr>
      <w:r w:rsidRPr="0088061D">
        <w:rPr>
          <w:rFonts w:ascii="Segoe UI" w:hAnsi="Segoe UI" w:cs="Segoe UI"/>
          <w:sz w:val="22"/>
          <w:lang w:val="hu-HU"/>
        </w:rPr>
        <w:t xml:space="preserve">A </w:t>
      </w:r>
      <w:r w:rsidRPr="0088061D">
        <w:rPr>
          <w:rFonts w:ascii="Segoe UI" w:hAnsi="Segoe UI" w:cs="Segoe UI"/>
          <w:b/>
          <w:sz w:val="22"/>
          <w:lang w:val="hu-HU"/>
        </w:rPr>
        <w:t>szabad cash flow</w:t>
      </w:r>
      <w:r w:rsidRPr="0088061D">
        <w:rPr>
          <w:rFonts w:ascii="Segoe UI" w:hAnsi="Segoe UI" w:cs="Segoe UI"/>
          <w:sz w:val="22"/>
          <w:lang w:val="hu-HU"/>
        </w:rPr>
        <w:t xml:space="preserve"> 2 362 millió eurót tett ki, ami csökkenést jelent az előző évi értékhez képest (2023: 2 603 millió euró), utóbbira pozitívan hatott a nettó működőtőke normalizálódása.</w:t>
      </w:r>
    </w:p>
    <w:p w14:paraId="60DDD0FE" w14:textId="77777777" w:rsidR="002E635B" w:rsidRPr="0088061D" w:rsidRDefault="002E635B" w:rsidP="0088061D">
      <w:pPr>
        <w:spacing w:line="276" w:lineRule="auto"/>
        <w:jc w:val="both"/>
        <w:rPr>
          <w:rFonts w:ascii="Segoe UI" w:hAnsi="Segoe UI" w:cs="Segoe UI"/>
          <w:sz w:val="22"/>
          <w:lang w:val="hu-HU"/>
        </w:rPr>
      </w:pPr>
    </w:p>
    <w:p w14:paraId="38A77DEF" w14:textId="77777777" w:rsidR="002E635B" w:rsidRPr="0088061D" w:rsidRDefault="002E635B" w:rsidP="0088061D">
      <w:pPr>
        <w:spacing w:line="276" w:lineRule="auto"/>
        <w:jc w:val="both"/>
        <w:rPr>
          <w:rFonts w:ascii="Segoe UI" w:hAnsi="Segoe UI" w:cs="Segoe UI"/>
          <w:sz w:val="22"/>
          <w:lang w:val="hu-HU"/>
        </w:rPr>
      </w:pPr>
      <w:r w:rsidRPr="0088061D">
        <w:rPr>
          <w:rFonts w:ascii="Segoe UI" w:hAnsi="Segoe UI" w:cs="Segoe UI"/>
          <w:sz w:val="22"/>
          <w:lang w:val="hu-HU"/>
        </w:rPr>
        <w:t xml:space="preserve">A </w:t>
      </w:r>
      <w:r w:rsidRPr="0088061D">
        <w:rPr>
          <w:rFonts w:ascii="Segoe UI" w:hAnsi="Segoe UI" w:cs="Segoe UI"/>
          <w:b/>
          <w:sz w:val="22"/>
          <w:lang w:val="hu-HU"/>
        </w:rPr>
        <w:t>nettó pénzügyi pozíció</w:t>
      </w:r>
      <w:r w:rsidRPr="0088061D">
        <w:rPr>
          <w:rFonts w:ascii="Segoe UI" w:hAnsi="Segoe UI" w:cs="Segoe UI"/>
          <w:sz w:val="22"/>
          <w:lang w:val="hu-HU"/>
        </w:rPr>
        <w:t xml:space="preserve"> -93 millió euróval kissé elmaradt az előző évi szinttől, ami különösen az akvizíciókhoz kapcsolódó kifizetéseknek tudható be (2023. december 31.: 12 millió euró).</w:t>
      </w:r>
    </w:p>
    <w:p w14:paraId="0C97159D" w14:textId="77777777" w:rsidR="002E635B" w:rsidRPr="0088061D" w:rsidRDefault="002E635B" w:rsidP="0088061D">
      <w:pPr>
        <w:spacing w:line="276" w:lineRule="auto"/>
        <w:jc w:val="both"/>
        <w:rPr>
          <w:rFonts w:ascii="Segoe UI" w:hAnsi="Segoe UI" w:cs="Segoe UI"/>
          <w:sz w:val="22"/>
          <w:lang w:val="hu-HU"/>
        </w:rPr>
      </w:pPr>
    </w:p>
    <w:p w14:paraId="1B24EF12" w14:textId="77777777" w:rsidR="002E635B" w:rsidRPr="0088061D" w:rsidRDefault="002E635B" w:rsidP="0088061D">
      <w:pPr>
        <w:spacing w:line="276" w:lineRule="auto"/>
        <w:jc w:val="both"/>
        <w:rPr>
          <w:rFonts w:ascii="Segoe UI" w:hAnsi="Segoe UI" w:cs="Segoe UI"/>
          <w:sz w:val="22"/>
          <w:szCs w:val="28"/>
          <w:lang w:val="hu-HU"/>
        </w:rPr>
      </w:pPr>
      <w:r w:rsidRPr="0088061D">
        <w:rPr>
          <w:rFonts w:ascii="Segoe UI" w:hAnsi="Segoe UI" w:cs="Segoe UI"/>
          <w:sz w:val="22"/>
          <w:szCs w:val="28"/>
          <w:lang w:val="hu-HU"/>
        </w:rPr>
        <w:t xml:space="preserve">Az igazgatóság, a felügyelőbizottság és a részvényesek bizottsága a 2025. április 28-i éves rendes közgyűlésnek az előző évhez képest 10,3 százalékos </w:t>
      </w:r>
      <w:r w:rsidRPr="0088061D">
        <w:rPr>
          <w:rFonts w:ascii="Segoe UI" w:hAnsi="Segoe UI" w:cs="Segoe UI"/>
          <w:b/>
          <w:sz w:val="22"/>
          <w:szCs w:val="28"/>
          <w:lang w:val="hu-HU"/>
        </w:rPr>
        <w:t>osztalékemelést</w:t>
      </w:r>
      <w:r w:rsidRPr="0088061D">
        <w:rPr>
          <w:rFonts w:ascii="Segoe UI" w:hAnsi="Segoe UI" w:cs="Segoe UI"/>
          <w:sz w:val="22"/>
          <w:szCs w:val="28"/>
          <w:lang w:val="hu-HU"/>
        </w:rPr>
        <w:t xml:space="preserve"> javasol, amely 2,04 eurót tesz ki elsőbbségi részvényenként és 2,02 eurót törzsrészvényenként (+10,4 százalék). Ez 37,9 százalékos kifizetési arányt jelent, ami a 30-40 százalékos célsávban van. Az </w:t>
      </w:r>
      <w:r w:rsidRPr="0088061D">
        <w:rPr>
          <w:rFonts w:ascii="Segoe UI" w:hAnsi="Segoe UI" w:cs="Segoe UI"/>
          <w:sz w:val="22"/>
          <w:szCs w:val="28"/>
          <w:lang w:val="hu-HU"/>
        </w:rPr>
        <w:lastRenderedPageBreak/>
        <w:t>osztalék emelése az előző pénzügyi év nagyon jó pénzügyi teljesítményének és a Henkel-csoport erős pénzügyi bázisának köszönhetően lehetséges.</w:t>
      </w:r>
    </w:p>
    <w:p w14:paraId="72F44081" w14:textId="77777777" w:rsidR="002E635B" w:rsidRPr="0088061D" w:rsidRDefault="002E635B" w:rsidP="0088061D">
      <w:pPr>
        <w:spacing w:line="276" w:lineRule="auto"/>
        <w:jc w:val="both"/>
        <w:rPr>
          <w:rFonts w:ascii="Segoe UI" w:hAnsi="Segoe UI" w:cs="Segoe UI"/>
          <w:sz w:val="22"/>
          <w:szCs w:val="28"/>
          <w:lang w:val="hu-HU"/>
        </w:rPr>
      </w:pPr>
    </w:p>
    <w:p w14:paraId="1F5B9332" w14:textId="77777777" w:rsidR="002E635B" w:rsidRPr="0088061D" w:rsidRDefault="002E635B" w:rsidP="0088061D">
      <w:pPr>
        <w:spacing w:after="120" w:line="276" w:lineRule="auto"/>
        <w:jc w:val="both"/>
        <w:rPr>
          <w:rFonts w:ascii="Segoe UI" w:hAnsi="Segoe UI" w:cs="Segoe UI"/>
          <w:b/>
          <w:bCs/>
          <w:sz w:val="22"/>
          <w:lang w:val="hu-HU" w:eastAsia="de-DE"/>
        </w:rPr>
      </w:pPr>
      <w:r w:rsidRPr="008C4F31">
        <w:rPr>
          <w:rFonts w:ascii="Segoe UI" w:hAnsi="Segoe UI" w:cs="Segoe UI"/>
          <w:b/>
          <w:bCs/>
          <w:sz w:val="22"/>
          <w:szCs w:val="22"/>
          <w:lang w:val="hu-HU" w:eastAsia="de-DE"/>
        </w:rPr>
        <w:t>Az üzletágak teljesítménye a 2024-es pénzügyi évben</w:t>
      </w:r>
    </w:p>
    <w:p w14:paraId="172AA23C" w14:textId="0589D073" w:rsidR="002E635B" w:rsidRPr="0088061D" w:rsidRDefault="002E635B" w:rsidP="0088061D">
      <w:pPr>
        <w:spacing w:line="276" w:lineRule="auto"/>
        <w:jc w:val="both"/>
        <w:rPr>
          <w:rFonts w:ascii="Segoe UI" w:hAnsi="Segoe UI" w:cs="Segoe UI"/>
          <w:sz w:val="22"/>
          <w:lang w:val="hu-HU"/>
        </w:rPr>
      </w:pPr>
      <w:r w:rsidRPr="0088061D">
        <w:rPr>
          <w:rFonts w:ascii="Segoe UI" w:hAnsi="Segoe UI" w:cs="Segoe UI"/>
          <w:sz w:val="22"/>
          <w:lang w:val="hu-HU"/>
        </w:rPr>
        <w:t xml:space="preserve">Az </w:t>
      </w:r>
      <w:r w:rsidRPr="0088061D">
        <w:rPr>
          <w:rFonts w:ascii="Segoe UI" w:hAnsi="Segoe UI" w:cs="Segoe UI"/>
          <w:b/>
          <w:sz w:val="22"/>
          <w:lang w:val="hu-HU"/>
        </w:rPr>
        <w:t xml:space="preserve">Adhesive Technologies </w:t>
      </w:r>
      <w:r w:rsidRPr="0088061D">
        <w:rPr>
          <w:rFonts w:ascii="Segoe UI" w:hAnsi="Segoe UI" w:cs="Segoe UI"/>
          <w:sz w:val="22"/>
          <w:lang w:val="hu-HU"/>
        </w:rPr>
        <w:t xml:space="preserve">üzletág </w:t>
      </w:r>
      <w:r w:rsidRPr="0088061D">
        <w:rPr>
          <w:rFonts w:ascii="Segoe UI" w:hAnsi="Segoe UI" w:cs="Segoe UI"/>
          <w:b/>
          <w:sz w:val="22"/>
          <w:lang w:val="hu-HU"/>
        </w:rPr>
        <w:t>árbevétele</w:t>
      </w:r>
      <w:r w:rsidRPr="0088061D">
        <w:rPr>
          <w:rFonts w:ascii="Segoe UI" w:hAnsi="Segoe UI" w:cs="Segoe UI"/>
          <w:sz w:val="22"/>
          <w:lang w:val="hu-HU"/>
        </w:rPr>
        <w:t xml:space="preserve"> a 2024-es pénzügyi évben 10 970 millió eurót tett ki, így nominálisan 1,7 százalékkal nőtt az előző évhez képest. Míg az árfolyamhatások -1,8 százalékos negatív hatást gyakoroltak, </w:t>
      </w:r>
      <w:r w:rsidR="00F00659">
        <w:rPr>
          <w:rFonts w:ascii="Segoe UI" w:hAnsi="Segoe UI" w:cs="Segoe UI"/>
          <w:sz w:val="22"/>
          <w:lang w:val="hu-HU"/>
        </w:rPr>
        <w:t xml:space="preserve">addig </w:t>
      </w:r>
      <w:r w:rsidRPr="0088061D">
        <w:rPr>
          <w:rFonts w:ascii="Segoe UI" w:hAnsi="Segoe UI" w:cs="Segoe UI"/>
          <w:sz w:val="22"/>
          <w:lang w:val="hu-HU"/>
        </w:rPr>
        <w:t xml:space="preserve">az akvizíciók/értékesítések 1,1 százalékkal növelték az árbevételt. Az árbevétel </w:t>
      </w:r>
      <w:r w:rsidRPr="0088061D">
        <w:rPr>
          <w:rFonts w:ascii="Segoe UI" w:hAnsi="Segoe UI" w:cs="Segoe UI"/>
          <w:b/>
          <w:sz w:val="22"/>
          <w:lang w:val="hu-HU"/>
        </w:rPr>
        <w:t>szervesen</w:t>
      </w:r>
      <w:r w:rsidRPr="0088061D">
        <w:rPr>
          <w:rFonts w:ascii="Segoe UI" w:hAnsi="Segoe UI" w:cs="Segoe UI"/>
          <w:sz w:val="22"/>
          <w:lang w:val="hu-HU"/>
        </w:rPr>
        <w:t xml:space="preserve"> 2,4 százalékkal nőtt. Az árbevétel növekedését különösen az év második felében az előző évhez képest erős volumen</w:t>
      </w:r>
      <w:r w:rsidR="007D05C2">
        <w:rPr>
          <w:rFonts w:ascii="Segoe UI" w:hAnsi="Segoe UI" w:cs="Segoe UI"/>
          <w:sz w:val="22"/>
          <w:lang w:val="hu-HU"/>
        </w:rPr>
        <w:t>növekedés</w:t>
      </w:r>
      <w:r w:rsidRPr="0088061D">
        <w:rPr>
          <w:rFonts w:ascii="Segoe UI" w:hAnsi="Segoe UI" w:cs="Segoe UI"/>
          <w:sz w:val="22"/>
          <w:lang w:val="hu-HU"/>
        </w:rPr>
        <w:t xml:space="preserve"> okozta</w:t>
      </w:r>
      <w:r w:rsidR="00D46F25">
        <w:rPr>
          <w:rFonts w:ascii="Segoe UI" w:hAnsi="Segoe UI" w:cs="Segoe UI"/>
          <w:sz w:val="22"/>
          <w:lang w:val="hu-HU"/>
        </w:rPr>
        <w:t xml:space="preserve">, </w:t>
      </w:r>
      <w:r w:rsidR="00D46F25" w:rsidRPr="00D46F25">
        <w:rPr>
          <w:rFonts w:ascii="Segoe UI" w:hAnsi="Segoe UI" w:cs="Segoe UI"/>
          <w:sz w:val="22"/>
          <w:lang w:val="hu-HU"/>
        </w:rPr>
        <w:t>elsősorban a megnövekedett keresletnek köszönhetően néhány kulcsfontosságú vég</w:t>
      </w:r>
      <w:r w:rsidR="0006713A">
        <w:rPr>
          <w:rFonts w:ascii="Segoe UI" w:hAnsi="Segoe UI" w:cs="Segoe UI"/>
          <w:sz w:val="22"/>
          <w:lang w:val="hu-HU"/>
        </w:rPr>
        <w:t xml:space="preserve">felhasználói </w:t>
      </w:r>
      <w:r w:rsidR="00D46F25" w:rsidRPr="00D46F25">
        <w:rPr>
          <w:rFonts w:ascii="Segoe UI" w:hAnsi="Segoe UI" w:cs="Segoe UI"/>
          <w:sz w:val="22"/>
          <w:lang w:val="hu-HU"/>
        </w:rPr>
        <w:t>piacon</w:t>
      </w:r>
      <w:r w:rsidRPr="0088061D">
        <w:rPr>
          <w:rFonts w:ascii="Segoe UI" w:hAnsi="Segoe UI" w:cs="Segoe UI"/>
          <w:sz w:val="22"/>
          <w:lang w:val="hu-HU"/>
        </w:rPr>
        <w:t xml:space="preserve">. Az árak az előző évhez képest változatlanok maradtak. A </w:t>
      </w:r>
      <w:r w:rsidRPr="0088061D">
        <w:rPr>
          <w:rFonts w:ascii="Segoe UI" w:hAnsi="Segoe UI" w:cs="Segoe UI"/>
          <w:b/>
          <w:sz w:val="22"/>
          <w:lang w:val="hu-HU"/>
        </w:rPr>
        <w:t>korrigált üzemi eredmény</w:t>
      </w:r>
      <w:r w:rsidRPr="0088061D">
        <w:rPr>
          <w:rFonts w:ascii="Segoe UI" w:hAnsi="Segoe UI" w:cs="Segoe UI"/>
          <w:sz w:val="22"/>
          <w:lang w:val="hu-HU"/>
        </w:rPr>
        <w:t xml:space="preserve"> 1 817 millió euróval kétszámjegyű százalékos növekedést ért el az előző évhez képest, ami új csúcsot jelent az üzletág számára. A </w:t>
      </w:r>
      <w:r w:rsidRPr="0088061D">
        <w:rPr>
          <w:rFonts w:ascii="Segoe UI" w:hAnsi="Segoe UI" w:cs="Segoe UI"/>
          <w:b/>
          <w:sz w:val="22"/>
          <w:lang w:val="hu-HU"/>
        </w:rPr>
        <w:t>korrigált árbevétel-arányos megtérülés</w:t>
      </w:r>
      <w:r w:rsidRPr="0088061D">
        <w:rPr>
          <w:rFonts w:ascii="Segoe UI" w:hAnsi="Segoe UI" w:cs="Segoe UI"/>
          <w:sz w:val="22"/>
          <w:lang w:val="hu-HU"/>
        </w:rPr>
        <w:t xml:space="preserve"> az előző évhez képest jelentősen, 190 bázisponttal 16,6 százalékra nőtt.</w:t>
      </w:r>
    </w:p>
    <w:p w14:paraId="599E8CB2" w14:textId="77777777" w:rsidR="002E635B" w:rsidRPr="00810F03" w:rsidRDefault="002E635B" w:rsidP="002E635B">
      <w:pPr>
        <w:rPr>
          <w:rFonts w:cs="Segoe UI"/>
          <w:szCs w:val="22"/>
          <w:lang w:val="hu-HU"/>
        </w:rPr>
      </w:pPr>
    </w:p>
    <w:p w14:paraId="32886BA5" w14:textId="5967FA25" w:rsidR="002E635B" w:rsidRPr="009D47FA" w:rsidRDefault="002E635B" w:rsidP="00B31808">
      <w:pPr>
        <w:spacing w:line="276" w:lineRule="auto"/>
        <w:jc w:val="both"/>
        <w:rPr>
          <w:rFonts w:ascii="Segoe UI" w:hAnsi="Segoe UI" w:cs="Segoe UI"/>
          <w:sz w:val="22"/>
          <w:szCs w:val="22"/>
          <w:lang w:val="hu-HU"/>
        </w:rPr>
      </w:pPr>
      <w:r w:rsidRPr="009D47FA">
        <w:rPr>
          <w:rFonts w:ascii="Segoe UI" w:hAnsi="Segoe UI" w:cs="Segoe UI"/>
          <w:sz w:val="22"/>
          <w:szCs w:val="22"/>
          <w:lang w:val="hu-HU"/>
        </w:rPr>
        <w:t xml:space="preserve">A </w:t>
      </w:r>
      <w:r w:rsidRPr="009D47FA">
        <w:rPr>
          <w:rFonts w:ascii="Segoe UI" w:hAnsi="Segoe UI" w:cs="Segoe UI"/>
          <w:b/>
          <w:sz w:val="22"/>
          <w:szCs w:val="22"/>
          <w:lang w:val="hu-HU"/>
        </w:rPr>
        <w:t xml:space="preserve">Consumer </w:t>
      </w:r>
      <w:proofErr w:type="spellStart"/>
      <w:r w:rsidRPr="009D47FA">
        <w:rPr>
          <w:rFonts w:ascii="Segoe UI" w:hAnsi="Segoe UI" w:cs="Segoe UI"/>
          <w:b/>
          <w:sz w:val="22"/>
          <w:szCs w:val="22"/>
          <w:lang w:val="hu-HU"/>
        </w:rPr>
        <w:t>Brands</w:t>
      </w:r>
      <w:proofErr w:type="spellEnd"/>
      <w:r w:rsidRPr="009D47FA">
        <w:rPr>
          <w:rFonts w:ascii="Segoe UI" w:hAnsi="Segoe UI" w:cs="Segoe UI"/>
          <w:sz w:val="22"/>
          <w:szCs w:val="22"/>
          <w:lang w:val="hu-HU"/>
        </w:rPr>
        <w:t xml:space="preserve"> üzletág árbevétele a tárgyévben 10 467 millió eurót tett ki, ami nominálisan -0,9 százalékkal maradt el az előző évitől. Az árfolyamhatások -1,8 százalékkal csökkentették az árbevételt. Az akvizíciók/értékesítések szintén -2,0 százalékos negatív hatással voltak az árbevételre, amelynek elsődleges oka továbbra is az oroszországi üzleti tevékenységünk 2023 áprilisában történt eladása. Az árbevétel </w:t>
      </w:r>
      <w:r w:rsidRPr="009D47FA">
        <w:rPr>
          <w:rFonts w:ascii="Segoe UI" w:hAnsi="Segoe UI" w:cs="Segoe UI"/>
          <w:b/>
          <w:sz w:val="22"/>
          <w:szCs w:val="22"/>
          <w:lang w:val="hu-HU"/>
        </w:rPr>
        <w:t>szervesen</w:t>
      </w:r>
      <w:r w:rsidRPr="009D47FA">
        <w:rPr>
          <w:rFonts w:ascii="Segoe UI" w:hAnsi="Segoe UI" w:cs="Segoe UI"/>
          <w:sz w:val="22"/>
          <w:szCs w:val="22"/>
          <w:lang w:val="hu-HU"/>
        </w:rPr>
        <w:t xml:space="preserve"> 3,0 százalékkal nőtt. Ez az árbevétel-növekedés a nagyon erős áralakulásnak köszönhető, míg a volumenek elsősorban a folyamatban lévő portfólió-optimalizálási intézkedések miatt csökkentek. </w:t>
      </w:r>
      <w:r w:rsidR="004E554B">
        <w:rPr>
          <w:rFonts w:ascii="Segoe UI" w:hAnsi="Segoe UI" w:cs="Segoe UI"/>
          <w:sz w:val="22"/>
          <w:szCs w:val="22"/>
          <w:lang w:val="hu-HU"/>
        </w:rPr>
        <w:br/>
      </w:r>
      <w:r w:rsidRPr="009D47FA">
        <w:rPr>
          <w:rFonts w:ascii="Segoe UI" w:hAnsi="Segoe UI" w:cs="Segoe UI"/>
          <w:sz w:val="22"/>
          <w:szCs w:val="22"/>
          <w:lang w:val="hu-HU"/>
        </w:rPr>
        <w:t xml:space="preserve">A </w:t>
      </w:r>
      <w:r w:rsidRPr="009D47FA">
        <w:rPr>
          <w:rFonts w:ascii="Segoe UI" w:hAnsi="Segoe UI" w:cs="Segoe UI"/>
          <w:b/>
          <w:sz w:val="22"/>
          <w:szCs w:val="22"/>
          <w:lang w:val="hu-HU"/>
        </w:rPr>
        <w:t>korrigált üzemi eredmény</w:t>
      </w:r>
      <w:r w:rsidRPr="009D47FA">
        <w:rPr>
          <w:rFonts w:ascii="Segoe UI" w:hAnsi="Segoe UI" w:cs="Segoe UI"/>
          <w:sz w:val="22"/>
          <w:szCs w:val="22"/>
          <w:lang w:val="hu-HU"/>
        </w:rPr>
        <w:t xml:space="preserve"> 1 419 millió eurót tett ki, ami jelentősen meghaladja az előző évit (1 115 millió euró). A </w:t>
      </w:r>
      <w:r w:rsidRPr="009D47FA">
        <w:rPr>
          <w:rFonts w:ascii="Segoe UI" w:hAnsi="Segoe UI" w:cs="Segoe UI"/>
          <w:b/>
          <w:sz w:val="22"/>
          <w:szCs w:val="22"/>
          <w:lang w:val="hu-HU"/>
        </w:rPr>
        <w:t>korrigált árbevétel-arányos megtérülés</w:t>
      </w:r>
      <w:r w:rsidRPr="009D47FA">
        <w:rPr>
          <w:rFonts w:ascii="Segoe UI" w:hAnsi="Segoe UI" w:cs="Segoe UI"/>
          <w:sz w:val="22"/>
          <w:szCs w:val="22"/>
          <w:lang w:val="hu-HU"/>
        </w:rPr>
        <w:t xml:space="preserve"> elérte a 13,6 százalékot, és ezzel jelentősen, 300 bázisponttal nőtt az előző évhez képest.</w:t>
      </w:r>
    </w:p>
    <w:p w14:paraId="369670C2" w14:textId="77777777" w:rsidR="002E635B" w:rsidRPr="009D47FA" w:rsidRDefault="002E635B" w:rsidP="00B31808">
      <w:pPr>
        <w:spacing w:after="120" w:line="276" w:lineRule="auto"/>
        <w:jc w:val="both"/>
        <w:rPr>
          <w:rFonts w:ascii="Segoe UI" w:hAnsi="Segoe UI" w:cs="Segoe UI"/>
          <w:b/>
          <w:bCs/>
          <w:sz w:val="22"/>
          <w:szCs w:val="22"/>
          <w:lang w:val="hu-HU" w:eastAsia="de-DE"/>
        </w:rPr>
      </w:pPr>
    </w:p>
    <w:p w14:paraId="447097D2" w14:textId="77777777" w:rsidR="002E635B" w:rsidRPr="009D47FA" w:rsidRDefault="002E635B" w:rsidP="00B31808">
      <w:pPr>
        <w:spacing w:after="120" w:line="276" w:lineRule="auto"/>
        <w:jc w:val="both"/>
        <w:rPr>
          <w:rFonts w:ascii="Segoe UI" w:hAnsi="Segoe UI" w:cs="Segoe UI"/>
          <w:sz w:val="22"/>
          <w:szCs w:val="22"/>
          <w:lang w:val="hu-HU"/>
        </w:rPr>
      </w:pPr>
      <w:r w:rsidRPr="009D47FA">
        <w:rPr>
          <w:rFonts w:ascii="Segoe UI" w:hAnsi="Segoe UI" w:cs="Segoe UI"/>
          <w:b/>
          <w:sz w:val="22"/>
          <w:szCs w:val="22"/>
          <w:lang w:val="hu-HU"/>
        </w:rPr>
        <w:t>Jelentős előrelépés az átalakulásban</w:t>
      </w:r>
    </w:p>
    <w:p w14:paraId="2E7D28DC" w14:textId="415BBE96" w:rsidR="002E635B" w:rsidRPr="009D47FA" w:rsidRDefault="002E635B" w:rsidP="00B31808">
      <w:pPr>
        <w:spacing w:line="276" w:lineRule="auto"/>
        <w:jc w:val="both"/>
        <w:rPr>
          <w:rFonts w:ascii="Segoe UI" w:hAnsi="Segoe UI" w:cs="Segoe UI"/>
          <w:bCs/>
          <w:sz w:val="22"/>
          <w:szCs w:val="22"/>
          <w:lang w:val="hu-HU"/>
        </w:rPr>
      </w:pPr>
      <w:r w:rsidRPr="009D47FA">
        <w:rPr>
          <w:rFonts w:ascii="Segoe UI" w:hAnsi="Segoe UI" w:cs="Segoe UI"/>
          <w:bCs/>
          <w:sz w:val="22"/>
          <w:szCs w:val="22"/>
          <w:lang w:val="hu-HU"/>
        </w:rPr>
        <w:t>Az elmúlt néhány évben a Henkel számos területen mélyreható</w:t>
      </w:r>
      <w:r w:rsidR="00177C60">
        <w:rPr>
          <w:rFonts w:ascii="Segoe UI" w:hAnsi="Segoe UI" w:cs="Segoe UI"/>
          <w:bCs/>
          <w:sz w:val="22"/>
          <w:szCs w:val="22"/>
          <w:lang w:val="hu-HU"/>
        </w:rPr>
        <w:t>am megváltozott</w:t>
      </w:r>
      <w:r w:rsidRPr="009D47FA">
        <w:rPr>
          <w:rFonts w:ascii="Segoe UI" w:hAnsi="Segoe UI" w:cs="Segoe UI"/>
          <w:bCs/>
          <w:sz w:val="22"/>
          <w:szCs w:val="22"/>
          <w:lang w:val="hu-HU"/>
        </w:rPr>
        <w:t>, és következetesen végrehajtotta a céltudatos növekedést célzó stratégiai programját. A hosszú távú és fenntartható siker fő mozgatórugói a folyamatos átalakulásra való hajlandóság és elszántság. A cél az eredmények fenntartható jav</w:t>
      </w:r>
      <w:r w:rsidR="006576BD">
        <w:rPr>
          <w:rFonts w:ascii="Segoe UI" w:hAnsi="Segoe UI" w:cs="Segoe UI"/>
          <w:bCs/>
          <w:sz w:val="22"/>
          <w:szCs w:val="22"/>
          <w:lang w:val="hu-HU"/>
        </w:rPr>
        <w:t>ulása</w:t>
      </w:r>
      <w:r w:rsidRPr="009D47FA">
        <w:rPr>
          <w:rFonts w:ascii="Segoe UI" w:hAnsi="Segoe UI" w:cs="Segoe UI"/>
          <w:bCs/>
          <w:sz w:val="22"/>
          <w:szCs w:val="22"/>
          <w:lang w:val="hu-HU"/>
        </w:rPr>
        <w:t>. Ennek eléréséhez a vállalatnak folyamatosan változnia és fejlődnie kell. Ez pedig minden területen megtörténik.</w:t>
      </w:r>
    </w:p>
    <w:p w14:paraId="12954409" w14:textId="77777777" w:rsidR="002E635B" w:rsidRPr="009D47FA" w:rsidRDefault="002E635B" w:rsidP="00B31808">
      <w:pPr>
        <w:spacing w:line="276" w:lineRule="auto"/>
        <w:jc w:val="both"/>
        <w:rPr>
          <w:rFonts w:ascii="Segoe UI" w:hAnsi="Segoe UI" w:cs="Segoe UI"/>
          <w:bCs/>
          <w:sz w:val="22"/>
          <w:szCs w:val="22"/>
          <w:lang w:val="hu-HU"/>
        </w:rPr>
      </w:pPr>
    </w:p>
    <w:p w14:paraId="035FC505" w14:textId="77777777" w:rsidR="002E635B" w:rsidRPr="009D47FA" w:rsidRDefault="002E635B" w:rsidP="00B31808">
      <w:pPr>
        <w:spacing w:after="120" w:line="276" w:lineRule="auto"/>
        <w:jc w:val="both"/>
        <w:rPr>
          <w:rFonts w:ascii="Segoe UI" w:hAnsi="Segoe UI" w:cs="Segoe UI"/>
          <w:b/>
          <w:bCs/>
          <w:sz w:val="22"/>
          <w:szCs w:val="22"/>
          <w:lang w:val="hu-HU" w:eastAsia="de-DE"/>
        </w:rPr>
      </w:pPr>
      <w:r w:rsidRPr="009D47FA">
        <w:rPr>
          <w:rFonts w:ascii="Segoe UI" w:hAnsi="Segoe UI" w:cs="Segoe UI"/>
          <w:b/>
          <w:bCs/>
          <w:sz w:val="22"/>
          <w:szCs w:val="22"/>
          <w:lang w:val="hu-HU" w:eastAsia="de-DE"/>
        </w:rPr>
        <w:t xml:space="preserve">Consumer </w:t>
      </w:r>
      <w:proofErr w:type="spellStart"/>
      <w:r w:rsidRPr="009D47FA">
        <w:rPr>
          <w:rFonts w:ascii="Segoe UI" w:hAnsi="Segoe UI" w:cs="Segoe UI"/>
          <w:b/>
          <w:bCs/>
          <w:sz w:val="22"/>
          <w:szCs w:val="22"/>
          <w:lang w:val="hu-HU" w:eastAsia="de-DE"/>
        </w:rPr>
        <w:t>Brands</w:t>
      </w:r>
      <w:proofErr w:type="spellEnd"/>
      <w:r w:rsidRPr="009D47FA">
        <w:rPr>
          <w:rFonts w:ascii="Segoe UI" w:hAnsi="Segoe UI" w:cs="Segoe UI"/>
          <w:b/>
          <w:bCs/>
          <w:sz w:val="22"/>
          <w:szCs w:val="22"/>
          <w:lang w:val="hu-HU" w:eastAsia="de-DE"/>
        </w:rPr>
        <w:t>: Az összevonás a tervezettnél gyorsabban halad</w:t>
      </w:r>
    </w:p>
    <w:p w14:paraId="0C1609B1" w14:textId="04F4388F" w:rsidR="002E635B" w:rsidRPr="009D47FA" w:rsidRDefault="002E635B" w:rsidP="00B31808">
      <w:pPr>
        <w:spacing w:line="276" w:lineRule="auto"/>
        <w:jc w:val="both"/>
        <w:rPr>
          <w:rFonts w:ascii="Segoe UI" w:hAnsi="Segoe UI" w:cs="Segoe UI"/>
          <w:sz w:val="22"/>
          <w:szCs w:val="22"/>
          <w:lang w:val="hu-HU" w:eastAsia="de-DE"/>
        </w:rPr>
      </w:pPr>
      <w:r w:rsidRPr="009D47FA">
        <w:rPr>
          <w:rFonts w:ascii="Segoe UI" w:hAnsi="Segoe UI" w:cs="Segoe UI"/>
          <w:sz w:val="22"/>
          <w:szCs w:val="22"/>
          <w:lang w:val="hu-HU" w:eastAsia="de-DE"/>
        </w:rPr>
        <w:t xml:space="preserve">A Henkel közelmúltbeli történetének valószínűleg legjelentősebb változása a fogyasztási cikkekkel foglalkozó üzletágainknak a </w:t>
      </w:r>
      <w:r w:rsidRPr="009D47FA">
        <w:rPr>
          <w:rFonts w:ascii="Segoe UI" w:hAnsi="Segoe UI" w:cs="Segoe UI"/>
          <w:b/>
          <w:sz w:val="22"/>
          <w:szCs w:val="22"/>
          <w:lang w:val="hu-HU" w:eastAsia="de-DE"/>
        </w:rPr>
        <w:t xml:space="preserve">Consumer </w:t>
      </w:r>
      <w:proofErr w:type="spellStart"/>
      <w:r w:rsidRPr="009D47FA">
        <w:rPr>
          <w:rFonts w:ascii="Segoe UI" w:hAnsi="Segoe UI" w:cs="Segoe UI"/>
          <w:b/>
          <w:sz w:val="22"/>
          <w:szCs w:val="22"/>
          <w:lang w:val="hu-HU" w:eastAsia="de-DE"/>
        </w:rPr>
        <w:t>Brands</w:t>
      </w:r>
      <w:proofErr w:type="spellEnd"/>
      <w:r w:rsidRPr="009D47FA">
        <w:rPr>
          <w:rFonts w:ascii="Segoe UI" w:hAnsi="Segoe UI" w:cs="Segoe UI"/>
          <w:sz w:val="22"/>
          <w:szCs w:val="22"/>
          <w:lang w:val="hu-HU" w:eastAsia="de-DE"/>
        </w:rPr>
        <w:t xml:space="preserve"> üzletágba történő összevonása, amelyet 2022 elején jelentettek be. Azóta sok minden történt. Az üzletág 2023 eleje óta működik új felállásban, és a pozitív fejlemények már abban az évben megmutatkoztak. </w:t>
      </w:r>
      <w:r w:rsidR="004E554B">
        <w:rPr>
          <w:rFonts w:ascii="Segoe UI" w:hAnsi="Segoe UI" w:cs="Segoe UI"/>
          <w:sz w:val="22"/>
          <w:szCs w:val="22"/>
          <w:lang w:val="hu-HU" w:eastAsia="de-DE"/>
        </w:rPr>
        <w:br/>
      </w:r>
      <w:r w:rsidRPr="009D47FA">
        <w:rPr>
          <w:rFonts w:ascii="Segoe UI" w:hAnsi="Segoe UI" w:cs="Segoe UI"/>
          <w:sz w:val="22"/>
          <w:szCs w:val="22"/>
          <w:lang w:val="hu-HU" w:eastAsia="de-DE"/>
        </w:rPr>
        <w:lastRenderedPageBreak/>
        <w:t>Az elmúlt 2024-es pénzügyi évben nyilvánvalóvá vált, hogy helyes döntés volt a korábban különálló fogyasztási cikkekkel foglalkozó üzletágak egyetlen platformba történő összevonása.</w:t>
      </w:r>
    </w:p>
    <w:p w14:paraId="447E799B" w14:textId="77777777" w:rsidR="002E635B" w:rsidRPr="009D47FA" w:rsidRDefault="002E635B" w:rsidP="00B31808">
      <w:pPr>
        <w:spacing w:line="276" w:lineRule="auto"/>
        <w:jc w:val="both"/>
        <w:rPr>
          <w:rFonts w:ascii="Segoe UI" w:hAnsi="Segoe UI" w:cs="Segoe UI"/>
          <w:sz w:val="22"/>
          <w:szCs w:val="22"/>
          <w:lang w:val="hu-HU" w:eastAsia="de-DE"/>
        </w:rPr>
      </w:pPr>
    </w:p>
    <w:p w14:paraId="430C12E3" w14:textId="10C2E830" w:rsidR="002E635B" w:rsidRPr="009D47FA" w:rsidRDefault="002E635B" w:rsidP="00B31808">
      <w:pPr>
        <w:spacing w:line="276" w:lineRule="auto"/>
        <w:jc w:val="both"/>
        <w:rPr>
          <w:rFonts w:ascii="Segoe UI" w:hAnsi="Segoe UI" w:cs="Segoe UI"/>
          <w:sz w:val="22"/>
          <w:szCs w:val="22"/>
          <w:lang w:val="hu-HU"/>
        </w:rPr>
      </w:pPr>
      <w:r w:rsidRPr="009D47FA">
        <w:rPr>
          <w:rFonts w:ascii="Segoe UI" w:hAnsi="Segoe UI" w:cs="Segoe UI"/>
          <w:sz w:val="22"/>
          <w:szCs w:val="22"/>
          <w:lang w:val="hu-HU"/>
        </w:rPr>
        <w:t xml:space="preserve">A Consumer </w:t>
      </w:r>
      <w:proofErr w:type="spellStart"/>
      <w:r w:rsidRPr="009D47FA">
        <w:rPr>
          <w:rFonts w:ascii="Segoe UI" w:hAnsi="Segoe UI" w:cs="Segoe UI"/>
          <w:sz w:val="22"/>
          <w:szCs w:val="22"/>
          <w:lang w:val="hu-HU"/>
        </w:rPr>
        <w:t>Brands</w:t>
      </w:r>
      <w:proofErr w:type="spellEnd"/>
      <w:r w:rsidRPr="009D47FA">
        <w:rPr>
          <w:rFonts w:ascii="Segoe UI" w:hAnsi="Segoe UI" w:cs="Segoe UI"/>
          <w:sz w:val="22"/>
          <w:szCs w:val="22"/>
          <w:lang w:val="hu-HU"/>
        </w:rPr>
        <w:t xml:space="preserve"> üzletág integrációja az eredetileg tervezettnél sokkal gyorsabban haladt, a csapatintegráció, a portfólió át</w:t>
      </w:r>
      <w:r w:rsidR="009434E2">
        <w:rPr>
          <w:rFonts w:ascii="Segoe UI" w:hAnsi="Segoe UI" w:cs="Segoe UI"/>
          <w:sz w:val="22"/>
          <w:szCs w:val="22"/>
          <w:lang w:val="hu-HU"/>
        </w:rPr>
        <w:t>ala</w:t>
      </w:r>
      <w:r w:rsidR="00C93D4A">
        <w:rPr>
          <w:rFonts w:ascii="Segoe UI" w:hAnsi="Segoe UI" w:cs="Segoe UI"/>
          <w:sz w:val="22"/>
          <w:szCs w:val="22"/>
          <w:lang w:val="hu-HU"/>
        </w:rPr>
        <w:t>kítása</w:t>
      </w:r>
      <w:r w:rsidRPr="009D47FA">
        <w:rPr>
          <w:rFonts w:ascii="Segoe UI" w:hAnsi="Segoe UI" w:cs="Segoe UI"/>
          <w:sz w:val="22"/>
          <w:szCs w:val="22"/>
          <w:lang w:val="hu-HU"/>
        </w:rPr>
        <w:t xml:space="preserve"> és a szinergiák elérése tekintetében. Az integráció első szakasza, amely elsősorban az értékesítési és marketing</w:t>
      </w:r>
      <w:r w:rsidR="00C93D4A">
        <w:rPr>
          <w:rFonts w:ascii="Segoe UI" w:hAnsi="Segoe UI" w:cs="Segoe UI"/>
          <w:sz w:val="22"/>
          <w:szCs w:val="22"/>
          <w:lang w:val="hu-HU"/>
        </w:rPr>
        <w:t xml:space="preserve"> </w:t>
      </w:r>
      <w:r w:rsidRPr="009D47FA">
        <w:rPr>
          <w:rFonts w:ascii="Segoe UI" w:hAnsi="Segoe UI" w:cs="Segoe UI"/>
          <w:sz w:val="22"/>
          <w:szCs w:val="22"/>
          <w:lang w:val="hu-HU"/>
        </w:rPr>
        <w:t xml:space="preserve">csapatok összevonását jelentette, 2024-ben fejeződött be. A 2023 óta tartó második </w:t>
      </w:r>
      <w:r w:rsidR="007A4264">
        <w:rPr>
          <w:rFonts w:ascii="Segoe UI" w:hAnsi="Segoe UI" w:cs="Segoe UI"/>
          <w:sz w:val="22"/>
          <w:szCs w:val="22"/>
          <w:lang w:val="hu-HU"/>
        </w:rPr>
        <w:t>szakaszban</w:t>
      </w:r>
      <w:r w:rsidRPr="009D47FA">
        <w:rPr>
          <w:rFonts w:ascii="Segoe UI" w:hAnsi="Segoe UI" w:cs="Segoe UI"/>
          <w:sz w:val="22"/>
          <w:szCs w:val="22"/>
          <w:lang w:val="hu-HU"/>
        </w:rPr>
        <w:t xml:space="preserve"> az ellátási lánc, azaz a termelési hálózatok és az ellátási láncok fejlesztéséből származó teljes költségmegtakarítás várhatóan 2025 végére valósul meg.</w:t>
      </w:r>
    </w:p>
    <w:p w14:paraId="413D77AA" w14:textId="77777777" w:rsidR="002E635B" w:rsidRPr="007A4264" w:rsidRDefault="002E635B" w:rsidP="002E635B">
      <w:pPr>
        <w:rPr>
          <w:lang w:val="hu-HU"/>
        </w:rPr>
      </w:pPr>
    </w:p>
    <w:p w14:paraId="6E248F7E" w14:textId="6DDCD2AA" w:rsidR="002E635B" w:rsidRPr="000977B1" w:rsidRDefault="002E635B" w:rsidP="000977B1">
      <w:pPr>
        <w:spacing w:line="276" w:lineRule="auto"/>
        <w:jc w:val="both"/>
        <w:rPr>
          <w:rFonts w:ascii="Segoe UI" w:hAnsi="Segoe UI" w:cs="Segoe UI"/>
          <w:sz w:val="22"/>
          <w:szCs w:val="22"/>
          <w:lang w:val="hu-HU"/>
        </w:rPr>
      </w:pPr>
      <w:r w:rsidRPr="000977B1">
        <w:rPr>
          <w:rFonts w:ascii="Segoe UI" w:hAnsi="Segoe UI" w:cs="Segoe UI"/>
          <w:sz w:val="22"/>
          <w:szCs w:val="22"/>
          <w:lang w:val="hu-HU"/>
        </w:rPr>
        <w:t xml:space="preserve">Ugyanakkor a Consumer </w:t>
      </w:r>
      <w:proofErr w:type="spellStart"/>
      <w:r w:rsidRPr="000977B1">
        <w:rPr>
          <w:rFonts w:ascii="Segoe UI" w:hAnsi="Segoe UI" w:cs="Segoe UI"/>
          <w:sz w:val="22"/>
          <w:szCs w:val="22"/>
          <w:lang w:val="hu-HU"/>
        </w:rPr>
        <w:t>Brands</w:t>
      </w:r>
      <w:proofErr w:type="spellEnd"/>
      <w:r w:rsidRPr="000977B1">
        <w:rPr>
          <w:rFonts w:ascii="Segoe UI" w:hAnsi="Segoe UI" w:cs="Segoe UI"/>
          <w:sz w:val="22"/>
          <w:szCs w:val="22"/>
          <w:lang w:val="hu-HU"/>
        </w:rPr>
        <w:t xml:space="preserve"> üzletág következetesen az erős márkákra és a magas bruttó </w:t>
      </w:r>
      <w:proofErr w:type="spellStart"/>
      <w:r w:rsidRPr="000977B1">
        <w:rPr>
          <w:rFonts w:ascii="Segoe UI" w:hAnsi="Segoe UI" w:cs="Segoe UI"/>
          <w:sz w:val="22"/>
          <w:szCs w:val="22"/>
          <w:lang w:val="hu-HU"/>
        </w:rPr>
        <w:t>árréssel</w:t>
      </w:r>
      <w:proofErr w:type="spellEnd"/>
      <w:r w:rsidRPr="000977B1">
        <w:rPr>
          <w:rFonts w:ascii="Segoe UI" w:hAnsi="Segoe UI" w:cs="Segoe UI"/>
          <w:sz w:val="22"/>
          <w:szCs w:val="22"/>
          <w:lang w:val="hu-HU"/>
        </w:rPr>
        <w:t xml:space="preserve"> rendelkező, valamint a piacokon és kategóriákban vezető pozíciókat betöltő üzletekre összpontosít. Az erős növekedésre, a magas </w:t>
      </w:r>
      <w:proofErr w:type="spellStart"/>
      <w:r w:rsidRPr="000977B1">
        <w:rPr>
          <w:rFonts w:ascii="Segoe UI" w:hAnsi="Segoe UI" w:cs="Segoe UI"/>
          <w:sz w:val="22"/>
          <w:szCs w:val="22"/>
          <w:lang w:val="hu-HU"/>
        </w:rPr>
        <w:t>árrésű</w:t>
      </w:r>
      <w:proofErr w:type="spellEnd"/>
      <w:r w:rsidRPr="000977B1">
        <w:rPr>
          <w:rFonts w:ascii="Segoe UI" w:hAnsi="Segoe UI" w:cs="Segoe UI"/>
          <w:sz w:val="22"/>
          <w:szCs w:val="22"/>
          <w:lang w:val="hu-HU"/>
        </w:rPr>
        <w:t xml:space="preserve"> márkákra és üzletekre való összpontosítás pozitív hatásai </w:t>
      </w:r>
      <w:r w:rsidR="000919A4">
        <w:rPr>
          <w:rFonts w:ascii="Segoe UI" w:hAnsi="Segoe UI" w:cs="Segoe UI"/>
          <w:sz w:val="22"/>
          <w:szCs w:val="22"/>
          <w:lang w:val="hu-HU"/>
        </w:rPr>
        <w:t>megtérülnek</w:t>
      </w:r>
      <w:r w:rsidRPr="000977B1">
        <w:rPr>
          <w:rFonts w:ascii="Segoe UI" w:hAnsi="Segoe UI" w:cs="Segoe UI"/>
          <w:sz w:val="22"/>
          <w:szCs w:val="22"/>
          <w:lang w:val="hu-HU"/>
        </w:rPr>
        <w:t xml:space="preserve">: A Consumer </w:t>
      </w:r>
      <w:proofErr w:type="spellStart"/>
      <w:r w:rsidRPr="000977B1">
        <w:rPr>
          <w:rFonts w:ascii="Segoe UI" w:hAnsi="Segoe UI" w:cs="Segoe UI"/>
          <w:sz w:val="22"/>
          <w:szCs w:val="22"/>
          <w:lang w:val="hu-HU"/>
        </w:rPr>
        <w:t>Brands</w:t>
      </w:r>
      <w:proofErr w:type="spellEnd"/>
      <w:r w:rsidRPr="000977B1">
        <w:rPr>
          <w:rFonts w:ascii="Segoe UI" w:hAnsi="Segoe UI" w:cs="Segoe UI"/>
          <w:sz w:val="22"/>
          <w:szCs w:val="22"/>
          <w:lang w:val="hu-HU"/>
        </w:rPr>
        <w:t xml:space="preserve"> üzletágon belül a tíz legnagyobb márka, amelyek 2024-ben a bevételek több mint felét adták, nagyon erős szerves növekedést ért</w:t>
      </w:r>
      <w:r w:rsidR="002224D5">
        <w:rPr>
          <w:rFonts w:ascii="Segoe UI" w:hAnsi="Segoe UI" w:cs="Segoe UI"/>
          <w:sz w:val="22"/>
          <w:szCs w:val="22"/>
          <w:lang w:val="hu-HU"/>
        </w:rPr>
        <w:t>ek</w:t>
      </w:r>
      <w:r w:rsidRPr="000977B1">
        <w:rPr>
          <w:rFonts w:ascii="Segoe UI" w:hAnsi="Segoe UI" w:cs="Segoe UI"/>
          <w:sz w:val="22"/>
          <w:szCs w:val="22"/>
          <w:lang w:val="hu-HU"/>
        </w:rPr>
        <w:t xml:space="preserve"> el, pozitív volumennövekedés mellett.</w:t>
      </w:r>
    </w:p>
    <w:p w14:paraId="0BA1D3B5" w14:textId="77777777" w:rsidR="002E635B" w:rsidRPr="000977B1" w:rsidRDefault="002E635B" w:rsidP="000977B1">
      <w:pPr>
        <w:spacing w:line="276" w:lineRule="auto"/>
        <w:jc w:val="both"/>
        <w:rPr>
          <w:rFonts w:ascii="Segoe UI" w:hAnsi="Segoe UI" w:cs="Segoe UI"/>
          <w:sz w:val="22"/>
          <w:szCs w:val="22"/>
          <w:lang w:val="hu-HU"/>
        </w:rPr>
      </w:pPr>
    </w:p>
    <w:p w14:paraId="5A436ED7" w14:textId="147EA81D" w:rsidR="002E635B" w:rsidRPr="002224D5" w:rsidRDefault="002E635B" w:rsidP="002224D5">
      <w:pPr>
        <w:spacing w:after="120" w:line="276" w:lineRule="auto"/>
        <w:jc w:val="both"/>
        <w:rPr>
          <w:rFonts w:ascii="Segoe UI" w:hAnsi="Segoe UI" w:cs="Segoe UI"/>
          <w:b/>
          <w:bCs/>
          <w:sz w:val="22"/>
          <w:szCs w:val="22"/>
          <w:lang w:val="hu-HU" w:eastAsia="de-DE"/>
        </w:rPr>
      </w:pPr>
      <w:r w:rsidRPr="002224D5">
        <w:rPr>
          <w:rFonts w:ascii="Segoe UI" w:hAnsi="Segoe UI" w:cs="Segoe UI"/>
          <w:b/>
          <w:bCs/>
          <w:sz w:val="22"/>
          <w:szCs w:val="22"/>
          <w:lang w:val="hu-HU" w:eastAsia="de-DE"/>
        </w:rPr>
        <w:t>Az Adhesive Technologies üzletág továbbfejlesztése</w:t>
      </w:r>
    </w:p>
    <w:p w14:paraId="68000EC3" w14:textId="110F67A3" w:rsidR="002E635B" w:rsidRPr="002224D5" w:rsidRDefault="002E635B" w:rsidP="002224D5">
      <w:pPr>
        <w:spacing w:line="276" w:lineRule="auto"/>
        <w:jc w:val="both"/>
        <w:rPr>
          <w:rFonts w:ascii="Segoe UI" w:hAnsi="Segoe UI" w:cs="Segoe UI"/>
          <w:sz w:val="22"/>
          <w:lang w:val="hu-HU" w:eastAsia="de-DE"/>
        </w:rPr>
      </w:pPr>
      <w:r w:rsidRPr="002224D5">
        <w:rPr>
          <w:rFonts w:ascii="Segoe UI" w:hAnsi="Segoe UI" w:cs="Segoe UI"/>
          <w:sz w:val="22"/>
          <w:lang w:val="hu-HU" w:eastAsia="de-DE"/>
        </w:rPr>
        <w:t xml:space="preserve">Az </w:t>
      </w:r>
      <w:r w:rsidRPr="002224D5">
        <w:rPr>
          <w:rFonts w:ascii="Segoe UI" w:hAnsi="Segoe UI" w:cs="Segoe UI"/>
          <w:b/>
          <w:sz w:val="22"/>
          <w:lang w:val="hu-HU" w:eastAsia="de-DE"/>
        </w:rPr>
        <w:t>Adhesive Technologies</w:t>
      </w:r>
      <w:r w:rsidRPr="002224D5">
        <w:rPr>
          <w:rFonts w:ascii="Segoe UI" w:hAnsi="Segoe UI" w:cs="Segoe UI"/>
          <w:sz w:val="22"/>
          <w:lang w:val="hu-HU" w:eastAsia="de-DE"/>
        </w:rPr>
        <w:t xml:space="preserve"> üzletág szintén jelentős előrelépést ért el a vizsgált év</w:t>
      </w:r>
      <w:r w:rsidR="002224D5">
        <w:rPr>
          <w:rFonts w:ascii="Segoe UI" w:hAnsi="Segoe UI" w:cs="Segoe UI"/>
          <w:sz w:val="22"/>
          <w:lang w:val="hu-HU" w:eastAsia="de-DE"/>
        </w:rPr>
        <w:t>ben</w:t>
      </w:r>
      <w:r w:rsidRPr="002224D5">
        <w:rPr>
          <w:rFonts w:ascii="Segoe UI" w:hAnsi="Segoe UI" w:cs="Segoe UI"/>
          <w:sz w:val="22"/>
          <w:lang w:val="hu-HU" w:eastAsia="de-DE"/>
        </w:rPr>
        <w:t xml:space="preserve">, és összességében jó üzleti teljesítményt nyújtott. Ez az üzletág világszerte több mint 800 iparági szegmensben mintegy 20 000 terméket és megoldást kínál több mint 100 000 ügyfélnek. </w:t>
      </w:r>
      <w:r w:rsidR="00EC7476" w:rsidRPr="00EC7476">
        <w:rPr>
          <w:rFonts w:ascii="Segoe UI" w:hAnsi="Segoe UI" w:cs="Segoe UI"/>
          <w:sz w:val="22"/>
          <w:lang w:val="hu-HU" w:eastAsia="de-DE"/>
        </w:rPr>
        <w:t>A portfólió szélessége és mélysége, valamint a globális jelenlét és az ügyfélközpontú megoldások fejlesztésében szerzett szakértelem teszi a Henkelt egyedülállóvá a piacon, és lehetővé teszi a vállalat számára, hogy tovább növelje globális vezető piaci pozícióját.</w:t>
      </w:r>
      <w:r w:rsidRPr="002224D5">
        <w:rPr>
          <w:rFonts w:ascii="Segoe UI" w:hAnsi="Segoe UI" w:cs="Segoe UI"/>
          <w:sz w:val="22"/>
          <w:lang w:val="hu-HU" w:eastAsia="de-DE"/>
        </w:rPr>
        <w:t xml:space="preserve"> Három üzlet</w:t>
      </w:r>
      <w:r w:rsidR="00372C75">
        <w:rPr>
          <w:rFonts w:ascii="Segoe UI" w:hAnsi="Segoe UI" w:cs="Segoe UI"/>
          <w:sz w:val="22"/>
          <w:lang w:val="hu-HU" w:eastAsia="de-DE"/>
        </w:rPr>
        <w:t xml:space="preserve">i területével – </w:t>
      </w:r>
      <w:proofErr w:type="spellStart"/>
      <w:r w:rsidRPr="002224D5">
        <w:rPr>
          <w:rFonts w:ascii="Segoe UI" w:hAnsi="Segoe UI" w:cs="Segoe UI"/>
          <w:sz w:val="22"/>
          <w:lang w:val="hu-HU" w:eastAsia="de-DE"/>
        </w:rPr>
        <w:t>Mobility</w:t>
      </w:r>
      <w:proofErr w:type="spellEnd"/>
      <w:r w:rsidRPr="002224D5">
        <w:rPr>
          <w:rFonts w:ascii="Segoe UI" w:hAnsi="Segoe UI" w:cs="Segoe UI"/>
          <w:sz w:val="22"/>
          <w:lang w:val="hu-HU" w:eastAsia="de-DE"/>
        </w:rPr>
        <w:t xml:space="preserve"> &amp; Electronics, </w:t>
      </w:r>
      <w:proofErr w:type="spellStart"/>
      <w:r w:rsidRPr="002224D5">
        <w:rPr>
          <w:rFonts w:ascii="Segoe UI" w:hAnsi="Segoe UI" w:cs="Segoe UI"/>
          <w:sz w:val="22"/>
          <w:lang w:val="hu-HU" w:eastAsia="de-DE"/>
        </w:rPr>
        <w:t>Packaging</w:t>
      </w:r>
      <w:proofErr w:type="spellEnd"/>
      <w:r w:rsidRPr="002224D5">
        <w:rPr>
          <w:rFonts w:ascii="Segoe UI" w:hAnsi="Segoe UI" w:cs="Segoe UI"/>
          <w:sz w:val="22"/>
          <w:lang w:val="hu-HU" w:eastAsia="de-DE"/>
        </w:rPr>
        <w:t xml:space="preserve"> &amp; Consumer </w:t>
      </w:r>
      <w:proofErr w:type="spellStart"/>
      <w:r w:rsidRPr="002224D5">
        <w:rPr>
          <w:rFonts w:ascii="Segoe UI" w:hAnsi="Segoe UI" w:cs="Segoe UI"/>
          <w:sz w:val="22"/>
          <w:lang w:val="hu-HU" w:eastAsia="de-DE"/>
        </w:rPr>
        <w:t>Goods</w:t>
      </w:r>
      <w:proofErr w:type="spellEnd"/>
      <w:r w:rsidRPr="002224D5">
        <w:rPr>
          <w:rFonts w:ascii="Segoe UI" w:hAnsi="Segoe UI" w:cs="Segoe UI"/>
          <w:sz w:val="22"/>
          <w:lang w:val="hu-HU" w:eastAsia="de-DE"/>
        </w:rPr>
        <w:t xml:space="preserve">, valamint a </w:t>
      </w:r>
      <w:proofErr w:type="spellStart"/>
      <w:r w:rsidRPr="002224D5">
        <w:rPr>
          <w:rFonts w:ascii="Segoe UI" w:hAnsi="Segoe UI" w:cs="Segoe UI"/>
          <w:sz w:val="22"/>
          <w:lang w:val="hu-HU" w:eastAsia="de-DE"/>
        </w:rPr>
        <w:t>Craftsman</w:t>
      </w:r>
      <w:proofErr w:type="spellEnd"/>
      <w:r w:rsidRPr="002224D5">
        <w:rPr>
          <w:rFonts w:ascii="Segoe UI" w:hAnsi="Segoe UI" w:cs="Segoe UI"/>
          <w:sz w:val="22"/>
          <w:lang w:val="hu-HU" w:eastAsia="de-DE"/>
        </w:rPr>
        <w:t xml:space="preserve">, </w:t>
      </w:r>
      <w:proofErr w:type="spellStart"/>
      <w:r w:rsidRPr="002224D5">
        <w:rPr>
          <w:rFonts w:ascii="Segoe UI" w:hAnsi="Segoe UI" w:cs="Segoe UI"/>
          <w:sz w:val="22"/>
          <w:lang w:val="hu-HU" w:eastAsia="de-DE"/>
        </w:rPr>
        <w:t>Construction</w:t>
      </w:r>
      <w:proofErr w:type="spellEnd"/>
      <w:r w:rsidRPr="002224D5">
        <w:rPr>
          <w:rFonts w:ascii="Segoe UI" w:hAnsi="Segoe UI" w:cs="Segoe UI"/>
          <w:sz w:val="22"/>
          <w:lang w:val="hu-HU" w:eastAsia="de-DE"/>
        </w:rPr>
        <w:t xml:space="preserve"> </w:t>
      </w:r>
      <w:r w:rsidR="00101054">
        <w:rPr>
          <w:rFonts w:ascii="Segoe UI" w:hAnsi="Segoe UI" w:cs="Segoe UI"/>
          <w:sz w:val="22"/>
          <w:lang w:val="hu-HU" w:eastAsia="de-DE"/>
        </w:rPr>
        <w:t>&amp;</w:t>
      </w:r>
      <w:r w:rsidRPr="002224D5">
        <w:rPr>
          <w:rFonts w:ascii="Segoe UI" w:hAnsi="Segoe UI" w:cs="Segoe UI"/>
          <w:sz w:val="22"/>
          <w:lang w:val="hu-HU" w:eastAsia="de-DE"/>
        </w:rPr>
        <w:t xml:space="preserve"> Professional </w:t>
      </w:r>
      <w:r w:rsidR="00101054">
        <w:rPr>
          <w:rFonts w:ascii="Segoe UI" w:hAnsi="Segoe UI" w:cs="Segoe UI"/>
          <w:sz w:val="22"/>
          <w:lang w:val="hu-HU" w:eastAsia="de-DE"/>
        </w:rPr>
        <w:t>–</w:t>
      </w:r>
      <w:r w:rsidRPr="002224D5">
        <w:rPr>
          <w:rFonts w:ascii="Segoe UI" w:hAnsi="Segoe UI" w:cs="Segoe UI"/>
          <w:sz w:val="22"/>
          <w:lang w:val="hu-HU" w:eastAsia="de-DE"/>
        </w:rPr>
        <w:t xml:space="preserve"> a</w:t>
      </w:r>
      <w:r w:rsidR="00263398">
        <w:rPr>
          <w:rFonts w:ascii="Segoe UI" w:hAnsi="Segoe UI" w:cs="Segoe UI"/>
          <w:sz w:val="22"/>
          <w:lang w:val="hu-HU" w:eastAsia="de-DE"/>
        </w:rPr>
        <w:t>z</w:t>
      </w:r>
      <w:r w:rsidRPr="002224D5">
        <w:rPr>
          <w:rFonts w:ascii="Segoe UI" w:hAnsi="Segoe UI" w:cs="Segoe UI"/>
          <w:sz w:val="22"/>
          <w:lang w:val="hu-HU" w:eastAsia="de-DE"/>
        </w:rPr>
        <w:t xml:space="preserve"> Adhesive Technologies </w:t>
      </w:r>
      <w:r w:rsidR="00263398" w:rsidRPr="00263398">
        <w:rPr>
          <w:rFonts w:ascii="Segoe UI" w:hAnsi="Segoe UI" w:cs="Segoe UI"/>
          <w:sz w:val="22"/>
          <w:lang w:val="hu-HU" w:eastAsia="de-DE"/>
        </w:rPr>
        <w:t>a jövő legfontosabb trendjeire összpontosít.</w:t>
      </w:r>
      <w:r w:rsidRPr="002224D5">
        <w:rPr>
          <w:rFonts w:ascii="Segoe UI" w:hAnsi="Segoe UI" w:cs="Segoe UI"/>
          <w:sz w:val="22"/>
          <w:lang w:val="hu-HU" w:eastAsia="de-DE"/>
        </w:rPr>
        <w:t xml:space="preserve"> Ezek közé tartozik az e-mobilitás és a </w:t>
      </w:r>
      <w:proofErr w:type="spellStart"/>
      <w:r w:rsidRPr="002224D5">
        <w:rPr>
          <w:rFonts w:ascii="Segoe UI" w:hAnsi="Segoe UI" w:cs="Segoe UI"/>
          <w:sz w:val="22"/>
          <w:lang w:val="hu-HU" w:eastAsia="de-DE"/>
        </w:rPr>
        <w:t>konnektivitás</w:t>
      </w:r>
      <w:proofErr w:type="spellEnd"/>
      <w:r w:rsidRPr="002224D5">
        <w:rPr>
          <w:rFonts w:ascii="Segoe UI" w:hAnsi="Segoe UI" w:cs="Segoe UI"/>
          <w:sz w:val="22"/>
          <w:lang w:val="hu-HU" w:eastAsia="de-DE"/>
        </w:rPr>
        <w:t xml:space="preserve">, </w:t>
      </w:r>
      <w:r w:rsidR="00263398">
        <w:rPr>
          <w:rFonts w:ascii="Segoe UI" w:hAnsi="Segoe UI" w:cs="Segoe UI"/>
          <w:sz w:val="22"/>
          <w:lang w:val="hu-HU" w:eastAsia="de-DE"/>
        </w:rPr>
        <w:t>azaz</w:t>
      </w:r>
      <w:r w:rsidRPr="002224D5">
        <w:rPr>
          <w:rFonts w:ascii="Segoe UI" w:hAnsi="Segoe UI" w:cs="Segoe UI"/>
          <w:sz w:val="22"/>
          <w:lang w:val="hu-HU" w:eastAsia="de-DE"/>
        </w:rPr>
        <w:t xml:space="preserve"> </w:t>
      </w:r>
      <w:r w:rsidR="00F153FA" w:rsidRPr="00F153FA">
        <w:rPr>
          <w:rFonts w:ascii="Segoe UI" w:hAnsi="Segoe UI" w:cs="Segoe UI"/>
          <w:sz w:val="22"/>
          <w:lang w:val="hu-HU" w:eastAsia="de-DE"/>
        </w:rPr>
        <w:t>a rendszerek növekvő összekapcsolhatósága, valamint a fenntarthatóság.</w:t>
      </w:r>
    </w:p>
    <w:p w14:paraId="654334D1" w14:textId="77777777" w:rsidR="002E635B" w:rsidRPr="002224D5" w:rsidRDefault="002E635B" w:rsidP="002224D5">
      <w:pPr>
        <w:spacing w:line="276" w:lineRule="auto"/>
        <w:jc w:val="both"/>
        <w:rPr>
          <w:rFonts w:ascii="Segoe UI" w:hAnsi="Segoe UI" w:cs="Segoe UI"/>
          <w:sz w:val="22"/>
          <w:lang w:val="hu-HU" w:eastAsia="de-DE"/>
        </w:rPr>
      </w:pPr>
    </w:p>
    <w:p w14:paraId="5E4E17EE" w14:textId="02293AE5" w:rsidR="002E635B" w:rsidRPr="002224D5" w:rsidRDefault="002E635B" w:rsidP="002224D5">
      <w:pPr>
        <w:spacing w:line="276" w:lineRule="auto"/>
        <w:jc w:val="both"/>
        <w:rPr>
          <w:rFonts w:ascii="Segoe UI" w:hAnsi="Segoe UI" w:cs="Segoe UI"/>
          <w:sz w:val="22"/>
          <w:lang w:val="hu-HU" w:eastAsia="de-DE"/>
        </w:rPr>
      </w:pPr>
      <w:r w:rsidRPr="002224D5">
        <w:rPr>
          <w:rFonts w:ascii="Segoe UI" w:hAnsi="Segoe UI" w:cs="Segoe UI"/>
          <w:sz w:val="22"/>
          <w:lang w:val="hu-HU" w:eastAsia="de-DE"/>
        </w:rPr>
        <w:t>Az üzlet</w:t>
      </w:r>
      <w:r w:rsidR="00A75C83">
        <w:rPr>
          <w:rFonts w:ascii="Segoe UI" w:hAnsi="Segoe UI" w:cs="Segoe UI"/>
          <w:sz w:val="22"/>
          <w:lang w:val="hu-HU" w:eastAsia="de-DE"/>
        </w:rPr>
        <w:t>i területek letisztult</w:t>
      </w:r>
      <w:r w:rsidRPr="002224D5">
        <w:rPr>
          <w:rFonts w:ascii="Segoe UI" w:hAnsi="Segoe UI" w:cs="Segoe UI"/>
          <w:sz w:val="22"/>
          <w:lang w:val="hu-HU" w:eastAsia="de-DE"/>
        </w:rPr>
        <w:t xml:space="preserve"> struktúrája, részben új vezetői csapatokkal, valamint a holnap trendjeire való következetes összpontosítás ismét hozzájárult az üzletág sikeres fejlődéséhez a </w:t>
      </w:r>
      <w:r w:rsidR="001A0EAD" w:rsidRPr="002224D5">
        <w:rPr>
          <w:rFonts w:ascii="Segoe UI" w:hAnsi="Segoe UI" w:cs="Segoe UI"/>
          <w:sz w:val="22"/>
          <w:lang w:val="hu-HU" w:eastAsia="de-DE"/>
        </w:rPr>
        <w:t xml:space="preserve">kihívásokkal teli </w:t>
      </w:r>
      <w:r w:rsidRPr="002224D5">
        <w:rPr>
          <w:rFonts w:ascii="Segoe UI" w:hAnsi="Segoe UI" w:cs="Segoe UI"/>
          <w:sz w:val="22"/>
          <w:lang w:val="hu-HU" w:eastAsia="de-DE"/>
        </w:rPr>
        <w:t>2024-es évben.</w:t>
      </w:r>
    </w:p>
    <w:p w14:paraId="74F8F5C7" w14:textId="77777777" w:rsidR="002E635B" w:rsidRPr="002224D5" w:rsidRDefault="002E635B" w:rsidP="002224D5">
      <w:pPr>
        <w:spacing w:line="276" w:lineRule="auto"/>
        <w:jc w:val="both"/>
        <w:rPr>
          <w:rFonts w:ascii="Segoe UI" w:hAnsi="Segoe UI" w:cs="Segoe UI"/>
          <w:sz w:val="22"/>
          <w:lang w:val="hu-HU" w:eastAsia="de-DE"/>
        </w:rPr>
      </w:pPr>
    </w:p>
    <w:p w14:paraId="0DF9B7DA" w14:textId="77777777" w:rsidR="002E635B" w:rsidRPr="001A0EAD" w:rsidRDefault="002E635B" w:rsidP="002224D5">
      <w:pPr>
        <w:spacing w:after="120" w:line="276" w:lineRule="auto"/>
        <w:jc w:val="both"/>
        <w:rPr>
          <w:rFonts w:ascii="Segoe UI" w:hAnsi="Segoe UI" w:cs="Segoe UI"/>
          <w:b/>
          <w:bCs/>
          <w:sz w:val="22"/>
          <w:szCs w:val="22"/>
          <w:lang w:val="hu-HU" w:eastAsia="de-DE"/>
        </w:rPr>
      </w:pPr>
      <w:r w:rsidRPr="001A0EAD">
        <w:rPr>
          <w:rFonts w:ascii="Segoe UI" w:hAnsi="Segoe UI" w:cs="Segoe UI"/>
          <w:b/>
          <w:bCs/>
          <w:sz w:val="22"/>
          <w:szCs w:val="22"/>
          <w:lang w:val="hu-HU" w:eastAsia="de-DE"/>
        </w:rPr>
        <w:t>További előrelépés valamennyi stratégiai prioritás terén</w:t>
      </w:r>
    </w:p>
    <w:p w14:paraId="400ED0AE" w14:textId="77777777" w:rsidR="002E635B" w:rsidRPr="002224D5" w:rsidRDefault="002E635B" w:rsidP="002224D5">
      <w:pPr>
        <w:autoSpaceDE w:val="0"/>
        <w:autoSpaceDN w:val="0"/>
        <w:adjustRightInd w:val="0"/>
        <w:spacing w:line="276" w:lineRule="auto"/>
        <w:jc w:val="both"/>
        <w:rPr>
          <w:rFonts w:ascii="Segoe UI" w:hAnsi="Segoe UI" w:cs="Segoe UI"/>
          <w:bCs/>
          <w:sz w:val="22"/>
          <w:lang w:val="hu-HU"/>
        </w:rPr>
      </w:pPr>
      <w:r w:rsidRPr="002224D5">
        <w:rPr>
          <w:rFonts w:ascii="Segoe UI" w:hAnsi="Segoe UI" w:cs="Segoe UI"/>
          <w:bCs/>
          <w:sz w:val="22"/>
          <w:lang w:val="hu-HU"/>
        </w:rPr>
        <w:t>A kihívásokkal teli makrogazdasági és geopolitikai környezetben a Henkel az elmúlt pénzügyi évben is következetesen folytatta növekedési stratégiájának végrehajtását, és minden területen jelentős előrelépést ért el. A vállalat továbbfejlesztette üzleti és márkaportfólióját, megerősítette versenyelőnyét az innováció, a fenntarthatóság és a digitalizáció területén, optimalizálta működési modelljeit és megerősítette vállalati kultúráját.</w:t>
      </w:r>
    </w:p>
    <w:p w14:paraId="13687CAE" w14:textId="77777777" w:rsidR="002E635B" w:rsidRPr="002224D5" w:rsidRDefault="002E635B" w:rsidP="002224D5">
      <w:pPr>
        <w:autoSpaceDE w:val="0"/>
        <w:autoSpaceDN w:val="0"/>
        <w:adjustRightInd w:val="0"/>
        <w:spacing w:line="276" w:lineRule="auto"/>
        <w:jc w:val="both"/>
        <w:rPr>
          <w:rFonts w:ascii="Segoe UI" w:hAnsi="Segoe UI" w:cs="Segoe UI"/>
          <w:bCs/>
          <w:sz w:val="22"/>
          <w:lang w:val="hu-HU"/>
        </w:rPr>
      </w:pPr>
    </w:p>
    <w:p w14:paraId="2A83CE0B" w14:textId="7C62B2B7" w:rsidR="002E635B" w:rsidRPr="002224D5" w:rsidRDefault="002E635B" w:rsidP="002224D5">
      <w:pPr>
        <w:autoSpaceDE w:val="0"/>
        <w:autoSpaceDN w:val="0"/>
        <w:adjustRightInd w:val="0"/>
        <w:spacing w:line="276" w:lineRule="auto"/>
        <w:jc w:val="both"/>
        <w:rPr>
          <w:rFonts w:ascii="Segoe UI" w:hAnsi="Segoe UI" w:cs="Segoe UI"/>
          <w:bCs/>
          <w:sz w:val="22"/>
          <w:lang w:val="hu-HU"/>
        </w:rPr>
      </w:pPr>
      <w:r w:rsidRPr="002224D5">
        <w:rPr>
          <w:rFonts w:ascii="Segoe UI" w:hAnsi="Segoe UI" w:cs="Segoe UI"/>
          <w:b/>
          <w:bCs/>
          <w:sz w:val="22"/>
          <w:lang w:val="hu-HU"/>
        </w:rPr>
        <w:t>Aktív portfólió</w:t>
      </w:r>
      <w:r w:rsidR="001A0EAD">
        <w:rPr>
          <w:rFonts w:ascii="Segoe UI" w:hAnsi="Segoe UI" w:cs="Segoe UI"/>
          <w:b/>
          <w:bCs/>
          <w:sz w:val="22"/>
          <w:lang w:val="hu-HU"/>
        </w:rPr>
        <w:t>kezelésének</w:t>
      </w:r>
      <w:r w:rsidRPr="002224D5">
        <w:rPr>
          <w:rFonts w:ascii="Segoe UI" w:hAnsi="Segoe UI" w:cs="Segoe UI"/>
          <w:bCs/>
          <w:sz w:val="22"/>
          <w:lang w:val="hu-HU"/>
        </w:rPr>
        <w:t xml:space="preserve"> részeként a Henkel továbbfejlesztette portfólióját tevékenységek megszüntetésével vagy eladásával, valamint felvásárlásokkal. Az észak-amerikai kiskereskedelmi márkák üzlet</w:t>
      </w:r>
      <w:r w:rsidR="009601A7">
        <w:rPr>
          <w:rFonts w:ascii="Segoe UI" w:hAnsi="Segoe UI" w:cs="Segoe UI"/>
          <w:bCs/>
          <w:sz w:val="22"/>
          <w:lang w:val="hu-HU"/>
        </w:rPr>
        <w:t xml:space="preserve">i területének </w:t>
      </w:r>
      <w:r w:rsidRPr="002224D5">
        <w:rPr>
          <w:rFonts w:ascii="Segoe UI" w:hAnsi="Segoe UI" w:cs="Segoe UI"/>
          <w:bCs/>
          <w:sz w:val="22"/>
          <w:lang w:val="hu-HU"/>
        </w:rPr>
        <w:t>év elej</w:t>
      </w:r>
      <w:r w:rsidR="006B0C2B">
        <w:rPr>
          <w:rFonts w:ascii="Segoe UI" w:hAnsi="Segoe UI" w:cs="Segoe UI"/>
          <w:bCs/>
          <w:sz w:val="22"/>
          <w:lang w:val="hu-HU"/>
        </w:rPr>
        <w:t>i</w:t>
      </w:r>
      <w:r w:rsidRPr="002224D5">
        <w:rPr>
          <w:rFonts w:ascii="Segoe UI" w:hAnsi="Segoe UI" w:cs="Segoe UI"/>
          <w:bCs/>
          <w:sz w:val="22"/>
          <w:lang w:val="hu-HU"/>
        </w:rPr>
        <w:t xml:space="preserve"> eladásával a Henkel véglegesítette portfólió intézkedéseit. </w:t>
      </w:r>
      <w:r w:rsidR="0078222A" w:rsidRPr="0078222A">
        <w:rPr>
          <w:rFonts w:ascii="Segoe UI" w:hAnsi="Segoe UI" w:cs="Segoe UI"/>
          <w:bCs/>
          <w:sz w:val="22"/>
          <w:lang w:val="hu-HU"/>
        </w:rPr>
        <w:t>Ezeket a korábban különálló fogyasztói üzletágak egyesülésének megkezdésével jelentették be.</w:t>
      </w:r>
      <w:r w:rsidRPr="002224D5">
        <w:rPr>
          <w:rFonts w:ascii="Segoe UI" w:hAnsi="Segoe UI" w:cs="Segoe UI"/>
          <w:bCs/>
          <w:sz w:val="22"/>
          <w:lang w:val="hu-HU"/>
        </w:rPr>
        <w:t xml:space="preserve"> A </w:t>
      </w:r>
      <w:proofErr w:type="spellStart"/>
      <w:r w:rsidRPr="002224D5">
        <w:rPr>
          <w:rFonts w:ascii="Segoe UI" w:hAnsi="Segoe UI" w:cs="Segoe UI"/>
          <w:bCs/>
          <w:sz w:val="22"/>
          <w:lang w:val="hu-HU"/>
        </w:rPr>
        <w:t>Retailer</w:t>
      </w:r>
      <w:proofErr w:type="spellEnd"/>
      <w:r w:rsidRPr="002224D5">
        <w:rPr>
          <w:rFonts w:ascii="Segoe UI" w:hAnsi="Segoe UI" w:cs="Segoe UI"/>
          <w:bCs/>
          <w:sz w:val="22"/>
          <w:lang w:val="hu-HU"/>
        </w:rPr>
        <w:t xml:space="preserve"> </w:t>
      </w:r>
      <w:proofErr w:type="spellStart"/>
      <w:r w:rsidRPr="002224D5">
        <w:rPr>
          <w:rFonts w:ascii="Segoe UI" w:hAnsi="Segoe UI" w:cs="Segoe UI"/>
          <w:bCs/>
          <w:sz w:val="22"/>
          <w:lang w:val="hu-HU"/>
        </w:rPr>
        <w:t>Brands</w:t>
      </w:r>
      <w:proofErr w:type="spellEnd"/>
      <w:r w:rsidRPr="002224D5">
        <w:rPr>
          <w:rFonts w:ascii="Segoe UI" w:hAnsi="Segoe UI" w:cs="Segoe UI"/>
          <w:bCs/>
          <w:sz w:val="22"/>
          <w:lang w:val="hu-HU"/>
        </w:rPr>
        <w:t xml:space="preserve"> üzleti területet a Consumer </w:t>
      </w:r>
      <w:proofErr w:type="spellStart"/>
      <w:r w:rsidRPr="002224D5">
        <w:rPr>
          <w:rFonts w:ascii="Segoe UI" w:hAnsi="Segoe UI" w:cs="Segoe UI"/>
          <w:bCs/>
          <w:sz w:val="22"/>
          <w:lang w:val="hu-HU"/>
        </w:rPr>
        <w:t>Brands</w:t>
      </w:r>
      <w:proofErr w:type="spellEnd"/>
      <w:r w:rsidRPr="002224D5">
        <w:rPr>
          <w:rFonts w:ascii="Segoe UI" w:hAnsi="Segoe UI" w:cs="Segoe UI"/>
          <w:bCs/>
          <w:sz w:val="22"/>
          <w:lang w:val="hu-HU"/>
        </w:rPr>
        <w:t xml:space="preserve"> üzletágon belül nem alapvető tevékenységként azonosították, mivel a szinergiák kihasználásának lehetősége és az integrált Consumer </w:t>
      </w:r>
      <w:proofErr w:type="spellStart"/>
      <w:r w:rsidRPr="002224D5">
        <w:rPr>
          <w:rFonts w:ascii="Segoe UI" w:hAnsi="Segoe UI" w:cs="Segoe UI"/>
          <w:bCs/>
          <w:sz w:val="22"/>
          <w:lang w:val="hu-HU"/>
        </w:rPr>
        <w:t>Brands</w:t>
      </w:r>
      <w:proofErr w:type="spellEnd"/>
      <w:r w:rsidRPr="002224D5">
        <w:rPr>
          <w:rFonts w:ascii="Segoe UI" w:hAnsi="Segoe UI" w:cs="Segoe UI"/>
          <w:bCs/>
          <w:sz w:val="22"/>
          <w:lang w:val="hu-HU"/>
        </w:rPr>
        <w:t xml:space="preserve"> platformhoz való jövőbeli stratégiai illeszkedés korlátozott. Ezt a tranzakciót is beleértve a Henkel 2022 eleje óta összesen valamivel több mint 1 milliárd eurós forgalmat képviselő márkákat és tevékenységeket adott el vagy szüntetett meg.</w:t>
      </w:r>
    </w:p>
    <w:p w14:paraId="1D8443A1" w14:textId="77777777" w:rsidR="002E635B" w:rsidRPr="00810F03" w:rsidRDefault="002E635B" w:rsidP="002E635B">
      <w:pPr>
        <w:autoSpaceDE w:val="0"/>
        <w:autoSpaceDN w:val="0"/>
        <w:adjustRightInd w:val="0"/>
        <w:rPr>
          <w:rFonts w:cs="Segoe UI"/>
          <w:bCs/>
          <w:szCs w:val="22"/>
          <w:lang w:val="hu-HU"/>
        </w:rPr>
      </w:pPr>
    </w:p>
    <w:p w14:paraId="762343D6" w14:textId="7AE1F716" w:rsidR="002E635B" w:rsidRPr="00DF54E7" w:rsidRDefault="002E635B" w:rsidP="00671AB6">
      <w:pPr>
        <w:autoSpaceDE w:val="0"/>
        <w:autoSpaceDN w:val="0"/>
        <w:adjustRightInd w:val="0"/>
        <w:spacing w:line="276" w:lineRule="auto"/>
        <w:jc w:val="both"/>
        <w:rPr>
          <w:rFonts w:ascii="Segoe UI" w:hAnsi="Segoe UI" w:cs="Segoe UI"/>
          <w:bCs/>
          <w:sz w:val="22"/>
          <w:szCs w:val="22"/>
          <w:lang w:val="hu-HU"/>
        </w:rPr>
      </w:pPr>
      <w:r w:rsidRPr="00DF54E7">
        <w:rPr>
          <w:rFonts w:ascii="Segoe UI" w:hAnsi="Segoe UI" w:cs="Segoe UI"/>
          <w:bCs/>
          <w:sz w:val="22"/>
          <w:szCs w:val="22"/>
          <w:lang w:val="hu-HU"/>
        </w:rPr>
        <w:t>Az aktív portfólió</w:t>
      </w:r>
      <w:r w:rsidR="0016572A">
        <w:rPr>
          <w:rFonts w:ascii="Segoe UI" w:hAnsi="Segoe UI" w:cs="Segoe UI"/>
          <w:bCs/>
          <w:sz w:val="22"/>
          <w:szCs w:val="22"/>
          <w:lang w:val="hu-HU"/>
        </w:rPr>
        <w:t>kezelés</w:t>
      </w:r>
      <w:r w:rsidRPr="00DF54E7">
        <w:rPr>
          <w:rFonts w:ascii="Segoe UI" w:hAnsi="Segoe UI" w:cs="Segoe UI"/>
          <w:bCs/>
          <w:sz w:val="22"/>
          <w:szCs w:val="22"/>
          <w:lang w:val="hu-HU"/>
        </w:rPr>
        <w:t xml:space="preserve"> magában foglalja a portfólió </w:t>
      </w:r>
      <w:r w:rsidRPr="00DF54E7">
        <w:rPr>
          <w:rFonts w:ascii="Segoe UI" w:hAnsi="Segoe UI" w:cs="Segoe UI"/>
          <w:b/>
          <w:bCs/>
          <w:sz w:val="22"/>
          <w:szCs w:val="22"/>
          <w:lang w:val="hu-HU"/>
        </w:rPr>
        <w:t>akvizíciókkal</w:t>
      </w:r>
      <w:r w:rsidRPr="00DF54E7">
        <w:rPr>
          <w:rFonts w:ascii="Segoe UI" w:hAnsi="Segoe UI" w:cs="Segoe UI"/>
          <w:bCs/>
          <w:sz w:val="22"/>
          <w:szCs w:val="22"/>
          <w:lang w:val="hu-HU"/>
        </w:rPr>
        <w:t xml:space="preserve"> történő megerősítését és bővítését is: A Henkel 2024 elején megvásárolta a jól ismert hajápolási márkát, a Vidal </w:t>
      </w:r>
      <w:proofErr w:type="spellStart"/>
      <w:r w:rsidRPr="00DF54E7">
        <w:rPr>
          <w:rFonts w:ascii="Segoe UI" w:hAnsi="Segoe UI" w:cs="Segoe UI"/>
          <w:bCs/>
          <w:sz w:val="22"/>
          <w:szCs w:val="22"/>
          <w:lang w:val="hu-HU"/>
        </w:rPr>
        <w:t>Sassoon</w:t>
      </w:r>
      <w:proofErr w:type="spellEnd"/>
      <w:r w:rsidRPr="00DF54E7">
        <w:rPr>
          <w:rFonts w:ascii="Segoe UI" w:hAnsi="Segoe UI" w:cs="Segoe UI"/>
          <w:bCs/>
          <w:sz w:val="22"/>
          <w:szCs w:val="22"/>
          <w:lang w:val="hu-HU"/>
        </w:rPr>
        <w:t>-t Kínában. Ez a</w:t>
      </w:r>
      <w:r w:rsidR="000622B2">
        <w:rPr>
          <w:rFonts w:ascii="Segoe UI" w:hAnsi="Segoe UI" w:cs="Segoe UI"/>
          <w:bCs/>
          <w:sz w:val="22"/>
          <w:szCs w:val="22"/>
          <w:lang w:val="hu-HU"/>
        </w:rPr>
        <w:t>z akvizíció</w:t>
      </w:r>
      <w:r w:rsidRPr="00DF54E7">
        <w:rPr>
          <w:rFonts w:ascii="Segoe UI" w:hAnsi="Segoe UI" w:cs="Segoe UI"/>
          <w:bCs/>
          <w:sz w:val="22"/>
          <w:szCs w:val="22"/>
          <w:lang w:val="hu-HU"/>
        </w:rPr>
        <w:t xml:space="preserve"> tökéletesen kiegészíti a Consumer </w:t>
      </w:r>
      <w:proofErr w:type="spellStart"/>
      <w:r w:rsidRPr="00DF54E7">
        <w:rPr>
          <w:rFonts w:ascii="Segoe UI" w:hAnsi="Segoe UI" w:cs="Segoe UI"/>
          <w:bCs/>
          <w:sz w:val="22"/>
          <w:szCs w:val="22"/>
          <w:lang w:val="hu-HU"/>
        </w:rPr>
        <w:t>Brands</w:t>
      </w:r>
      <w:proofErr w:type="spellEnd"/>
      <w:r w:rsidRPr="00DF54E7">
        <w:rPr>
          <w:rFonts w:ascii="Segoe UI" w:hAnsi="Segoe UI" w:cs="Segoe UI"/>
          <w:bCs/>
          <w:sz w:val="22"/>
          <w:szCs w:val="22"/>
          <w:lang w:val="hu-HU"/>
        </w:rPr>
        <w:t xml:space="preserve"> helyi portfólióját Kínában</w:t>
      </w:r>
      <w:r w:rsidR="000622B2">
        <w:rPr>
          <w:rFonts w:ascii="Segoe UI" w:hAnsi="Segoe UI" w:cs="Segoe UI"/>
          <w:bCs/>
          <w:sz w:val="22"/>
          <w:szCs w:val="22"/>
          <w:lang w:val="hu-HU"/>
        </w:rPr>
        <w:t xml:space="preserve"> azáltal, hogy </w:t>
      </w:r>
      <w:r w:rsidR="006F2420">
        <w:rPr>
          <w:rFonts w:ascii="Segoe UI" w:hAnsi="Segoe UI" w:cs="Segoe UI"/>
          <w:bCs/>
          <w:sz w:val="22"/>
          <w:szCs w:val="22"/>
          <w:lang w:val="hu-HU"/>
        </w:rPr>
        <w:t xml:space="preserve">lefedi </w:t>
      </w:r>
      <w:r w:rsidRPr="00DF54E7">
        <w:rPr>
          <w:rFonts w:ascii="Segoe UI" w:hAnsi="Segoe UI" w:cs="Segoe UI"/>
          <w:bCs/>
          <w:sz w:val="22"/>
          <w:szCs w:val="22"/>
          <w:lang w:val="hu-HU"/>
        </w:rPr>
        <w:t xml:space="preserve">a kiskereskedelmi üzleti terület prémium szegmensét. A Vidal </w:t>
      </w:r>
      <w:proofErr w:type="spellStart"/>
      <w:r w:rsidRPr="00DF54E7">
        <w:rPr>
          <w:rFonts w:ascii="Segoe UI" w:hAnsi="Segoe UI" w:cs="Segoe UI"/>
          <w:bCs/>
          <w:sz w:val="22"/>
          <w:szCs w:val="22"/>
          <w:lang w:val="hu-HU"/>
        </w:rPr>
        <w:t>Sassoon</w:t>
      </w:r>
      <w:proofErr w:type="spellEnd"/>
      <w:r w:rsidRPr="00DF54E7">
        <w:rPr>
          <w:rFonts w:ascii="Segoe UI" w:hAnsi="Segoe UI" w:cs="Segoe UI"/>
          <w:bCs/>
          <w:sz w:val="22"/>
          <w:szCs w:val="22"/>
          <w:lang w:val="hu-HU"/>
        </w:rPr>
        <w:t xml:space="preserve"> márka portfóliója elsősorban a prémium hajápolási </w:t>
      </w:r>
      <w:proofErr w:type="spellStart"/>
      <w:r w:rsidRPr="00DF54E7">
        <w:rPr>
          <w:rFonts w:ascii="Segoe UI" w:hAnsi="Segoe UI" w:cs="Segoe UI"/>
          <w:bCs/>
          <w:sz w:val="22"/>
          <w:szCs w:val="22"/>
          <w:lang w:val="hu-HU"/>
        </w:rPr>
        <w:t>szegmenst</w:t>
      </w:r>
      <w:proofErr w:type="spellEnd"/>
      <w:r w:rsidRPr="00DF54E7">
        <w:rPr>
          <w:rFonts w:ascii="Segoe UI" w:hAnsi="Segoe UI" w:cs="Segoe UI"/>
          <w:bCs/>
          <w:sz w:val="22"/>
          <w:szCs w:val="22"/>
          <w:lang w:val="hu-HU"/>
        </w:rPr>
        <w:t xml:space="preserve"> szolgálja ki samponokkal és kondicionálókkal, de a hajformázáshoz és hajápoláshoz kapcsolódó termékeket is tartalmaz.</w:t>
      </w:r>
    </w:p>
    <w:p w14:paraId="41EE6C77" w14:textId="77777777" w:rsidR="002E635B" w:rsidRPr="00DF54E7" w:rsidRDefault="002E635B" w:rsidP="00671AB6">
      <w:pPr>
        <w:autoSpaceDE w:val="0"/>
        <w:autoSpaceDN w:val="0"/>
        <w:adjustRightInd w:val="0"/>
        <w:spacing w:line="276" w:lineRule="auto"/>
        <w:jc w:val="both"/>
        <w:rPr>
          <w:rFonts w:ascii="Segoe UI" w:hAnsi="Segoe UI" w:cs="Segoe UI"/>
          <w:bCs/>
          <w:sz w:val="22"/>
          <w:szCs w:val="22"/>
          <w:lang w:val="hu-HU"/>
        </w:rPr>
      </w:pPr>
    </w:p>
    <w:p w14:paraId="72C3F7A8" w14:textId="2E76B2BF" w:rsidR="002E635B" w:rsidRPr="00DF54E7" w:rsidRDefault="002E635B" w:rsidP="00671AB6">
      <w:pPr>
        <w:autoSpaceDE w:val="0"/>
        <w:autoSpaceDN w:val="0"/>
        <w:adjustRightInd w:val="0"/>
        <w:spacing w:line="276" w:lineRule="auto"/>
        <w:jc w:val="both"/>
        <w:rPr>
          <w:rFonts w:ascii="Segoe UI" w:hAnsi="Segoe UI" w:cs="Segoe UI"/>
          <w:bCs/>
          <w:sz w:val="22"/>
          <w:szCs w:val="22"/>
          <w:lang w:val="hu-HU"/>
        </w:rPr>
      </w:pPr>
      <w:r w:rsidRPr="00DF54E7">
        <w:rPr>
          <w:rFonts w:ascii="Segoe UI" w:hAnsi="Segoe UI" w:cs="Segoe UI"/>
          <w:bCs/>
          <w:sz w:val="22"/>
          <w:szCs w:val="22"/>
          <w:lang w:val="hu-HU"/>
        </w:rPr>
        <w:t xml:space="preserve">A Henkel akvizíciókba is befektetett, hogy bővítse portfólióját az Adhesive Technologies üzletágon belül, </w:t>
      </w:r>
      <w:r w:rsidR="00702159">
        <w:rPr>
          <w:rFonts w:ascii="Segoe UI" w:hAnsi="Segoe UI" w:cs="Segoe UI"/>
          <w:bCs/>
          <w:sz w:val="22"/>
          <w:szCs w:val="22"/>
          <w:lang w:val="hu-HU"/>
        </w:rPr>
        <w:t>fel</w:t>
      </w:r>
      <w:r w:rsidRPr="00DF54E7">
        <w:rPr>
          <w:rFonts w:ascii="Segoe UI" w:hAnsi="Segoe UI" w:cs="Segoe UI"/>
          <w:bCs/>
          <w:sz w:val="22"/>
          <w:szCs w:val="22"/>
          <w:lang w:val="hu-HU"/>
        </w:rPr>
        <w:t xml:space="preserve">vásárolta az amerikai </w:t>
      </w:r>
      <w:proofErr w:type="spellStart"/>
      <w:r w:rsidRPr="00DF54E7">
        <w:rPr>
          <w:rFonts w:ascii="Segoe UI" w:hAnsi="Segoe UI" w:cs="Segoe UI"/>
          <w:bCs/>
          <w:sz w:val="22"/>
          <w:szCs w:val="22"/>
          <w:lang w:val="hu-HU"/>
        </w:rPr>
        <w:t>Seal</w:t>
      </w:r>
      <w:proofErr w:type="spellEnd"/>
      <w:r w:rsidRPr="00DF54E7">
        <w:rPr>
          <w:rFonts w:ascii="Segoe UI" w:hAnsi="Segoe UI" w:cs="Segoe UI"/>
          <w:bCs/>
          <w:sz w:val="22"/>
          <w:szCs w:val="22"/>
          <w:lang w:val="hu-HU"/>
        </w:rPr>
        <w:t xml:space="preserve"> </w:t>
      </w:r>
      <w:proofErr w:type="spellStart"/>
      <w:r w:rsidRPr="00DF54E7">
        <w:rPr>
          <w:rFonts w:ascii="Segoe UI" w:hAnsi="Segoe UI" w:cs="Segoe UI"/>
          <w:bCs/>
          <w:sz w:val="22"/>
          <w:szCs w:val="22"/>
          <w:lang w:val="hu-HU"/>
        </w:rPr>
        <w:t>for</w:t>
      </w:r>
      <w:proofErr w:type="spellEnd"/>
      <w:r w:rsidRPr="00DF54E7">
        <w:rPr>
          <w:rFonts w:ascii="Segoe UI" w:hAnsi="Segoe UI" w:cs="Segoe UI"/>
          <w:bCs/>
          <w:sz w:val="22"/>
          <w:szCs w:val="22"/>
          <w:lang w:val="hu-HU"/>
        </w:rPr>
        <w:t xml:space="preserve"> Life </w:t>
      </w:r>
      <w:proofErr w:type="spellStart"/>
      <w:r w:rsidRPr="00DF54E7">
        <w:rPr>
          <w:rFonts w:ascii="Segoe UI" w:hAnsi="Segoe UI" w:cs="Segoe UI"/>
          <w:bCs/>
          <w:sz w:val="22"/>
          <w:szCs w:val="22"/>
          <w:lang w:val="hu-HU"/>
        </w:rPr>
        <w:t>Industries</w:t>
      </w:r>
      <w:proofErr w:type="spellEnd"/>
      <w:r w:rsidRPr="00DF54E7">
        <w:rPr>
          <w:rFonts w:ascii="Segoe UI" w:hAnsi="Segoe UI" w:cs="Segoe UI"/>
          <w:bCs/>
          <w:sz w:val="22"/>
          <w:szCs w:val="22"/>
          <w:lang w:val="hu-HU"/>
        </w:rPr>
        <w:t xml:space="preserve"> vállalatot. Ez a vállalat védőbevonatokat és tömítő megoldásokat kínál az infrastruktúra számára olyan iparágakban, mint a megújuló energia, a gáz és a víz. Ez az akvizíció kiegészíti a </w:t>
      </w:r>
      <w:proofErr w:type="spellStart"/>
      <w:r w:rsidRPr="00DF54E7">
        <w:rPr>
          <w:rFonts w:ascii="Segoe UI" w:hAnsi="Segoe UI" w:cs="Segoe UI"/>
          <w:bCs/>
          <w:sz w:val="22"/>
          <w:szCs w:val="22"/>
          <w:lang w:val="hu-HU"/>
        </w:rPr>
        <w:t>Critica</w:t>
      </w:r>
      <w:proofErr w:type="spellEnd"/>
      <w:r w:rsidRPr="00DF54E7">
        <w:rPr>
          <w:rFonts w:ascii="Segoe UI" w:hAnsi="Segoe UI" w:cs="Segoe UI"/>
          <w:bCs/>
          <w:sz w:val="22"/>
          <w:szCs w:val="22"/>
          <w:lang w:val="hu-HU"/>
        </w:rPr>
        <w:t xml:space="preserve"> </w:t>
      </w:r>
      <w:proofErr w:type="spellStart"/>
      <w:r w:rsidRPr="00DF54E7">
        <w:rPr>
          <w:rFonts w:ascii="Segoe UI" w:hAnsi="Segoe UI" w:cs="Segoe UI"/>
          <w:bCs/>
          <w:sz w:val="22"/>
          <w:szCs w:val="22"/>
          <w:lang w:val="hu-HU"/>
        </w:rPr>
        <w:t>Infrastructure</w:t>
      </w:r>
      <w:proofErr w:type="spellEnd"/>
      <w:r w:rsidRPr="00DF54E7">
        <w:rPr>
          <w:rFonts w:ascii="Segoe UI" w:hAnsi="Segoe UI" w:cs="Segoe UI"/>
          <w:bCs/>
          <w:sz w:val="22"/>
          <w:szCs w:val="22"/>
          <w:lang w:val="hu-HU"/>
        </w:rPr>
        <w:t xml:space="preserve"> 2023-as megvásárlását, amely szintén az infrastruktúra karbantartására és javítására szakosodott. Ezekkel a felvásárlásokkal </w:t>
      </w:r>
      <w:r w:rsidR="000A5285">
        <w:rPr>
          <w:rFonts w:ascii="Segoe UI" w:hAnsi="Segoe UI" w:cs="Segoe UI"/>
          <w:bCs/>
          <w:sz w:val="22"/>
          <w:szCs w:val="22"/>
          <w:lang w:val="hu-HU"/>
        </w:rPr>
        <w:t>ki</w:t>
      </w:r>
      <w:r w:rsidRPr="00DF54E7">
        <w:rPr>
          <w:rFonts w:ascii="Segoe UI" w:hAnsi="Segoe UI" w:cs="Segoe UI"/>
          <w:bCs/>
          <w:sz w:val="22"/>
          <w:szCs w:val="22"/>
          <w:lang w:val="hu-HU"/>
        </w:rPr>
        <w:t xml:space="preserve">bővítettük meglévő portfóliónkat a vonzó és ígéretes karbantartási, javítási és nagyjavítási </w:t>
      </w:r>
      <w:r w:rsidR="0084071C">
        <w:rPr>
          <w:rFonts w:ascii="Segoe UI" w:hAnsi="Segoe UI" w:cs="Segoe UI"/>
          <w:bCs/>
          <w:sz w:val="22"/>
          <w:szCs w:val="22"/>
          <w:lang w:val="hu-HU"/>
        </w:rPr>
        <w:t>területen</w:t>
      </w:r>
      <w:r w:rsidRPr="00DF54E7">
        <w:rPr>
          <w:rFonts w:ascii="Segoe UI" w:hAnsi="Segoe UI" w:cs="Segoe UI"/>
          <w:bCs/>
          <w:sz w:val="22"/>
          <w:szCs w:val="22"/>
          <w:lang w:val="hu-HU"/>
        </w:rPr>
        <w:t>, megteremtve ezzel a további növekedés lehetőségét.</w:t>
      </w:r>
    </w:p>
    <w:p w14:paraId="6300CD7B" w14:textId="77777777" w:rsidR="002E635B" w:rsidRPr="00DF54E7" w:rsidRDefault="002E635B" w:rsidP="00671AB6">
      <w:pPr>
        <w:autoSpaceDE w:val="0"/>
        <w:autoSpaceDN w:val="0"/>
        <w:adjustRightInd w:val="0"/>
        <w:spacing w:line="276" w:lineRule="auto"/>
        <w:jc w:val="both"/>
        <w:rPr>
          <w:rFonts w:ascii="Segoe UI" w:hAnsi="Segoe UI" w:cs="Segoe UI"/>
          <w:bCs/>
          <w:sz w:val="22"/>
          <w:szCs w:val="22"/>
          <w:lang w:val="hu-HU"/>
        </w:rPr>
      </w:pPr>
    </w:p>
    <w:p w14:paraId="30D7E5CA" w14:textId="21A23D9E" w:rsidR="002E635B" w:rsidRDefault="002E635B" w:rsidP="00671AB6">
      <w:pPr>
        <w:spacing w:line="276" w:lineRule="auto"/>
        <w:jc w:val="both"/>
        <w:rPr>
          <w:rFonts w:ascii="Segoe UI" w:hAnsi="Segoe UI" w:cs="Segoe UI"/>
          <w:bCs/>
          <w:sz w:val="22"/>
          <w:szCs w:val="22"/>
          <w:lang w:val="hu-HU"/>
        </w:rPr>
      </w:pPr>
      <w:r w:rsidRPr="00DF54E7">
        <w:rPr>
          <w:rFonts w:ascii="Segoe UI" w:hAnsi="Segoe UI" w:cs="Segoe UI"/>
          <w:bCs/>
          <w:sz w:val="22"/>
          <w:szCs w:val="22"/>
          <w:lang w:val="hu-HU"/>
        </w:rPr>
        <w:t xml:space="preserve">2024-ben a Henkel számos </w:t>
      </w:r>
      <w:r w:rsidRPr="00DF54E7">
        <w:rPr>
          <w:rFonts w:ascii="Segoe UI" w:hAnsi="Segoe UI" w:cs="Segoe UI"/>
          <w:b/>
          <w:bCs/>
          <w:sz w:val="22"/>
          <w:szCs w:val="22"/>
          <w:lang w:val="hu-HU"/>
        </w:rPr>
        <w:t>innovációt</w:t>
      </w:r>
      <w:r w:rsidRPr="00DF54E7">
        <w:rPr>
          <w:rFonts w:ascii="Segoe UI" w:hAnsi="Segoe UI" w:cs="Segoe UI"/>
          <w:bCs/>
          <w:sz w:val="22"/>
          <w:szCs w:val="22"/>
          <w:lang w:val="hu-HU"/>
        </w:rPr>
        <w:t xml:space="preserve"> vezetett be a piacra, amelyek fontos trendekre reagáltak, és értéket teremtettek az ügyfelek és a fogyasztók számára. Az Adhesive Technologies üzletág számára tavaly egy korszerű akkumulátortesztelő központot nyitottak</w:t>
      </w:r>
      <w:r w:rsidR="00011CA2">
        <w:rPr>
          <w:rFonts w:ascii="Segoe UI" w:hAnsi="Segoe UI" w:cs="Segoe UI"/>
          <w:bCs/>
          <w:sz w:val="22"/>
          <w:szCs w:val="22"/>
          <w:lang w:val="hu-HU"/>
        </w:rPr>
        <w:t xml:space="preserve"> meg a</w:t>
      </w:r>
      <w:r w:rsidRPr="00DF54E7">
        <w:rPr>
          <w:rFonts w:ascii="Segoe UI" w:hAnsi="Segoe UI" w:cs="Segoe UI"/>
          <w:bCs/>
          <w:sz w:val="22"/>
          <w:szCs w:val="22"/>
          <w:lang w:val="hu-HU"/>
        </w:rPr>
        <w:t xml:space="preserve"> központban, amely közvetlenül kapcsolódik az üzletág legnagyobb globális innovációs központjához, a düsseldorfi </w:t>
      </w:r>
      <w:proofErr w:type="spellStart"/>
      <w:r w:rsidRPr="00DF54E7">
        <w:rPr>
          <w:rFonts w:ascii="Segoe UI" w:hAnsi="Segoe UI" w:cs="Segoe UI"/>
          <w:bCs/>
          <w:sz w:val="22"/>
          <w:szCs w:val="22"/>
          <w:lang w:val="hu-HU"/>
        </w:rPr>
        <w:t>Inspiration</w:t>
      </w:r>
      <w:proofErr w:type="spellEnd"/>
      <w:r w:rsidRPr="00DF54E7">
        <w:rPr>
          <w:rFonts w:ascii="Segoe UI" w:hAnsi="Segoe UI" w:cs="Segoe UI"/>
          <w:bCs/>
          <w:sz w:val="22"/>
          <w:szCs w:val="22"/>
          <w:lang w:val="hu-HU"/>
        </w:rPr>
        <w:t xml:space="preserve"> Centerhez. </w:t>
      </w:r>
    </w:p>
    <w:p w14:paraId="0A104C09" w14:textId="77777777" w:rsidR="005D46F2" w:rsidRPr="00DF54E7" w:rsidRDefault="005D46F2" w:rsidP="00C06EA9">
      <w:pPr>
        <w:spacing w:line="276" w:lineRule="auto"/>
        <w:jc w:val="both"/>
        <w:rPr>
          <w:rFonts w:ascii="Segoe UI" w:hAnsi="Segoe UI" w:cs="Segoe UI"/>
          <w:bCs/>
          <w:sz w:val="22"/>
          <w:szCs w:val="22"/>
          <w:lang w:val="hu-HU"/>
        </w:rPr>
      </w:pPr>
    </w:p>
    <w:p w14:paraId="659744C1" w14:textId="1906D1E1" w:rsidR="002E635B" w:rsidRPr="00DF54E7" w:rsidRDefault="005D46F2" w:rsidP="00C06EA9">
      <w:pPr>
        <w:spacing w:line="276" w:lineRule="auto"/>
        <w:jc w:val="both"/>
        <w:rPr>
          <w:rFonts w:ascii="Segoe UI" w:hAnsi="Segoe UI" w:cs="Segoe UI"/>
          <w:bCs/>
          <w:sz w:val="22"/>
          <w:szCs w:val="22"/>
          <w:lang w:val="hu-HU"/>
        </w:rPr>
      </w:pPr>
      <w:r>
        <w:rPr>
          <w:rFonts w:ascii="Segoe UI" w:hAnsi="Segoe UI" w:cs="Segoe UI"/>
          <w:bCs/>
          <w:sz w:val="22"/>
          <w:szCs w:val="22"/>
          <w:lang w:val="hu-HU"/>
        </w:rPr>
        <w:t>Ezzel az</w:t>
      </w:r>
      <w:r w:rsidR="002E635B" w:rsidRPr="00DF54E7">
        <w:rPr>
          <w:rFonts w:ascii="Segoe UI" w:hAnsi="Segoe UI" w:cs="Segoe UI"/>
          <w:bCs/>
          <w:sz w:val="22"/>
          <w:szCs w:val="22"/>
          <w:lang w:val="hu-HU"/>
        </w:rPr>
        <w:t xml:space="preserve"> új tesztközpont</w:t>
      </w:r>
      <w:r>
        <w:rPr>
          <w:rFonts w:ascii="Segoe UI" w:hAnsi="Segoe UI" w:cs="Segoe UI"/>
          <w:bCs/>
          <w:sz w:val="22"/>
          <w:szCs w:val="22"/>
          <w:lang w:val="hu-HU"/>
        </w:rPr>
        <w:t>tal</w:t>
      </w:r>
      <w:r w:rsidR="002E635B" w:rsidRPr="00DF54E7">
        <w:rPr>
          <w:rFonts w:ascii="Segoe UI" w:hAnsi="Segoe UI" w:cs="Segoe UI"/>
          <w:bCs/>
          <w:sz w:val="22"/>
          <w:szCs w:val="22"/>
          <w:lang w:val="hu-HU"/>
        </w:rPr>
        <w:t xml:space="preserve"> a Henkel jelentősen bővíti képességeit az e-mobilitás szegmensben, és megerősíti pozícióját az autógyártók és akkumulátorgyártók vezető fejlesztési és innovációs partnereként.</w:t>
      </w:r>
    </w:p>
    <w:p w14:paraId="7735A02A" w14:textId="77777777" w:rsidR="002E635B" w:rsidRPr="00DF54E7" w:rsidRDefault="002E635B" w:rsidP="00C06EA9">
      <w:pPr>
        <w:spacing w:line="276" w:lineRule="auto"/>
        <w:jc w:val="both"/>
        <w:rPr>
          <w:rFonts w:ascii="Segoe UI" w:hAnsi="Segoe UI" w:cs="Segoe UI"/>
          <w:bCs/>
          <w:sz w:val="22"/>
          <w:szCs w:val="22"/>
          <w:lang w:val="hu-HU"/>
        </w:rPr>
      </w:pPr>
    </w:p>
    <w:p w14:paraId="5F4E555B" w14:textId="7FC4A9AC" w:rsidR="002E635B" w:rsidRPr="00DF54E7" w:rsidRDefault="002E635B" w:rsidP="00C06EA9">
      <w:pPr>
        <w:spacing w:line="276" w:lineRule="auto"/>
        <w:jc w:val="both"/>
        <w:rPr>
          <w:rFonts w:ascii="Segoe UI" w:hAnsi="Segoe UI" w:cs="Segoe UI"/>
          <w:bCs/>
          <w:sz w:val="22"/>
          <w:szCs w:val="22"/>
          <w:lang w:val="hu-HU"/>
        </w:rPr>
      </w:pPr>
      <w:r w:rsidRPr="00DF54E7">
        <w:rPr>
          <w:rFonts w:ascii="Segoe UI" w:hAnsi="Segoe UI" w:cs="Segoe UI"/>
          <w:bCs/>
          <w:sz w:val="22"/>
          <w:szCs w:val="22"/>
          <w:lang w:val="hu-HU"/>
        </w:rPr>
        <w:t xml:space="preserve">A Consumer </w:t>
      </w:r>
      <w:proofErr w:type="spellStart"/>
      <w:r w:rsidRPr="00DF54E7">
        <w:rPr>
          <w:rFonts w:ascii="Segoe UI" w:hAnsi="Segoe UI" w:cs="Segoe UI"/>
          <w:bCs/>
          <w:sz w:val="22"/>
          <w:szCs w:val="22"/>
          <w:lang w:val="hu-HU"/>
        </w:rPr>
        <w:t>Brands</w:t>
      </w:r>
      <w:proofErr w:type="spellEnd"/>
      <w:r w:rsidRPr="00DF54E7">
        <w:rPr>
          <w:rFonts w:ascii="Segoe UI" w:hAnsi="Segoe UI" w:cs="Segoe UI"/>
          <w:bCs/>
          <w:sz w:val="22"/>
          <w:szCs w:val="22"/>
          <w:lang w:val="hu-HU"/>
        </w:rPr>
        <w:t xml:space="preserve"> üzletág innovációjának példája a </w:t>
      </w:r>
      <w:proofErr w:type="spellStart"/>
      <w:r w:rsidRPr="00DF54E7">
        <w:rPr>
          <w:rFonts w:ascii="Segoe UI" w:hAnsi="Segoe UI" w:cs="Segoe UI"/>
          <w:bCs/>
          <w:sz w:val="22"/>
          <w:szCs w:val="22"/>
          <w:lang w:val="hu-HU"/>
        </w:rPr>
        <w:t>Perwoll</w:t>
      </w:r>
      <w:proofErr w:type="spellEnd"/>
      <w:r w:rsidRPr="00DF54E7">
        <w:rPr>
          <w:rFonts w:ascii="Segoe UI" w:hAnsi="Segoe UI" w:cs="Segoe UI"/>
          <w:bCs/>
          <w:sz w:val="22"/>
          <w:szCs w:val="22"/>
          <w:lang w:val="hu-HU"/>
        </w:rPr>
        <w:t xml:space="preserve"> újonnan kifejlesztett enzimtechnológi</w:t>
      </w:r>
      <w:r w:rsidR="007E365E">
        <w:rPr>
          <w:rFonts w:ascii="Segoe UI" w:hAnsi="Segoe UI" w:cs="Segoe UI"/>
          <w:bCs/>
          <w:sz w:val="22"/>
          <w:szCs w:val="22"/>
          <w:lang w:val="hu-HU"/>
        </w:rPr>
        <w:t>áj</w:t>
      </w:r>
      <w:r w:rsidRPr="00DF54E7">
        <w:rPr>
          <w:rFonts w:ascii="Segoe UI" w:hAnsi="Segoe UI" w:cs="Segoe UI"/>
          <w:bCs/>
          <w:sz w:val="22"/>
          <w:szCs w:val="22"/>
          <w:lang w:val="hu-HU"/>
        </w:rPr>
        <w:t xml:space="preserve">a, amely nemcsak a textíliákat ápolja, hanem segít megőrizni a </w:t>
      </w:r>
      <w:r w:rsidR="005D115C">
        <w:rPr>
          <w:rFonts w:ascii="Segoe UI" w:hAnsi="Segoe UI" w:cs="Segoe UI"/>
          <w:bCs/>
          <w:sz w:val="22"/>
          <w:szCs w:val="22"/>
          <w:lang w:val="hu-HU"/>
        </w:rPr>
        <w:t>ruhák</w:t>
      </w:r>
      <w:r w:rsidRPr="00DF54E7">
        <w:rPr>
          <w:rFonts w:ascii="Segoe UI" w:hAnsi="Segoe UI" w:cs="Segoe UI"/>
          <w:bCs/>
          <w:sz w:val="22"/>
          <w:szCs w:val="22"/>
          <w:lang w:val="hu-HU"/>
        </w:rPr>
        <w:t xml:space="preserve"> színét is. A </w:t>
      </w:r>
      <w:r w:rsidR="005D115C">
        <w:rPr>
          <w:rFonts w:ascii="Segoe UI" w:hAnsi="Segoe UI" w:cs="Segoe UI"/>
          <w:bCs/>
          <w:sz w:val="22"/>
          <w:szCs w:val="22"/>
          <w:lang w:val="hu-HU"/>
        </w:rPr>
        <w:t>textil</w:t>
      </w:r>
      <w:r w:rsidRPr="00DF54E7">
        <w:rPr>
          <w:rFonts w:ascii="Segoe UI" w:hAnsi="Segoe UI" w:cs="Segoe UI"/>
          <w:bCs/>
          <w:sz w:val="22"/>
          <w:szCs w:val="22"/>
          <w:lang w:val="hu-HU"/>
        </w:rPr>
        <w:t>szálak</w:t>
      </w:r>
      <w:r w:rsidR="005D115C">
        <w:rPr>
          <w:rFonts w:ascii="Segoe UI" w:hAnsi="Segoe UI" w:cs="Segoe UI"/>
          <w:bCs/>
          <w:sz w:val="22"/>
          <w:szCs w:val="22"/>
          <w:lang w:val="hu-HU"/>
        </w:rPr>
        <w:t xml:space="preserve">ra gyakorolt </w:t>
      </w:r>
      <w:r w:rsidRPr="00DF54E7">
        <w:rPr>
          <w:rFonts w:ascii="Segoe UI" w:hAnsi="Segoe UI" w:cs="Segoe UI"/>
          <w:bCs/>
          <w:sz w:val="22"/>
          <w:szCs w:val="22"/>
          <w:lang w:val="hu-HU"/>
        </w:rPr>
        <w:t xml:space="preserve">megújító hatás már tíz mosás után látható, </w:t>
      </w:r>
      <w:r w:rsidR="00300B8F">
        <w:rPr>
          <w:rFonts w:ascii="Segoe UI" w:hAnsi="Segoe UI" w:cs="Segoe UI"/>
          <w:bCs/>
          <w:sz w:val="22"/>
          <w:szCs w:val="22"/>
          <w:lang w:val="hu-HU"/>
        </w:rPr>
        <w:t xml:space="preserve">és </w:t>
      </w:r>
      <w:r w:rsidRPr="00DF54E7">
        <w:rPr>
          <w:rFonts w:ascii="Segoe UI" w:hAnsi="Segoe UI" w:cs="Segoe UI"/>
          <w:bCs/>
          <w:sz w:val="22"/>
          <w:szCs w:val="22"/>
          <w:lang w:val="hu-HU"/>
        </w:rPr>
        <w:t>így elősegíti a textíliák hosszú élettartamát.</w:t>
      </w:r>
    </w:p>
    <w:p w14:paraId="5B2D65B0" w14:textId="77777777" w:rsidR="002E635B" w:rsidRPr="00DF54E7" w:rsidRDefault="002E635B" w:rsidP="00671AB6">
      <w:pPr>
        <w:spacing w:line="276" w:lineRule="auto"/>
        <w:jc w:val="both"/>
        <w:rPr>
          <w:rFonts w:ascii="Segoe UI" w:hAnsi="Segoe UI" w:cs="Segoe UI"/>
          <w:bCs/>
          <w:sz w:val="22"/>
          <w:szCs w:val="22"/>
          <w:lang w:val="hu-HU"/>
        </w:rPr>
      </w:pPr>
    </w:p>
    <w:p w14:paraId="77A304C6" w14:textId="431A11EC" w:rsidR="002E635B" w:rsidRPr="007D0042" w:rsidRDefault="002E635B" w:rsidP="00D20169">
      <w:pPr>
        <w:spacing w:line="276" w:lineRule="auto"/>
        <w:jc w:val="both"/>
        <w:rPr>
          <w:rFonts w:ascii="Segoe UI" w:hAnsi="Segoe UI" w:cs="Segoe UI"/>
          <w:bCs/>
          <w:sz w:val="22"/>
          <w:szCs w:val="22"/>
          <w:lang w:val="hu-HU"/>
        </w:rPr>
      </w:pPr>
      <w:r w:rsidRPr="00DF54E7">
        <w:rPr>
          <w:rFonts w:ascii="Segoe UI" w:hAnsi="Segoe UI" w:cs="Segoe UI"/>
          <w:bCs/>
          <w:sz w:val="22"/>
          <w:szCs w:val="22"/>
          <w:lang w:val="hu-HU"/>
        </w:rPr>
        <w:t xml:space="preserve">Ezen túlmenően a Henkel tovább erősítette a </w:t>
      </w:r>
      <w:r w:rsidRPr="00DF54E7">
        <w:rPr>
          <w:rFonts w:ascii="Segoe UI" w:hAnsi="Segoe UI" w:cs="Segoe UI"/>
          <w:b/>
          <w:bCs/>
          <w:sz w:val="22"/>
          <w:szCs w:val="22"/>
          <w:lang w:val="hu-HU"/>
        </w:rPr>
        <w:t>fenntarthatóságot</w:t>
      </w:r>
      <w:r w:rsidRPr="00DF54E7">
        <w:rPr>
          <w:rFonts w:ascii="Segoe UI" w:hAnsi="Segoe UI" w:cs="Segoe UI"/>
          <w:bCs/>
          <w:sz w:val="22"/>
          <w:szCs w:val="22"/>
          <w:lang w:val="hu-HU"/>
        </w:rPr>
        <w:t xml:space="preserve"> az üzlet</w:t>
      </w:r>
      <w:r w:rsidR="000208B5">
        <w:rPr>
          <w:rFonts w:ascii="Segoe UI" w:hAnsi="Segoe UI" w:cs="Segoe UI"/>
          <w:bCs/>
          <w:sz w:val="22"/>
          <w:szCs w:val="22"/>
          <w:lang w:val="hu-HU"/>
        </w:rPr>
        <w:t>ágban</w:t>
      </w:r>
      <w:r w:rsidRPr="00DF54E7">
        <w:rPr>
          <w:rFonts w:ascii="Segoe UI" w:hAnsi="Segoe UI" w:cs="Segoe UI"/>
          <w:bCs/>
          <w:sz w:val="22"/>
          <w:szCs w:val="22"/>
          <w:lang w:val="hu-HU"/>
        </w:rPr>
        <w:t>, és fokozta elkötelezettségét</w:t>
      </w:r>
      <w:r w:rsidR="003843D5">
        <w:rPr>
          <w:rFonts w:ascii="Segoe UI" w:hAnsi="Segoe UI" w:cs="Segoe UI"/>
          <w:bCs/>
          <w:sz w:val="22"/>
          <w:szCs w:val="22"/>
          <w:lang w:val="hu-HU"/>
        </w:rPr>
        <w:t xml:space="preserve"> ezen a területen</w:t>
      </w:r>
      <w:r w:rsidRPr="00DF54E7">
        <w:rPr>
          <w:rFonts w:ascii="Segoe UI" w:hAnsi="Segoe UI" w:cs="Segoe UI"/>
          <w:bCs/>
          <w:sz w:val="22"/>
          <w:szCs w:val="22"/>
          <w:lang w:val="hu-HU"/>
        </w:rPr>
        <w:t>. Ennek érdekében a Henkel kidolgozott egy nettó zéró kibocsátási ütemtervet, amely kiterje</w:t>
      </w:r>
      <w:r w:rsidR="003609F8">
        <w:rPr>
          <w:rFonts w:ascii="Segoe UI" w:hAnsi="Segoe UI" w:cs="Segoe UI"/>
          <w:bCs/>
          <w:sz w:val="22"/>
          <w:szCs w:val="22"/>
          <w:lang w:val="hu-HU"/>
        </w:rPr>
        <w:t>sztett</w:t>
      </w:r>
      <w:r w:rsidRPr="00DF54E7">
        <w:rPr>
          <w:rFonts w:ascii="Segoe UI" w:hAnsi="Segoe UI" w:cs="Segoe UI"/>
          <w:bCs/>
          <w:sz w:val="22"/>
          <w:szCs w:val="22"/>
          <w:lang w:val="hu-HU"/>
        </w:rPr>
        <w:t xml:space="preserve"> célokat tartalmaz a kibocsátás csökkentésére a teljes értékláncban. A vállalat célja, hogy kötelezően hozzájáruljon a globális felmelegedés 1,5 °C-ra való korlátozásához, ahogyan arról a párizsi </w:t>
      </w:r>
      <w:r w:rsidR="003C54ED">
        <w:rPr>
          <w:rFonts w:ascii="Segoe UI" w:hAnsi="Segoe UI" w:cs="Segoe UI"/>
          <w:bCs/>
          <w:sz w:val="22"/>
          <w:szCs w:val="22"/>
          <w:lang w:val="hu-HU"/>
        </w:rPr>
        <w:t>klíma</w:t>
      </w:r>
      <w:r w:rsidRPr="00DF54E7">
        <w:rPr>
          <w:rFonts w:ascii="Segoe UI" w:hAnsi="Segoe UI" w:cs="Segoe UI"/>
          <w:bCs/>
          <w:sz w:val="22"/>
          <w:szCs w:val="22"/>
          <w:lang w:val="hu-HU"/>
        </w:rPr>
        <w:t xml:space="preserve">védelmi egyezményben megállapodtak. </w:t>
      </w:r>
      <w:r w:rsidR="002D4072">
        <w:rPr>
          <w:rFonts w:ascii="Segoe UI" w:hAnsi="Segoe UI" w:cs="Segoe UI"/>
          <w:bCs/>
          <w:sz w:val="22"/>
          <w:szCs w:val="22"/>
          <w:lang w:val="hu-HU"/>
        </w:rPr>
        <w:br/>
      </w:r>
      <w:r w:rsidRPr="00DF54E7">
        <w:rPr>
          <w:rFonts w:ascii="Segoe UI" w:hAnsi="Segoe UI" w:cs="Segoe UI"/>
          <w:bCs/>
          <w:sz w:val="22"/>
          <w:szCs w:val="22"/>
          <w:lang w:val="hu-HU"/>
        </w:rPr>
        <w:t xml:space="preserve">A Henkel ütemterve, amelyet a Science </w:t>
      </w:r>
      <w:proofErr w:type="spellStart"/>
      <w:r w:rsidRPr="00DF54E7">
        <w:rPr>
          <w:rFonts w:ascii="Segoe UI" w:hAnsi="Segoe UI" w:cs="Segoe UI"/>
          <w:bCs/>
          <w:sz w:val="22"/>
          <w:szCs w:val="22"/>
          <w:lang w:val="hu-HU"/>
        </w:rPr>
        <w:t>Based</w:t>
      </w:r>
      <w:proofErr w:type="spellEnd"/>
      <w:r w:rsidRPr="00DF54E7">
        <w:rPr>
          <w:rFonts w:ascii="Segoe UI" w:hAnsi="Segoe UI" w:cs="Segoe UI"/>
          <w:bCs/>
          <w:sz w:val="22"/>
          <w:szCs w:val="22"/>
          <w:lang w:val="hu-HU"/>
        </w:rPr>
        <w:t xml:space="preserve"> </w:t>
      </w:r>
      <w:proofErr w:type="spellStart"/>
      <w:r w:rsidRPr="00DF54E7">
        <w:rPr>
          <w:rFonts w:ascii="Segoe UI" w:hAnsi="Segoe UI" w:cs="Segoe UI"/>
          <w:bCs/>
          <w:sz w:val="22"/>
          <w:szCs w:val="22"/>
          <w:lang w:val="hu-HU"/>
        </w:rPr>
        <w:t>Targets</w:t>
      </w:r>
      <w:proofErr w:type="spellEnd"/>
      <w:r w:rsidRPr="00DF54E7">
        <w:rPr>
          <w:rFonts w:ascii="Segoe UI" w:hAnsi="Segoe UI" w:cs="Segoe UI"/>
          <w:bCs/>
          <w:sz w:val="22"/>
          <w:szCs w:val="22"/>
          <w:lang w:val="hu-HU"/>
        </w:rPr>
        <w:t xml:space="preserve"> kezdeményezés is jóváhagyott, felvázolja, hogy mit tesz a vállalat annak érdekében, hogy 2045-re elérje a nettó zéró üvegházhatású gázkibocsátást. Ez a teljes értéklánc mentén intézkedések széles körét foglalja magában. </w:t>
      </w:r>
      <w:r w:rsidR="002D4072">
        <w:rPr>
          <w:rFonts w:ascii="Segoe UI" w:hAnsi="Segoe UI" w:cs="Segoe UI"/>
          <w:bCs/>
          <w:sz w:val="22"/>
          <w:szCs w:val="22"/>
          <w:lang w:val="hu-HU"/>
        </w:rPr>
        <w:br/>
      </w:r>
      <w:r w:rsidRPr="00DF54E7">
        <w:rPr>
          <w:rFonts w:ascii="Segoe UI" w:hAnsi="Segoe UI" w:cs="Segoe UI"/>
          <w:bCs/>
          <w:sz w:val="22"/>
          <w:szCs w:val="22"/>
          <w:lang w:val="hu-HU"/>
        </w:rPr>
        <w:t>A Henkel lett továbbá az első DAX indexben jegyzett vállalat, amely világszerte bevezette a nemek közötti semleges szülői szabadságot - teljes</w:t>
      </w:r>
      <w:r w:rsidRPr="007D0042">
        <w:rPr>
          <w:rFonts w:ascii="Segoe UI" w:hAnsi="Segoe UI" w:cs="Segoe UI"/>
          <w:bCs/>
          <w:sz w:val="22"/>
          <w:szCs w:val="22"/>
          <w:lang w:val="hu-HU"/>
        </w:rPr>
        <w:t xml:space="preserve"> bérkompenzáció</w:t>
      </w:r>
      <w:r w:rsidR="007D0042">
        <w:rPr>
          <w:rFonts w:ascii="Segoe UI" w:hAnsi="Segoe UI" w:cs="Segoe UI"/>
          <w:bCs/>
          <w:sz w:val="22"/>
          <w:szCs w:val="22"/>
          <w:lang w:val="hu-HU"/>
        </w:rPr>
        <w:t>val</w:t>
      </w:r>
      <w:r w:rsidRPr="007D0042">
        <w:rPr>
          <w:rFonts w:ascii="Segoe UI" w:hAnsi="Segoe UI" w:cs="Segoe UI"/>
          <w:bCs/>
          <w:sz w:val="22"/>
          <w:szCs w:val="22"/>
          <w:lang w:val="hu-HU"/>
        </w:rPr>
        <w:t xml:space="preserve">. </w:t>
      </w:r>
      <w:r w:rsidR="00D20169" w:rsidRPr="00D20169">
        <w:rPr>
          <w:rFonts w:ascii="Segoe UI" w:hAnsi="Segoe UI" w:cs="Segoe UI"/>
          <w:bCs/>
          <w:sz w:val="22"/>
          <w:szCs w:val="22"/>
          <w:lang w:val="hu-HU"/>
        </w:rPr>
        <w:t>Ez a lépés rendkívül pozitív reakciókat váltott ki mind az alkalmazottak, mind a nyilvánosság részéről.</w:t>
      </w:r>
    </w:p>
    <w:p w14:paraId="43FB1917" w14:textId="77777777" w:rsidR="002E635B" w:rsidRPr="00D20169" w:rsidRDefault="002E635B" w:rsidP="002E635B">
      <w:pPr>
        <w:rPr>
          <w:rFonts w:cs="Segoe UI"/>
          <w:bCs/>
          <w:szCs w:val="22"/>
          <w:lang w:val="hu-HU"/>
        </w:rPr>
      </w:pPr>
    </w:p>
    <w:p w14:paraId="12FE5642" w14:textId="3C744EC4" w:rsidR="002E635B" w:rsidRPr="00D20169" w:rsidRDefault="002E635B" w:rsidP="00D20169">
      <w:pPr>
        <w:spacing w:line="276" w:lineRule="auto"/>
        <w:jc w:val="both"/>
        <w:rPr>
          <w:rFonts w:ascii="Segoe UI" w:hAnsi="Segoe UI" w:cs="Segoe UI"/>
          <w:bCs/>
          <w:sz w:val="22"/>
          <w:szCs w:val="22"/>
          <w:lang w:val="hu-HU"/>
        </w:rPr>
      </w:pPr>
      <w:r w:rsidRPr="00D20169">
        <w:rPr>
          <w:rFonts w:ascii="Segoe UI" w:hAnsi="Segoe UI" w:cs="Segoe UI"/>
          <w:bCs/>
          <w:sz w:val="22"/>
          <w:szCs w:val="22"/>
          <w:lang w:val="hu-HU"/>
        </w:rPr>
        <w:t xml:space="preserve">A Henkel a </w:t>
      </w:r>
      <w:r w:rsidRPr="00D20169">
        <w:rPr>
          <w:rFonts w:ascii="Segoe UI" w:hAnsi="Segoe UI" w:cs="Segoe UI"/>
          <w:b/>
          <w:sz w:val="22"/>
          <w:szCs w:val="22"/>
          <w:lang w:val="hu-HU"/>
        </w:rPr>
        <w:t>digitalizáció</w:t>
      </w:r>
      <w:r w:rsidRPr="00D20169">
        <w:rPr>
          <w:rFonts w:ascii="Segoe UI" w:hAnsi="Segoe UI" w:cs="Segoe UI"/>
          <w:bCs/>
          <w:sz w:val="22"/>
          <w:szCs w:val="22"/>
          <w:lang w:val="hu-HU"/>
        </w:rPr>
        <w:t xml:space="preserve"> területén is további előrelépést </w:t>
      </w:r>
      <w:r w:rsidR="002D4072">
        <w:rPr>
          <w:rFonts w:ascii="Segoe UI" w:hAnsi="Segoe UI" w:cs="Segoe UI"/>
          <w:bCs/>
          <w:sz w:val="22"/>
          <w:szCs w:val="22"/>
          <w:lang w:val="hu-HU"/>
        </w:rPr>
        <w:t>tett</w:t>
      </w:r>
      <w:r w:rsidRPr="00D20169">
        <w:rPr>
          <w:rFonts w:ascii="Segoe UI" w:hAnsi="Segoe UI" w:cs="Segoe UI"/>
          <w:bCs/>
          <w:sz w:val="22"/>
          <w:szCs w:val="22"/>
          <w:lang w:val="hu-HU"/>
        </w:rPr>
        <w:t xml:space="preserve">. 2024-ben a mesterséges intelligencia (AI) gyors fejlődése volt az egyik fő téma. A Henkelnél az AI már évek óta szerves részét képezi digitális stratégiánknak. Az </w:t>
      </w:r>
      <w:r w:rsidR="00F627E3" w:rsidRPr="00F627E3">
        <w:rPr>
          <w:rFonts w:ascii="Segoe UI" w:hAnsi="Segoe UI" w:cs="Segoe UI"/>
          <w:bCs/>
          <w:sz w:val="22"/>
          <w:szCs w:val="22"/>
          <w:lang w:val="hu-HU"/>
        </w:rPr>
        <w:t>mesterséges intelligenciát</w:t>
      </w:r>
      <w:r w:rsidR="00F627E3">
        <w:rPr>
          <w:rFonts w:ascii="Segoe UI" w:hAnsi="Segoe UI" w:cs="Segoe UI"/>
          <w:bCs/>
          <w:sz w:val="22"/>
          <w:szCs w:val="22"/>
          <w:lang w:val="hu-HU"/>
        </w:rPr>
        <w:t xml:space="preserve"> </w:t>
      </w:r>
      <w:r w:rsidRPr="00D20169">
        <w:rPr>
          <w:rFonts w:ascii="Segoe UI" w:hAnsi="Segoe UI" w:cs="Segoe UI"/>
          <w:bCs/>
          <w:sz w:val="22"/>
          <w:szCs w:val="22"/>
          <w:lang w:val="hu-HU"/>
        </w:rPr>
        <w:t xml:space="preserve">például a folyamatautomatizálásban, a ragasztóanyag-fejlesztési laboratóriumban, a virtuálisan összekapcsolt globális gyárakban, </w:t>
      </w:r>
      <w:r w:rsidR="00BE1489">
        <w:rPr>
          <w:rFonts w:ascii="Segoe UI" w:hAnsi="Segoe UI" w:cs="Segoe UI"/>
          <w:bCs/>
          <w:sz w:val="22"/>
          <w:szCs w:val="22"/>
          <w:lang w:val="hu-HU"/>
        </w:rPr>
        <w:t>a</w:t>
      </w:r>
      <w:r w:rsidR="00BE1489" w:rsidRPr="00BE1489">
        <w:rPr>
          <w:rFonts w:ascii="Segoe UI" w:hAnsi="Segoe UI" w:cs="Segoe UI"/>
          <w:bCs/>
          <w:sz w:val="22"/>
          <w:szCs w:val="22"/>
          <w:lang w:val="hu-HU"/>
        </w:rPr>
        <w:t>z autonóm robotokban a gyártólétesítményekben</w:t>
      </w:r>
      <w:r w:rsidR="00BE1489">
        <w:rPr>
          <w:rFonts w:ascii="Segoe UI" w:hAnsi="Segoe UI" w:cs="Segoe UI"/>
          <w:bCs/>
          <w:sz w:val="22"/>
          <w:szCs w:val="22"/>
          <w:lang w:val="hu-HU"/>
        </w:rPr>
        <w:t xml:space="preserve"> </w:t>
      </w:r>
      <w:r w:rsidRPr="00D20169">
        <w:rPr>
          <w:rFonts w:ascii="Segoe UI" w:hAnsi="Segoe UI" w:cs="Segoe UI"/>
          <w:bCs/>
          <w:sz w:val="22"/>
          <w:szCs w:val="22"/>
          <w:lang w:val="hu-HU"/>
        </w:rPr>
        <w:t xml:space="preserve">és a Henkel márkák weboldalain </w:t>
      </w:r>
      <w:r w:rsidR="007D122F">
        <w:rPr>
          <w:rFonts w:ascii="Segoe UI" w:hAnsi="Segoe UI" w:cs="Segoe UI"/>
          <w:bCs/>
          <w:sz w:val="22"/>
          <w:szCs w:val="22"/>
          <w:lang w:val="hu-HU"/>
        </w:rPr>
        <w:t xml:space="preserve">található </w:t>
      </w:r>
      <w:r w:rsidRPr="00D20169">
        <w:rPr>
          <w:rFonts w:ascii="Segoe UI" w:hAnsi="Segoe UI" w:cs="Segoe UI"/>
          <w:bCs/>
          <w:sz w:val="22"/>
          <w:szCs w:val="22"/>
          <w:lang w:val="hu-HU"/>
        </w:rPr>
        <w:t>chatbotok használatában egyaránt alkalmazzák. 2024-ben a</w:t>
      </w:r>
      <w:r w:rsidR="00704C79" w:rsidRPr="00D20169">
        <w:rPr>
          <w:rFonts w:ascii="Segoe UI" w:hAnsi="Segoe UI" w:cs="Segoe UI"/>
          <w:bCs/>
          <w:sz w:val="22"/>
          <w:szCs w:val="22"/>
          <w:lang w:val="hu-HU"/>
        </w:rPr>
        <w:t xml:space="preserve"> Henkel dx </w:t>
      </w:r>
      <w:r w:rsidRPr="00D20169">
        <w:rPr>
          <w:rFonts w:ascii="Segoe UI" w:hAnsi="Segoe UI" w:cs="Segoe UI"/>
          <w:bCs/>
          <w:sz w:val="22"/>
          <w:szCs w:val="22"/>
          <w:lang w:val="hu-HU"/>
        </w:rPr>
        <w:t>digitális egység, tovább optimalizálta belső struktúráit, megerősítette digitális szakértelmét, és elősegítette a nyílt innováció kultúráját. Emellett a Henkel profitál a vezető globális digitális vállalatokkal, például az SAP-</w:t>
      </w:r>
      <w:proofErr w:type="spellStart"/>
      <w:r w:rsidRPr="00D20169">
        <w:rPr>
          <w:rFonts w:ascii="Segoe UI" w:hAnsi="Segoe UI" w:cs="Segoe UI"/>
          <w:bCs/>
          <w:sz w:val="22"/>
          <w:szCs w:val="22"/>
          <w:lang w:val="hu-HU"/>
        </w:rPr>
        <w:t>val</w:t>
      </w:r>
      <w:proofErr w:type="spellEnd"/>
      <w:r w:rsidRPr="00D20169">
        <w:rPr>
          <w:rFonts w:ascii="Segoe UI" w:hAnsi="Segoe UI" w:cs="Segoe UI"/>
          <w:bCs/>
          <w:sz w:val="22"/>
          <w:szCs w:val="22"/>
          <w:lang w:val="hu-HU"/>
        </w:rPr>
        <w:t xml:space="preserve">, a Microsofttal és az Adobe-val </w:t>
      </w:r>
      <w:r w:rsidR="00680B48">
        <w:rPr>
          <w:rFonts w:ascii="Segoe UI" w:hAnsi="Segoe UI" w:cs="Segoe UI"/>
          <w:bCs/>
          <w:sz w:val="22"/>
          <w:szCs w:val="22"/>
          <w:lang w:val="hu-HU"/>
        </w:rPr>
        <w:t xml:space="preserve">való </w:t>
      </w:r>
      <w:r w:rsidRPr="00D20169">
        <w:rPr>
          <w:rFonts w:ascii="Segoe UI" w:hAnsi="Segoe UI" w:cs="Segoe UI"/>
          <w:bCs/>
          <w:sz w:val="22"/>
          <w:szCs w:val="22"/>
          <w:lang w:val="hu-HU"/>
        </w:rPr>
        <w:t xml:space="preserve">stratégiai partnerségekből. Ezek az együttműködések lehetővé teszik a Henkel számára, hogy csúcstechnológiákat integráljon digitális platformjaiba és projektjeibe. A digitális innovációk felgyorsításával, a platformstratégia finomításával, valamint az összes üzletág és funkcionális terület közötti </w:t>
      </w:r>
      <w:r w:rsidR="00AA41A9" w:rsidRPr="00AA41A9">
        <w:rPr>
          <w:rFonts w:ascii="Segoe UI" w:hAnsi="Segoe UI" w:cs="Segoe UI"/>
          <w:bCs/>
          <w:sz w:val="22"/>
          <w:szCs w:val="22"/>
          <w:lang w:val="hu-HU"/>
        </w:rPr>
        <w:t>funkciókon átívelő</w:t>
      </w:r>
      <w:r w:rsidR="00AA41A9">
        <w:rPr>
          <w:rFonts w:ascii="Segoe UI" w:hAnsi="Segoe UI" w:cs="Segoe UI"/>
          <w:bCs/>
          <w:sz w:val="22"/>
          <w:szCs w:val="22"/>
          <w:lang w:val="hu-HU"/>
        </w:rPr>
        <w:t xml:space="preserve"> </w:t>
      </w:r>
      <w:r w:rsidRPr="00D20169">
        <w:rPr>
          <w:rFonts w:ascii="Segoe UI" w:hAnsi="Segoe UI" w:cs="Segoe UI"/>
          <w:bCs/>
          <w:sz w:val="22"/>
          <w:szCs w:val="22"/>
          <w:lang w:val="hu-HU"/>
        </w:rPr>
        <w:t>együttműködés fokozásával a Henkel jelentősen javította informatikai hatékonyságát.</w:t>
      </w:r>
    </w:p>
    <w:p w14:paraId="423FDFB8" w14:textId="77777777" w:rsidR="002E635B" w:rsidRPr="00D20169" w:rsidRDefault="002E635B" w:rsidP="002E635B">
      <w:pPr>
        <w:rPr>
          <w:rFonts w:ascii="Segoe UI" w:hAnsi="Segoe UI" w:cs="Segoe UI"/>
          <w:bCs/>
          <w:sz w:val="22"/>
          <w:szCs w:val="22"/>
          <w:lang w:val="hu-HU"/>
        </w:rPr>
      </w:pPr>
    </w:p>
    <w:p w14:paraId="27766319" w14:textId="7A450749" w:rsidR="002E635B" w:rsidRDefault="002E635B" w:rsidP="00AA41A9">
      <w:pPr>
        <w:spacing w:line="276" w:lineRule="auto"/>
        <w:jc w:val="both"/>
        <w:rPr>
          <w:rFonts w:ascii="Segoe UI" w:hAnsi="Segoe UI" w:cs="Segoe UI"/>
          <w:bCs/>
          <w:sz w:val="22"/>
          <w:szCs w:val="22"/>
          <w:lang w:val="hu-HU"/>
        </w:rPr>
      </w:pPr>
      <w:r w:rsidRPr="00AA41A9">
        <w:rPr>
          <w:rFonts w:ascii="Segoe UI" w:hAnsi="Segoe UI" w:cs="Segoe UI"/>
          <w:bCs/>
          <w:sz w:val="22"/>
          <w:szCs w:val="22"/>
          <w:lang w:val="hu-HU"/>
        </w:rPr>
        <w:t>Hosszú távú növekedési stratégiájának részeként a Henkel folyamatosan összehangolja üzletágait a dinamikus piacok követelményeivel és a változó vevői elvárások</w:t>
      </w:r>
      <w:r w:rsidR="00E365C9">
        <w:rPr>
          <w:rFonts w:ascii="Segoe UI" w:hAnsi="Segoe UI" w:cs="Segoe UI"/>
          <w:bCs/>
          <w:sz w:val="22"/>
          <w:szCs w:val="22"/>
          <w:lang w:val="hu-HU"/>
        </w:rPr>
        <w:t>k</w:t>
      </w:r>
      <w:r w:rsidRPr="00AA41A9">
        <w:rPr>
          <w:rFonts w:ascii="Segoe UI" w:hAnsi="Segoe UI" w:cs="Segoe UI"/>
          <w:bCs/>
          <w:sz w:val="22"/>
          <w:szCs w:val="22"/>
          <w:lang w:val="hu-HU"/>
        </w:rPr>
        <w:t>al</w:t>
      </w:r>
      <w:r w:rsidR="007476FA">
        <w:rPr>
          <w:rFonts w:ascii="Segoe UI" w:hAnsi="Segoe UI" w:cs="Segoe UI"/>
          <w:bCs/>
          <w:sz w:val="22"/>
          <w:szCs w:val="22"/>
          <w:lang w:val="hu-HU"/>
        </w:rPr>
        <w:t xml:space="preserve"> annak érdekében, </w:t>
      </w:r>
      <w:r w:rsidRPr="00AA41A9">
        <w:rPr>
          <w:rFonts w:ascii="Segoe UI" w:hAnsi="Segoe UI" w:cs="Segoe UI"/>
          <w:bCs/>
          <w:sz w:val="22"/>
          <w:szCs w:val="22"/>
          <w:lang w:val="hu-HU"/>
        </w:rPr>
        <w:t xml:space="preserve">hogy </w:t>
      </w:r>
      <w:r w:rsidR="00487F6C" w:rsidRPr="00AA41A9">
        <w:rPr>
          <w:rFonts w:ascii="Segoe UI" w:hAnsi="Segoe UI" w:cs="Segoe UI"/>
          <w:bCs/>
          <w:sz w:val="22"/>
          <w:szCs w:val="22"/>
          <w:lang w:val="hu-HU"/>
        </w:rPr>
        <w:t>hosszú távú sikereket érjen el</w:t>
      </w:r>
      <w:r w:rsidR="00487F6C" w:rsidRPr="007476FA">
        <w:rPr>
          <w:rFonts w:ascii="Segoe UI" w:hAnsi="Segoe UI" w:cs="Segoe UI"/>
          <w:b/>
          <w:sz w:val="22"/>
          <w:szCs w:val="22"/>
          <w:lang w:val="hu-HU"/>
        </w:rPr>
        <w:t xml:space="preserve"> </w:t>
      </w:r>
      <w:r w:rsidRPr="007476FA">
        <w:rPr>
          <w:rFonts w:ascii="Segoe UI" w:hAnsi="Segoe UI" w:cs="Segoe UI"/>
          <w:b/>
          <w:sz w:val="22"/>
          <w:szCs w:val="22"/>
          <w:lang w:val="hu-HU"/>
        </w:rPr>
        <w:t>a jövőálló működési modellekkel</w:t>
      </w:r>
      <w:r w:rsidRPr="00AA41A9">
        <w:rPr>
          <w:rFonts w:ascii="Segoe UI" w:hAnsi="Segoe UI" w:cs="Segoe UI"/>
          <w:bCs/>
          <w:sz w:val="22"/>
          <w:szCs w:val="22"/>
          <w:lang w:val="hu-HU"/>
        </w:rPr>
        <w:t xml:space="preserve">. Ez magában foglalja az üzleti folyamatok folyamatos fejlesztését is az egész vállalatban. </w:t>
      </w:r>
    </w:p>
    <w:p w14:paraId="18698B91" w14:textId="77777777" w:rsidR="00676523" w:rsidRPr="00AA41A9" w:rsidRDefault="00676523" w:rsidP="00AA41A9">
      <w:pPr>
        <w:spacing w:line="276" w:lineRule="auto"/>
        <w:jc w:val="both"/>
        <w:rPr>
          <w:rFonts w:ascii="Segoe UI" w:hAnsi="Segoe UI" w:cs="Segoe UI"/>
          <w:bCs/>
          <w:sz w:val="22"/>
          <w:szCs w:val="22"/>
          <w:lang w:val="hu-HU"/>
        </w:rPr>
      </w:pPr>
    </w:p>
    <w:p w14:paraId="03C473FA" w14:textId="44C3C874" w:rsidR="002E635B" w:rsidRPr="00676523" w:rsidRDefault="002E635B" w:rsidP="00C01DE3">
      <w:pPr>
        <w:spacing w:line="276" w:lineRule="auto"/>
        <w:jc w:val="both"/>
        <w:rPr>
          <w:rFonts w:ascii="Segoe UI" w:hAnsi="Segoe UI" w:cs="Segoe UI"/>
          <w:bCs/>
          <w:sz w:val="22"/>
          <w:szCs w:val="22"/>
          <w:lang w:val="hu-HU"/>
        </w:rPr>
      </w:pPr>
      <w:r w:rsidRPr="00676523">
        <w:rPr>
          <w:rFonts w:ascii="Segoe UI" w:hAnsi="Segoe UI" w:cs="Segoe UI"/>
          <w:bCs/>
          <w:sz w:val="22"/>
          <w:szCs w:val="22"/>
          <w:lang w:val="hu-HU"/>
        </w:rPr>
        <w:t xml:space="preserve">Ennek egyik példája egy globális technológiai központ létrehozása az indiai </w:t>
      </w:r>
      <w:proofErr w:type="spellStart"/>
      <w:r w:rsidRPr="00676523">
        <w:rPr>
          <w:rFonts w:ascii="Segoe UI" w:hAnsi="Segoe UI" w:cs="Segoe UI"/>
          <w:bCs/>
          <w:sz w:val="22"/>
          <w:szCs w:val="22"/>
          <w:lang w:val="hu-HU"/>
        </w:rPr>
        <w:t>Bangalore</w:t>
      </w:r>
      <w:proofErr w:type="spellEnd"/>
      <w:r w:rsidRPr="00676523">
        <w:rPr>
          <w:rFonts w:ascii="Segoe UI" w:hAnsi="Segoe UI" w:cs="Segoe UI"/>
          <w:bCs/>
          <w:sz w:val="22"/>
          <w:szCs w:val="22"/>
          <w:lang w:val="hu-HU"/>
        </w:rPr>
        <w:t>-ban, ahol már több mint 500 IT-szakértő dolgozik egy teljesen integrált belső digitális központ létrehozásán. Ezzel a Henkel növeli költséghatékonyságát és fejleszti belső szakértelmét. A technológiai központ további bővítését az elkövetkező években</w:t>
      </w:r>
      <w:r w:rsidR="002B6A1D" w:rsidRPr="002B6A1D">
        <w:rPr>
          <w:rFonts w:ascii="Segoe UI" w:hAnsi="Segoe UI" w:cs="Segoe UI"/>
          <w:bCs/>
          <w:sz w:val="22"/>
          <w:szCs w:val="22"/>
          <w:lang w:val="hu-HU"/>
        </w:rPr>
        <w:t xml:space="preserve"> </w:t>
      </w:r>
      <w:r w:rsidR="002B6A1D" w:rsidRPr="00676523">
        <w:rPr>
          <w:rFonts w:ascii="Segoe UI" w:hAnsi="Segoe UI" w:cs="Segoe UI"/>
          <w:bCs/>
          <w:sz w:val="22"/>
          <w:szCs w:val="22"/>
          <w:lang w:val="hu-HU"/>
        </w:rPr>
        <w:t>tervezik</w:t>
      </w:r>
      <w:r w:rsidRPr="00676523">
        <w:rPr>
          <w:rFonts w:ascii="Segoe UI" w:hAnsi="Segoe UI" w:cs="Segoe UI"/>
          <w:bCs/>
          <w:sz w:val="22"/>
          <w:szCs w:val="22"/>
          <w:lang w:val="hu-HU"/>
        </w:rPr>
        <w:t xml:space="preserve">. A Henkel egy tető alá vonta kockázati tevékenységeit is. Az S/4Hana-ra való áttérés alkalmával a 2025 és 2028 közötti években a Henkel azt is értékelni fogja, hogy miként teheti struktúráit és folyamatait agilisabbá és rugalmasabbá. Ebben az összefüggésben például </w:t>
      </w:r>
      <w:r w:rsidR="00E56A31" w:rsidRPr="00E56A31">
        <w:rPr>
          <w:rFonts w:ascii="Segoe UI" w:hAnsi="Segoe UI" w:cs="Segoe UI"/>
          <w:bCs/>
          <w:sz w:val="22"/>
          <w:szCs w:val="22"/>
          <w:lang w:val="hu-HU"/>
        </w:rPr>
        <w:t>fontolóra veszik</w:t>
      </w:r>
      <w:r w:rsidRPr="00676523">
        <w:rPr>
          <w:rFonts w:ascii="Segoe UI" w:hAnsi="Segoe UI" w:cs="Segoe UI"/>
          <w:bCs/>
          <w:sz w:val="22"/>
          <w:szCs w:val="22"/>
          <w:lang w:val="hu-HU"/>
        </w:rPr>
        <w:t xml:space="preserve"> a két meglévő üzletág </w:t>
      </w:r>
      <w:r w:rsidRPr="00676523">
        <w:rPr>
          <w:rFonts w:ascii="Segoe UI" w:hAnsi="Segoe UI" w:cs="Segoe UI"/>
          <w:bCs/>
          <w:sz w:val="22"/>
          <w:szCs w:val="22"/>
          <w:lang w:val="hu-HU"/>
        </w:rPr>
        <w:lastRenderedPageBreak/>
        <w:t>külön jogi személy</w:t>
      </w:r>
      <w:r w:rsidR="009C2045">
        <w:rPr>
          <w:rFonts w:ascii="Segoe UI" w:hAnsi="Segoe UI" w:cs="Segoe UI"/>
          <w:bCs/>
          <w:sz w:val="22"/>
          <w:szCs w:val="22"/>
          <w:lang w:val="hu-HU"/>
        </w:rPr>
        <w:t>iségének létreho</w:t>
      </w:r>
      <w:r w:rsidRPr="00676523">
        <w:rPr>
          <w:rFonts w:ascii="Segoe UI" w:hAnsi="Segoe UI" w:cs="Segoe UI"/>
          <w:bCs/>
          <w:sz w:val="22"/>
          <w:szCs w:val="22"/>
          <w:lang w:val="hu-HU"/>
        </w:rPr>
        <w:t>z</w:t>
      </w:r>
      <w:r w:rsidR="009C2045">
        <w:rPr>
          <w:rFonts w:ascii="Segoe UI" w:hAnsi="Segoe UI" w:cs="Segoe UI"/>
          <w:bCs/>
          <w:sz w:val="22"/>
          <w:szCs w:val="22"/>
          <w:lang w:val="hu-HU"/>
        </w:rPr>
        <w:t>ását</w:t>
      </w:r>
      <w:r w:rsidRPr="00676523">
        <w:rPr>
          <w:rFonts w:ascii="Segoe UI" w:hAnsi="Segoe UI" w:cs="Segoe UI"/>
          <w:bCs/>
          <w:sz w:val="22"/>
          <w:szCs w:val="22"/>
          <w:lang w:val="hu-HU"/>
        </w:rPr>
        <w:t xml:space="preserve">, kezdve Németországgal, majd lépésről lépésre – ahol lehetséges </w:t>
      </w:r>
      <w:r w:rsidR="0031206E" w:rsidRPr="00676523">
        <w:rPr>
          <w:rFonts w:ascii="Segoe UI" w:hAnsi="Segoe UI" w:cs="Segoe UI"/>
          <w:bCs/>
          <w:sz w:val="22"/>
          <w:szCs w:val="22"/>
          <w:lang w:val="hu-HU"/>
        </w:rPr>
        <w:t>–</w:t>
      </w:r>
      <w:r w:rsidR="0031206E">
        <w:rPr>
          <w:rFonts w:ascii="Segoe UI" w:hAnsi="Segoe UI" w:cs="Segoe UI"/>
          <w:bCs/>
          <w:sz w:val="22"/>
          <w:szCs w:val="22"/>
          <w:lang w:val="hu-HU"/>
        </w:rPr>
        <w:t xml:space="preserve"> </w:t>
      </w:r>
      <w:r w:rsidRPr="00676523">
        <w:rPr>
          <w:rFonts w:ascii="Segoe UI" w:hAnsi="Segoe UI" w:cs="Segoe UI"/>
          <w:bCs/>
          <w:sz w:val="22"/>
          <w:szCs w:val="22"/>
          <w:lang w:val="hu-HU"/>
        </w:rPr>
        <w:t>a kiválasztott nagy országokban. A csoport és az üzletágak stratégiai és operatív irányítása változatlan marad. Ennek célja, hogy támogassa mind az üzletágak jövőbeni igényeit, mind a Henkel növekedési menetrendjét.</w:t>
      </w:r>
    </w:p>
    <w:p w14:paraId="22A1F2A6" w14:textId="77777777" w:rsidR="002E635B" w:rsidRPr="00676523" w:rsidRDefault="002E635B" w:rsidP="00C01DE3">
      <w:pPr>
        <w:spacing w:line="276" w:lineRule="auto"/>
        <w:jc w:val="both"/>
        <w:rPr>
          <w:rFonts w:ascii="Segoe UI" w:hAnsi="Segoe UI" w:cs="Segoe UI"/>
          <w:bCs/>
          <w:sz w:val="22"/>
          <w:szCs w:val="22"/>
          <w:lang w:val="hu-HU"/>
        </w:rPr>
      </w:pPr>
    </w:p>
    <w:p w14:paraId="39E67FF4" w14:textId="5CF12E94" w:rsidR="002E635B" w:rsidRPr="00676523" w:rsidRDefault="002E635B" w:rsidP="00C01DE3">
      <w:pPr>
        <w:spacing w:line="276" w:lineRule="auto"/>
        <w:jc w:val="both"/>
        <w:rPr>
          <w:rFonts w:ascii="Segoe UI" w:hAnsi="Segoe UI" w:cs="Segoe UI"/>
          <w:sz w:val="22"/>
          <w:szCs w:val="22"/>
          <w:lang w:val="hu-HU" w:eastAsia="de-DE"/>
        </w:rPr>
      </w:pPr>
      <w:r w:rsidRPr="00676523">
        <w:rPr>
          <w:rFonts w:ascii="Segoe UI" w:hAnsi="Segoe UI" w:cs="Segoe UI"/>
          <w:sz w:val="22"/>
          <w:szCs w:val="22"/>
          <w:lang w:val="hu-HU" w:eastAsia="de-DE"/>
        </w:rPr>
        <w:t xml:space="preserve">A Henkel az elmúlt évben tovább erősítette </w:t>
      </w:r>
      <w:r w:rsidRPr="00676523">
        <w:rPr>
          <w:rFonts w:ascii="Segoe UI" w:hAnsi="Segoe UI" w:cs="Segoe UI"/>
          <w:b/>
          <w:sz w:val="22"/>
          <w:szCs w:val="22"/>
          <w:lang w:val="hu-HU" w:eastAsia="de-DE"/>
        </w:rPr>
        <w:t>vállalati kultúráját</w:t>
      </w:r>
      <w:r w:rsidRPr="00676523">
        <w:rPr>
          <w:rFonts w:ascii="Segoe UI" w:hAnsi="Segoe UI" w:cs="Segoe UI"/>
          <w:sz w:val="22"/>
          <w:szCs w:val="22"/>
          <w:lang w:val="hu-HU" w:eastAsia="de-DE"/>
        </w:rPr>
        <w:t xml:space="preserve"> is. A 2023-ban </w:t>
      </w:r>
      <w:r w:rsidR="000975B6">
        <w:rPr>
          <w:rFonts w:ascii="Segoe UI" w:hAnsi="Segoe UI" w:cs="Segoe UI"/>
          <w:sz w:val="22"/>
          <w:szCs w:val="22"/>
          <w:lang w:val="hu-HU" w:eastAsia="de-DE"/>
        </w:rPr>
        <w:t>el</w:t>
      </w:r>
      <w:r w:rsidRPr="00676523">
        <w:rPr>
          <w:rFonts w:ascii="Segoe UI" w:hAnsi="Segoe UI" w:cs="Segoe UI"/>
          <w:sz w:val="22"/>
          <w:szCs w:val="22"/>
          <w:lang w:val="hu-HU" w:eastAsia="de-DE"/>
        </w:rPr>
        <w:t xml:space="preserve">indított </w:t>
      </w:r>
      <w:proofErr w:type="spellStart"/>
      <w:r w:rsidRPr="00676523">
        <w:rPr>
          <w:rFonts w:ascii="Segoe UI" w:hAnsi="Segoe UI" w:cs="Segoe UI"/>
          <w:sz w:val="22"/>
          <w:szCs w:val="22"/>
          <w:lang w:val="hu-HU" w:eastAsia="de-DE"/>
        </w:rPr>
        <w:t>Accelerate</w:t>
      </w:r>
      <w:proofErr w:type="spellEnd"/>
      <w:r w:rsidRPr="00676523">
        <w:rPr>
          <w:rFonts w:ascii="Segoe UI" w:hAnsi="Segoe UI" w:cs="Segoe UI"/>
          <w:sz w:val="22"/>
          <w:szCs w:val="22"/>
          <w:lang w:val="hu-HU" w:eastAsia="de-DE"/>
        </w:rPr>
        <w:t xml:space="preserve"> </w:t>
      </w:r>
      <w:proofErr w:type="spellStart"/>
      <w:r w:rsidRPr="00676523">
        <w:rPr>
          <w:rFonts w:ascii="Segoe UI" w:hAnsi="Segoe UI" w:cs="Segoe UI"/>
          <w:sz w:val="22"/>
          <w:szCs w:val="22"/>
          <w:lang w:val="hu-HU" w:eastAsia="de-DE"/>
        </w:rPr>
        <w:t>Cultural</w:t>
      </w:r>
      <w:proofErr w:type="spellEnd"/>
      <w:r w:rsidRPr="00676523">
        <w:rPr>
          <w:rFonts w:ascii="Segoe UI" w:hAnsi="Segoe UI" w:cs="Segoe UI"/>
          <w:sz w:val="22"/>
          <w:szCs w:val="22"/>
          <w:lang w:val="hu-HU" w:eastAsia="de-DE"/>
        </w:rPr>
        <w:t xml:space="preserve"> </w:t>
      </w:r>
      <w:proofErr w:type="spellStart"/>
      <w:r w:rsidRPr="00676523">
        <w:rPr>
          <w:rFonts w:ascii="Segoe UI" w:hAnsi="Segoe UI" w:cs="Segoe UI"/>
          <w:sz w:val="22"/>
          <w:szCs w:val="22"/>
          <w:lang w:val="hu-HU" w:eastAsia="de-DE"/>
        </w:rPr>
        <w:t>Transformation</w:t>
      </w:r>
      <w:proofErr w:type="spellEnd"/>
      <w:r w:rsidRPr="00676523">
        <w:rPr>
          <w:rFonts w:ascii="Segoe UI" w:hAnsi="Segoe UI" w:cs="Segoe UI"/>
          <w:sz w:val="22"/>
          <w:szCs w:val="22"/>
          <w:lang w:val="hu-HU" w:eastAsia="de-DE"/>
        </w:rPr>
        <w:t xml:space="preserve"> (ACT) kezdeményezés sikeresen folytatódott a</w:t>
      </w:r>
      <w:r w:rsidR="00061AB1">
        <w:rPr>
          <w:rFonts w:ascii="Segoe UI" w:hAnsi="Segoe UI" w:cs="Segoe UI"/>
          <w:sz w:val="22"/>
          <w:szCs w:val="22"/>
          <w:lang w:val="hu-HU" w:eastAsia="de-DE"/>
        </w:rPr>
        <w:t xml:space="preserve"> teljes </w:t>
      </w:r>
      <w:r w:rsidRPr="00676523">
        <w:rPr>
          <w:rFonts w:ascii="Segoe UI" w:hAnsi="Segoe UI" w:cs="Segoe UI"/>
          <w:sz w:val="22"/>
          <w:szCs w:val="22"/>
          <w:lang w:val="hu-HU" w:eastAsia="de-DE"/>
        </w:rPr>
        <w:t xml:space="preserve">globális szervezetben. Ez a kezdeményezés elősegíti a mélyebb párbeszédet és a csapatokon belüli </w:t>
      </w:r>
      <w:r w:rsidR="00061AB1">
        <w:rPr>
          <w:rFonts w:ascii="Segoe UI" w:hAnsi="Segoe UI" w:cs="Segoe UI"/>
          <w:sz w:val="22"/>
          <w:szCs w:val="22"/>
          <w:lang w:val="hu-HU" w:eastAsia="de-DE"/>
        </w:rPr>
        <w:t>szorosabb</w:t>
      </w:r>
      <w:r w:rsidRPr="00676523">
        <w:rPr>
          <w:rFonts w:ascii="Segoe UI" w:hAnsi="Segoe UI" w:cs="Segoe UI"/>
          <w:sz w:val="22"/>
          <w:szCs w:val="22"/>
          <w:lang w:val="hu-HU" w:eastAsia="de-DE"/>
        </w:rPr>
        <w:t xml:space="preserve"> kapcsolatot. </w:t>
      </w:r>
      <w:r w:rsidR="00F21D26">
        <w:rPr>
          <w:rFonts w:ascii="Segoe UI" w:hAnsi="Segoe UI" w:cs="Segoe UI"/>
          <w:sz w:val="22"/>
          <w:szCs w:val="22"/>
          <w:lang w:val="hu-HU" w:eastAsia="de-DE"/>
        </w:rPr>
        <w:t>T</w:t>
      </w:r>
      <w:r w:rsidR="00F21D26" w:rsidRPr="00676523">
        <w:rPr>
          <w:rFonts w:ascii="Segoe UI" w:hAnsi="Segoe UI" w:cs="Segoe UI"/>
          <w:sz w:val="22"/>
          <w:szCs w:val="22"/>
          <w:lang w:val="hu-HU" w:eastAsia="de-DE"/>
        </w:rPr>
        <w:t xml:space="preserve">avaly </w:t>
      </w:r>
      <w:r w:rsidR="00F21D26">
        <w:rPr>
          <w:rFonts w:ascii="Segoe UI" w:hAnsi="Segoe UI" w:cs="Segoe UI"/>
          <w:sz w:val="22"/>
          <w:szCs w:val="22"/>
          <w:lang w:val="hu-HU" w:eastAsia="de-DE"/>
        </w:rPr>
        <w:t>a</w:t>
      </w:r>
      <w:r w:rsidRPr="00676523">
        <w:rPr>
          <w:rFonts w:ascii="Segoe UI" w:hAnsi="Segoe UI" w:cs="Segoe UI"/>
          <w:sz w:val="22"/>
          <w:szCs w:val="22"/>
          <w:lang w:val="hu-HU" w:eastAsia="de-DE"/>
        </w:rPr>
        <w:t xml:space="preserve">z ACT kezdeményezés </w:t>
      </w:r>
      <w:r w:rsidR="005D5D42">
        <w:rPr>
          <w:rFonts w:ascii="Segoe UI" w:hAnsi="Segoe UI" w:cs="Segoe UI"/>
          <w:sz w:val="22"/>
          <w:szCs w:val="22"/>
          <w:lang w:val="hu-HU" w:eastAsia="de-DE"/>
        </w:rPr>
        <w:t>konstruktív</w:t>
      </w:r>
      <w:r w:rsidRPr="00676523">
        <w:rPr>
          <w:rFonts w:ascii="Segoe UI" w:hAnsi="Segoe UI" w:cs="Segoe UI"/>
          <w:sz w:val="22"/>
          <w:szCs w:val="22"/>
          <w:lang w:val="hu-HU" w:eastAsia="de-DE"/>
        </w:rPr>
        <w:t xml:space="preserve"> visszajelzések adására és nyílt kezelésére összpontosított. Az együttműködés kultúrája szorosan kapcsolódik a sokszínűség, a méltányosság és a befogadás előmozdításához. A sokszínűség további </w:t>
      </w:r>
      <w:r w:rsidR="005D5D42">
        <w:rPr>
          <w:rFonts w:ascii="Segoe UI" w:hAnsi="Segoe UI" w:cs="Segoe UI"/>
          <w:sz w:val="22"/>
          <w:szCs w:val="22"/>
          <w:lang w:val="hu-HU" w:eastAsia="de-DE"/>
        </w:rPr>
        <w:t>növelése</w:t>
      </w:r>
      <w:r w:rsidRPr="00676523">
        <w:rPr>
          <w:rFonts w:ascii="Segoe UI" w:hAnsi="Segoe UI" w:cs="Segoe UI"/>
          <w:sz w:val="22"/>
          <w:szCs w:val="22"/>
          <w:lang w:val="hu-HU" w:eastAsia="de-DE"/>
        </w:rPr>
        <w:t xml:space="preserve"> érdekében a Henkel három pilléren alapuló stratégiát követ: </w:t>
      </w:r>
      <w:r w:rsidR="00FD4B37" w:rsidRPr="00FD4B37">
        <w:rPr>
          <w:rFonts w:ascii="Segoe UI" w:hAnsi="Segoe UI" w:cs="Segoe UI"/>
          <w:sz w:val="22"/>
          <w:szCs w:val="22"/>
          <w:lang w:val="hu-HU" w:eastAsia="de-DE"/>
        </w:rPr>
        <w:t>Először is a figyelemfelkeltés különböző formátumok, például kampányok és események révén.</w:t>
      </w:r>
      <w:r w:rsidRPr="00676523">
        <w:rPr>
          <w:rFonts w:ascii="Segoe UI" w:hAnsi="Segoe UI" w:cs="Segoe UI"/>
          <w:sz w:val="22"/>
          <w:szCs w:val="22"/>
          <w:lang w:val="hu-HU" w:eastAsia="de-DE"/>
        </w:rPr>
        <w:t xml:space="preserve"> Másodszor, a befogadó magatartás erősítése a vezetők és a munkavállalók számára szervezett képzési programokon keresztül. Harmadszor pedig a strukturális feltételek folyamatos javítása, például a munka és a magánélet egyensúlyát támogató programok kínálata, valamint a strukturális akadályok felszámolása.</w:t>
      </w:r>
    </w:p>
    <w:p w14:paraId="5AC78F94" w14:textId="77777777" w:rsidR="002E635B" w:rsidRPr="00676523" w:rsidRDefault="002E635B" w:rsidP="00676523">
      <w:pPr>
        <w:jc w:val="both"/>
        <w:rPr>
          <w:rFonts w:ascii="Segoe UI" w:hAnsi="Segoe UI" w:cs="Segoe UI"/>
          <w:sz w:val="22"/>
          <w:szCs w:val="22"/>
          <w:lang w:val="hu-HU" w:eastAsia="de-DE"/>
        </w:rPr>
      </w:pPr>
    </w:p>
    <w:p w14:paraId="34DBF5BC" w14:textId="46EB3581" w:rsidR="002E635B" w:rsidRPr="00676523" w:rsidRDefault="002E635B" w:rsidP="007D009E">
      <w:pPr>
        <w:spacing w:line="276" w:lineRule="auto"/>
        <w:jc w:val="both"/>
        <w:rPr>
          <w:rFonts w:ascii="Segoe UI" w:hAnsi="Segoe UI" w:cs="Segoe UI"/>
          <w:sz w:val="22"/>
          <w:szCs w:val="22"/>
          <w:lang w:val="hu-HU" w:eastAsia="de-DE"/>
        </w:rPr>
      </w:pPr>
      <w:r w:rsidRPr="00676523">
        <w:rPr>
          <w:rFonts w:ascii="Segoe UI" w:hAnsi="Segoe UI" w:cs="Segoe UI"/>
          <w:sz w:val="22"/>
          <w:szCs w:val="22"/>
          <w:lang w:val="hu-HU" w:eastAsia="de-DE"/>
        </w:rPr>
        <w:t xml:space="preserve">A Henkel egyik célja, hogy 2025 végére minden vezetői szinten elérje a nemek közötti egyenlőséget. Jelenleg </w:t>
      </w:r>
      <w:r w:rsidR="005472DF" w:rsidRPr="005472DF">
        <w:rPr>
          <w:rFonts w:ascii="Segoe UI" w:hAnsi="Segoe UI" w:cs="Segoe UI"/>
          <w:sz w:val="22"/>
          <w:szCs w:val="22"/>
          <w:lang w:val="hu-HU" w:eastAsia="de-DE"/>
        </w:rPr>
        <w:t>a Henkelnél világszerte a vezetői pozíciók mintegy 42 százalékát nők töltik be.</w:t>
      </w:r>
    </w:p>
    <w:p w14:paraId="756F0662" w14:textId="77777777" w:rsidR="002E635B" w:rsidRPr="00676523" w:rsidRDefault="002E635B" w:rsidP="00676523">
      <w:pPr>
        <w:jc w:val="both"/>
        <w:rPr>
          <w:rFonts w:ascii="Segoe UI" w:hAnsi="Segoe UI" w:cs="Segoe UI"/>
          <w:sz w:val="22"/>
          <w:szCs w:val="22"/>
          <w:lang w:val="hu-HU"/>
        </w:rPr>
      </w:pPr>
    </w:p>
    <w:p w14:paraId="3F54DCAE" w14:textId="7618740B" w:rsidR="002E635B" w:rsidRPr="00676523" w:rsidRDefault="002E635B" w:rsidP="007D009E">
      <w:pPr>
        <w:spacing w:line="276" w:lineRule="auto"/>
        <w:jc w:val="both"/>
        <w:rPr>
          <w:rFonts w:ascii="Segoe UI" w:hAnsi="Segoe UI" w:cs="Segoe UI"/>
          <w:sz w:val="22"/>
          <w:szCs w:val="22"/>
          <w:lang w:val="hu-HU"/>
        </w:rPr>
      </w:pPr>
      <w:r w:rsidRPr="00676523">
        <w:rPr>
          <w:rFonts w:ascii="Segoe UI" w:hAnsi="Segoe UI" w:cs="Segoe UI"/>
          <w:sz w:val="22"/>
          <w:szCs w:val="22"/>
          <w:lang w:val="hu-HU"/>
        </w:rPr>
        <w:t>„A 2024-es pénzügyi év nagyon sikeres és fontos év volt a Henkel számára. Elértük pénzügyi céljainkat, amelyeket az év során kétszer is megemeltünk. Következetesen végrehajtottuk céltudatos növekedési programunkat minden stratégiai dimenzióban, valamint eltökélten és sikeresen mozdítottuk előre átalakulásunkat. Jó úton járunk, vállalatunk átalak</w:t>
      </w:r>
      <w:r w:rsidR="00CE7074">
        <w:rPr>
          <w:rFonts w:ascii="Segoe UI" w:hAnsi="Segoe UI" w:cs="Segoe UI"/>
          <w:sz w:val="22"/>
          <w:szCs w:val="22"/>
          <w:lang w:val="hu-HU"/>
        </w:rPr>
        <w:t>ulása</w:t>
      </w:r>
      <w:r w:rsidRPr="00676523">
        <w:rPr>
          <w:rFonts w:ascii="Segoe UI" w:hAnsi="Segoe UI" w:cs="Segoe UI"/>
          <w:sz w:val="22"/>
          <w:szCs w:val="22"/>
          <w:lang w:val="hu-HU"/>
        </w:rPr>
        <w:t xml:space="preserve"> kézzelfogható eredményeket mutat. </w:t>
      </w:r>
      <w:r w:rsidR="007D009E">
        <w:rPr>
          <w:rFonts w:ascii="Segoe UI" w:hAnsi="Segoe UI" w:cs="Segoe UI"/>
          <w:sz w:val="22"/>
          <w:szCs w:val="22"/>
          <w:lang w:val="hu-HU"/>
        </w:rPr>
        <w:t>V</w:t>
      </w:r>
      <w:r w:rsidRPr="00676523">
        <w:rPr>
          <w:rFonts w:ascii="Segoe UI" w:hAnsi="Segoe UI" w:cs="Segoe UI"/>
          <w:sz w:val="22"/>
          <w:szCs w:val="22"/>
          <w:lang w:val="hu-HU"/>
        </w:rPr>
        <w:t xml:space="preserve">ilágos stratégiával, erős csapattal és egyedülálló vállalati kultúrával jól felkészültünk a jövőre” - összegezte Carsten </w:t>
      </w:r>
      <w:proofErr w:type="spellStart"/>
      <w:r w:rsidRPr="00676523">
        <w:rPr>
          <w:rFonts w:ascii="Segoe UI" w:hAnsi="Segoe UI" w:cs="Segoe UI"/>
          <w:sz w:val="22"/>
          <w:szCs w:val="22"/>
          <w:lang w:val="hu-HU"/>
        </w:rPr>
        <w:t>Knobel</w:t>
      </w:r>
      <w:proofErr w:type="spellEnd"/>
      <w:r w:rsidRPr="00676523">
        <w:rPr>
          <w:rFonts w:ascii="Segoe UI" w:hAnsi="Segoe UI" w:cs="Segoe UI"/>
          <w:sz w:val="22"/>
          <w:szCs w:val="22"/>
          <w:lang w:val="hu-HU"/>
        </w:rPr>
        <w:t>.</w:t>
      </w:r>
    </w:p>
    <w:p w14:paraId="2A54ADEE" w14:textId="77777777" w:rsidR="009679C3" w:rsidRDefault="009679C3" w:rsidP="007D009E">
      <w:pPr>
        <w:spacing w:line="276" w:lineRule="auto"/>
        <w:rPr>
          <w:rStyle w:val="AboutandContactHeadline"/>
          <w:szCs w:val="18"/>
          <w:lang w:val="hu-HU"/>
        </w:rPr>
      </w:pPr>
    </w:p>
    <w:p w14:paraId="02711C8F" w14:textId="77777777" w:rsidR="009679C3" w:rsidRDefault="009679C3" w:rsidP="007D009E">
      <w:pPr>
        <w:spacing w:line="276" w:lineRule="auto"/>
        <w:rPr>
          <w:rStyle w:val="AboutandContactHeadline"/>
          <w:szCs w:val="18"/>
          <w:lang w:val="hu-HU"/>
        </w:rPr>
      </w:pPr>
    </w:p>
    <w:p w14:paraId="48613A65" w14:textId="77777777" w:rsidR="009679C3" w:rsidRPr="00157119" w:rsidRDefault="009679C3" w:rsidP="009679C3">
      <w:pPr>
        <w:spacing w:line="240" w:lineRule="auto"/>
        <w:rPr>
          <w:rStyle w:val="AboutandContactBody"/>
          <w:rFonts w:cs="Segoe UI"/>
          <w:b/>
          <w:szCs w:val="18"/>
          <w:lang w:val="hu-HU"/>
        </w:rPr>
      </w:pPr>
    </w:p>
    <w:p w14:paraId="550A011F" w14:textId="77777777" w:rsidR="009679C3" w:rsidRPr="00157119" w:rsidRDefault="009679C3" w:rsidP="009679C3">
      <w:pPr>
        <w:spacing w:line="240" w:lineRule="auto"/>
        <w:jc w:val="both"/>
        <w:rPr>
          <w:rStyle w:val="AboutandContactBody"/>
          <w:rFonts w:cs="Segoe UI"/>
          <w:bCs/>
          <w:sz w:val="14"/>
          <w:szCs w:val="14"/>
          <w:lang w:val="hu-HU"/>
        </w:rPr>
      </w:pPr>
      <w:r w:rsidRPr="00157119">
        <w:rPr>
          <w:rStyle w:val="AboutandContactBody"/>
          <w:rFonts w:cs="Segoe UI"/>
          <w:bCs/>
          <w:sz w:val="14"/>
          <w:szCs w:val="14"/>
          <w:lang w:val="hu-HU"/>
        </w:rPr>
        <w:t xml:space="preserve">Ez a dokumentum előretekintő megállapításokat tartalmaz, amelyek a Henkel AG &amp; Co. </w:t>
      </w:r>
      <w:proofErr w:type="spellStart"/>
      <w:r w:rsidRPr="00157119">
        <w:rPr>
          <w:rStyle w:val="AboutandContactBody"/>
          <w:rFonts w:cs="Segoe UI"/>
          <w:bCs/>
          <w:sz w:val="14"/>
          <w:szCs w:val="14"/>
          <w:lang w:val="hu-HU"/>
        </w:rPr>
        <w:t>KGaA</w:t>
      </w:r>
      <w:proofErr w:type="spellEnd"/>
      <w:r w:rsidRPr="00157119">
        <w:rPr>
          <w:rStyle w:val="AboutandContactBody"/>
          <w:rFonts w:cs="Segoe UI"/>
          <w:bCs/>
          <w:sz w:val="14"/>
          <w:szCs w:val="14"/>
          <w:lang w:val="hu-HU"/>
        </w:rPr>
        <w:t xml:space="preserve"> vállalatvezetésének jelenlegi becslésein és feltételezésein alapulnak. A jövőre vonatkozó állításokat olyan szavak használata jellemzi, mint a „várnak”, „szándékoznak”, „terveznek”, „várakozás”, „hinni”, „becsülni” és hasonló kifejezések. Az ilyen állítások semmiképpen sem értelmezendők úgy, hogy azok garanciát jelentenének az általuk kifejezett várakozások pontos teljesülésére. A Henkel AG &amp; Co. </w:t>
      </w:r>
      <w:proofErr w:type="spellStart"/>
      <w:r w:rsidRPr="00157119">
        <w:rPr>
          <w:rStyle w:val="AboutandContactBody"/>
          <w:rFonts w:cs="Segoe UI"/>
          <w:bCs/>
          <w:sz w:val="14"/>
          <w:szCs w:val="14"/>
          <w:lang w:val="hu-HU"/>
        </w:rPr>
        <w:t>KGaA</w:t>
      </w:r>
      <w:proofErr w:type="spellEnd"/>
      <w:r w:rsidRPr="00157119">
        <w:rPr>
          <w:rStyle w:val="AboutandContactBody"/>
          <w:rFonts w:cs="Segoe UI"/>
          <w:bCs/>
          <w:sz w:val="14"/>
          <w:szCs w:val="14"/>
          <w:lang w:val="hu-HU"/>
        </w:rPr>
        <w:t xml:space="preserve"> és leányvállalatainak jövőbeni teljesítménye és ténylegesen elért eredményei számos kockázattól és bizonytalanságtól </w:t>
      </w:r>
      <w:proofErr w:type="spellStart"/>
      <w:r w:rsidRPr="00157119">
        <w:rPr>
          <w:rStyle w:val="AboutandContactBody"/>
          <w:rFonts w:cs="Segoe UI"/>
          <w:bCs/>
          <w:sz w:val="14"/>
          <w:szCs w:val="14"/>
          <w:lang w:val="hu-HU"/>
        </w:rPr>
        <w:t>függnek</w:t>
      </w:r>
      <w:proofErr w:type="spellEnd"/>
      <w:r w:rsidRPr="00157119">
        <w:rPr>
          <w:rStyle w:val="AboutandContactBody"/>
          <w:rFonts w:cs="Segoe UI"/>
          <w:bCs/>
          <w:sz w:val="14"/>
          <w:szCs w:val="14"/>
          <w:lang w:val="hu-HU"/>
        </w:rPr>
        <w:t xml:space="preserve">, és ezért lényegesen eltérhetnek az előretekintő nyilatkozatoktól. Sok ilyen tényezőre nincs befolyása a Henkelnek, és ezek előre nem becsülhetők fel pontosan, mint például a későbbi gazdasági környezet, vagy a versenytársak és más piaci szereplők tevékenysége.  A Henkel nem tervezi és nem vállalja, hogy a jövőre vonatkozó állításait frissítse. </w:t>
      </w:r>
    </w:p>
    <w:p w14:paraId="7BD9D73A" w14:textId="77777777" w:rsidR="009679C3" w:rsidRPr="00157119" w:rsidRDefault="009679C3" w:rsidP="009679C3">
      <w:pPr>
        <w:spacing w:line="240" w:lineRule="auto"/>
        <w:jc w:val="both"/>
        <w:rPr>
          <w:rStyle w:val="AboutandContactBody"/>
          <w:rFonts w:cs="Segoe UI"/>
          <w:bCs/>
          <w:sz w:val="14"/>
          <w:szCs w:val="14"/>
          <w:lang w:val="hu-HU"/>
        </w:rPr>
      </w:pPr>
    </w:p>
    <w:p w14:paraId="6F22CB85" w14:textId="77777777" w:rsidR="009679C3" w:rsidRPr="00157119" w:rsidRDefault="009679C3" w:rsidP="009679C3">
      <w:pPr>
        <w:spacing w:line="240" w:lineRule="auto"/>
        <w:jc w:val="both"/>
        <w:rPr>
          <w:rStyle w:val="AboutandContactBody"/>
          <w:rFonts w:cs="Segoe UI"/>
          <w:bCs/>
          <w:sz w:val="14"/>
          <w:szCs w:val="14"/>
          <w:lang w:val="hu-HU"/>
        </w:rPr>
      </w:pPr>
      <w:r w:rsidRPr="00157119">
        <w:rPr>
          <w:rStyle w:val="AboutandContactBody"/>
          <w:rFonts w:cs="Segoe UI"/>
          <w:bCs/>
          <w:sz w:val="14"/>
          <w:szCs w:val="14"/>
          <w:lang w:val="hu-HU"/>
        </w:rPr>
        <w:t>Ez a dokumentum tartalmazza - az alkalmazandó pénzügyi beszámolási keretben nem egyértelműen meghatározva - a kiegészítő pénzügyi intézkedéseket, amelyek alternatív teljesítménymutatók vagy azok lehetnek (nem GAAP-intézkedések). Ezeket a kiegészítő pénzügyi intézkedéseket nem szabad elszigetelten vagy a Henkel nettó eszközállományának és pénzügyi helyzetének, illetve a műveletek eredményei alternatívájaként tekinteni, ahogyan azt a konszolidált pénzügyi kimutatásokban a vonatkozó pénzügyi beszámoló kereteivel összhangban bemutatják. Más vállalatok, amelyek hasonló elnevezésű alternatív teljesítménymutatókról számolnak be vagy írnak le, számíthatják őket eltérően.</w:t>
      </w:r>
    </w:p>
    <w:p w14:paraId="24E6AC79" w14:textId="77777777" w:rsidR="009679C3" w:rsidRPr="00157119" w:rsidRDefault="009679C3" w:rsidP="009679C3">
      <w:pPr>
        <w:spacing w:line="240" w:lineRule="auto"/>
        <w:jc w:val="both"/>
        <w:rPr>
          <w:rStyle w:val="AboutandContactBody"/>
          <w:rFonts w:cs="Segoe UI"/>
          <w:bCs/>
          <w:sz w:val="14"/>
          <w:szCs w:val="14"/>
          <w:lang w:val="hu-HU"/>
        </w:rPr>
      </w:pPr>
    </w:p>
    <w:p w14:paraId="40735AE0" w14:textId="77777777" w:rsidR="009679C3" w:rsidRPr="00157119" w:rsidRDefault="009679C3" w:rsidP="009679C3">
      <w:pPr>
        <w:spacing w:line="240" w:lineRule="auto"/>
        <w:jc w:val="both"/>
        <w:rPr>
          <w:rStyle w:val="AboutandContactBody"/>
          <w:rFonts w:cs="Segoe UI"/>
          <w:bCs/>
          <w:sz w:val="14"/>
          <w:szCs w:val="14"/>
          <w:lang w:val="hu-HU"/>
        </w:rPr>
      </w:pPr>
      <w:r w:rsidRPr="00157119">
        <w:rPr>
          <w:rStyle w:val="AboutandContactBody"/>
          <w:rFonts w:cs="Segoe UI"/>
          <w:bCs/>
          <w:sz w:val="14"/>
          <w:szCs w:val="14"/>
          <w:lang w:val="hu-HU"/>
        </w:rPr>
        <w:t xml:space="preserve">Ezt a dokumentumot kizárólag tájékoztatás céljából állították ki, és nem célja befektetési tanácsadás vagy </w:t>
      </w:r>
      <w:proofErr w:type="gramStart"/>
      <w:r w:rsidRPr="00157119">
        <w:rPr>
          <w:rStyle w:val="AboutandContactBody"/>
          <w:rFonts w:cs="Segoe UI"/>
          <w:bCs/>
          <w:sz w:val="14"/>
          <w:szCs w:val="14"/>
          <w:lang w:val="hu-HU"/>
        </w:rPr>
        <w:t>értékpapírok eladási ajánlatának,</w:t>
      </w:r>
      <w:proofErr w:type="gramEnd"/>
      <w:r w:rsidRPr="00157119">
        <w:rPr>
          <w:rStyle w:val="AboutandContactBody"/>
          <w:rFonts w:cs="Segoe UI"/>
          <w:bCs/>
          <w:sz w:val="14"/>
          <w:szCs w:val="14"/>
          <w:lang w:val="hu-HU"/>
        </w:rPr>
        <w:t xml:space="preserve"> vagy vételi ajánlatának felkínálása.</w:t>
      </w:r>
    </w:p>
    <w:p w14:paraId="35A2DB73" w14:textId="0DA15CC8" w:rsidR="002E635B" w:rsidRPr="007D009E" w:rsidRDefault="002E635B" w:rsidP="007D009E">
      <w:pPr>
        <w:spacing w:line="276" w:lineRule="auto"/>
        <w:rPr>
          <w:rStyle w:val="AboutandContactHeadline"/>
          <w:szCs w:val="18"/>
          <w:lang w:val="hu-HU"/>
        </w:rPr>
      </w:pPr>
      <w:r w:rsidRPr="007D009E">
        <w:rPr>
          <w:rStyle w:val="AboutandContactHeadline"/>
          <w:szCs w:val="18"/>
          <w:lang w:val="hu-HU"/>
        </w:rPr>
        <w:br w:type="page"/>
      </w:r>
    </w:p>
    <w:bookmarkEnd w:id="0"/>
    <w:p w14:paraId="01106C22" w14:textId="5049A159" w:rsidR="00E8100F" w:rsidRPr="001A15F9" w:rsidRDefault="00E8100F" w:rsidP="00A77CB8">
      <w:pPr>
        <w:pStyle w:val="xmsolistparagraph"/>
        <w:shd w:val="clear" w:color="auto" w:fill="FFFFFF"/>
        <w:spacing w:line="276" w:lineRule="auto"/>
        <w:ind w:left="0"/>
        <w:jc w:val="both"/>
        <w:rPr>
          <w:rStyle w:val="AboutandContactHeadline"/>
          <w:rFonts w:cs="Segoe UI"/>
          <w:szCs w:val="18"/>
        </w:rPr>
      </w:pPr>
      <w:r w:rsidRPr="001A15F9">
        <w:rPr>
          <w:rStyle w:val="AboutandContactHeadline"/>
          <w:rFonts w:cs="Segoe UI"/>
          <w:szCs w:val="18"/>
        </w:rPr>
        <w:lastRenderedPageBreak/>
        <w:t>A Henkelről</w:t>
      </w:r>
    </w:p>
    <w:p w14:paraId="6E11171C" w14:textId="4D6F5847" w:rsidR="00E8100F" w:rsidRPr="001A15F9" w:rsidRDefault="00E8100F" w:rsidP="00E8100F">
      <w:pPr>
        <w:spacing w:line="240" w:lineRule="auto"/>
        <w:jc w:val="both"/>
        <w:rPr>
          <w:rStyle w:val="AboutandContactBody"/>
          <w:rFonts w:cs="Segoe UI"/>
          <w:szCs w:val="18"/>
          <w:lang w:val="hu-HU"/>
        </w:rPr>
      </w:pPr>
      <w:r w:rsidRPr="001A15F9">
        <w:rPr>
          <w:rStyle w:val="AboutandContactBody"/>
          <w:rFonts w:cs="Segoe UI"/>
          <w:szCs w:val="18"/>
          <w:lang w:val="hu-HU"/>
        </w:rPr>
        <w:t xml:space="preserve">A Henkel márkáival, innovációival és technológiáival világszerte piacvezető az ipari és fogyasztói termékek területén. Az Adhesive Technologies üzletágával a Henkel globális vezető a ragasztók, tömítőanyagok és funkcionális bevonatok piacán. A Consumer </w:t>
      </w:r>
      <w:proofErr w:type="spellStart"/>
      <w:r w:rsidRPr="001A15F9">
        <w:rPr>
          <w:rStyle w:val="AboutandContactBody"/>
          <w:rFonts w:cs="Segoe UI"/>
          <w:szCs w:val="18"/>
          <w:lang w:val="hu-HU"/>
        </w:rPr>
        <w:t>Brands</w:t>
      </w:r>
      <w:proofErr w:type="spellEnd"/>
      <w:r w:rsidRPr="001A15F9">
        <w:rPr>
          <w:rStyle w:val="AboutandContactBody"/>
          <w:rFonts w:cs="Segoe UI"/>
          <w:szCs w:val="18"/>
          <w:lang w:val="hu-HU"/>
        </w:rPr>
        <w:t xml:space="preserve"> üzletága révén a vállalat számos piacon és kategóriában világelső, különösen a mosó- és háztartási tisztítószerek, valamint a hajápolás terén. A cég három legerősebb márkája a Loctite, a </w:t>
      </w:r>
      <w:proofErr w:type="spellStart"/>
      <w:r w:rsidRPr="001A15F9">
        <w:rPr>
          <w:rStyle w:val="AboutandContactBody"/>
          <w:rFonts w:cs="Segoe UI"/>
          <w:szCs w:val="18"/>
          <w:lang w:val="hu-HU"/>
        </w:rPr>
        <w:t>Persil</w:t>
      </w:r>
      <w:proofErr w:type="spellEnd"/>
      <w:r w:rsidRPr="001A15F9">
        <w:rPr>
          <w:rStyle w:val="AboutandContactBody"/>
          <w:rFonts w:cs="Segoe UI"/>
          <w:szCs w:val="18"/>
          <w:lang w:val="hu-HU"/>
        </w:rPr>
        <w:t xml:space="preserve"> és a Schwarzkopf. A 202</w:t>
      </w:r>
      <w:r w:rsidR="00D72A4B">
        <w:rPr>
          <w:rStyle w:val="AboutandContactBody"/>
          <w:rFonts w:cs="Segoe UI"/>
          <w:szCs w:val="18"/>
          <w:lang w:val="hu-HU"/>
        </w:rPr>
        <w:t>4</w:t>
      </w:r>
      <w:r w:rsidRPr="001A15F9">
        <w:rPr>
          <w:rStyle w:val="AboutandContactBody"/>
          <w:rFonts w:cs="Segoe UI"/>
          <w:szCs w:val="18"/>
          <w:lang w:val="hu-HU"/>
        </w:rPr>
        <w:t>-</w:t>
      </w:r>
      <w:r w:rsidR="00D72A4B">
        <w:rPr>
          <w:rStyle w:val="AboutandContactBody"/>
          <w:rFonts w:cs="Segoe UI"/>
          <w:szCs w:val="18"/>
          <w:lang w:val="hu-HU"/>
        </w:rPr>
        <w:t>es</w:t>
      </w:r>
      <w:r w:rsidRPr="001A15F9">
        <w:rPr>
          <w:rStyle w:val="AboutandContactBody"/>
          <w:rFonts w:cs="Segoe UI"/>
          <w:szCs w:val="18"/>
          <w:lang w:val="hu-HU"/>
        </w:rPr>
        <w:t xml:space="preserve"> pénzügyi évben a Henkel több, mint 21,</w:t>
      </w:r>
      <w:r w:rsidR="00354498">
        <w:rPr>
          <w:rStyle w:val="AboutandContactBody"/>
          <w:rFonts w:cs="Segoe UI"/>
          <w:szCs w:val="18"/>
          <w:lang w:val="hu-HU"/>
        </w:rPr>
        <w:t>6</w:t>
      </w:r>
      <w:r w:rsidRPr="001A15F9">
        <w:rPr>
          <w:rStyle w:val="AboutandContactBody"/>
          <w:rFonts w:cs="Segoe UI"/>
          <w:szCs w:val="18"/>
          <w:lang w:val="hu-HU"/>
        </w:rPr>
        <w:t xml:space="preserve"> milliárd euró árbevételt és mintegy </w:t>
      </w:r>
      <w:r w:rsidR="00354498">
        <w:rPr>
          <w:rStyle w:val="AboutandContactBody"/>
          <w:rFonts w:cs="Segoe UI"/>
          <w:szCs w:val="18"/>
          <w:lang w:val="hu-HU"/>
        </w:rPr>
        <w:t>3,1</w:t>
      </w:r>
      <w:r w:rsidRPr="001A15F9">
        <w:rPr>
          <w:rStyle w:val="AboutandContactBody"/>
          <w:rFonts w:cs="Segoe UI"/>
          <w:szCs w:val="18"/>
          <w:lang w:val="hu-HU"/>
        </w:rPr>
        <w:t xml:space="preserve"> milliárd euró korrigált üzemi eredményt ért el. A Henkel elsőbbségi részvényeit a német DAX tőzsdeindexben jegyzik. A Henkelnél a fenntarthatóságnak nagy hagyománya van, a vállalat világos fenntarthatósági stratégiát követ meghatározott célokkal. A Henkelt 1876-ban alapították, és ma világszerte </w:t>
      </w:r>
      <w:r w:rsidR="009A2904">
        <w:rPr>
          <w:rStyle w:val="AboutandContactBody"/>
          <w:rFonts w:cs="Segoe UI"/>
          <w:szCs w:val="18"/>
          <w:lang w:val="hu-HU"/>
        </w:rPr>
        <w:t xml:space="preserve">mintegy </w:t>
      </w:r>
      <w:r w:rsidRPr="001A15F9">
        <w:rPr>
          <w:rStyle w:val="AboutandContactBody"/>
          <w:rFonts w:cs="Segoe UI"/>
          <w:szCs w:val="18"/>
          <w:lang w:val="hu-HU"/>
        </w:rPr>
        <w:t>4</w:t>
      </w:r>
      <w:r w:rsidR="00164A96">
        <w:rPr>
          <w:rStyle w:val="AboutandContactBody"/>
          <w:rFonts w:cs="Segoe UI"/>
          <w:szCs w:val="18"/>
          <w:lang w:val="hu-HU"/>
        </w:rPr>
        <w:t>7</w:t>
      </w:r>
      <w:r w:rsidRPr="001A15F9">
        <w:rPr>
          <w:rStyle w:val="AboutandContactBody"/>
          <w:rFonts w:cs="Segoe UI"/>
          <w:szCs w:val="18"/>
          <w:lang w:val="hu-HU"/>
        </w:rPr>
        <w:t xml:space="preserve"> 000 munkatársa sokszínű csapatot alkot, akiket az erős vállalati kultúra, a közös értékek és a „</w:t>
      </w:r>
      <w:proofErr w:type="spellStart"/>
      <w:r w:rsidRPr="001A15F9">
        <w:rPr>
          <w:rStyle w:val="AboutandContactBody"/>
          <w:rFonts w:cs="Segoe UI"/>
          <w:szCs w:val="18"/>
          <w:lang w:val="hu-HU"/>
        </w:rPr>
        <w:t>Pioneers</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at</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heart</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for</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the</w:t>
      </w:r>
      <w:proofErr w:type="spellEnd"/>
      <w:r w:rsidRPr="001A15F9">
        <w:rPr>
          <w:rStyle w:val="AboutandContactBody"/>
          <w:rFonts w:cs="Segoe UI"/>
          <w:szCs w:val="18"/>
          <w:lang w:val="hu-HU"/>
        </w:rPr>
        <w:t xml:space="preserve"> </w:t>
      </w:r>
      <w:proofErr w:type="spellStart"/>
      <w:r w:rsidRPr="001A15F9">
        <w:rPr>
          <w:rStyle w:val="AboutandContactBody"/>
          <w:rFonts w:cs="Segoe UI"/>
          <w:szCs w:val="18"/>
          <w:lang w:val="hu-HU"/>
        </w:rPr>
        <w:t>good</w:t>
      </w:r>
      <w:proofErr w:type="spellEnd"/>
      <w:r w:rsidRPr="001A15F9">
        <w:rPr>
          <w:rStyle w:val="AboutandContactBody"/>
          <w:rFonts w:cs="Segoe UI"/>
          <w:szCs w:val="18"/>
          <w:lang w:val="hu-HU"/>
        </w:rPr>
        <w:t xml:space="preserve"> of </w:t>
      </w:r>
      <w:proofErr w:type="spellStart"/>
      <w:proofErr w:type="gramStart"/>
      <w:r w:rsidRPr="001A15F9">
        <w:rPr>
          <w:rStyle w:val="AboutandContactBody"/>
          <w:rFonts w:cs="Segoe UI"/>
          <w:szCs w:val="18"/>
          <w:lang w:val="hu-HU"/>
        </w:rPr>
        <w:t>generations</w:t>
      </w:r>
      <w:proofErr w:type="spellEnd"/>
      <w:r w:rsidRPr="001A15F9">
        <w:rPr>
          <w:rStyle w:val="AboutandContactBody"/>
          <w:rFonts w:cs="Segoe UI"/>
          <w:szCs w:val="18"/>
          <w:lang w:val="hu-HU"/>
        </w:rPr>
        <w:t>“ vállalati</w:t>
      </w:r>
      <w:proofErr w:type="gramEnd"/>
      <w:r w:rsidRPr="001A15F9">
        <w:rPr>
          <w:rStyle w:val="AboutandContactBody"/>
          <w:rFonts w:cs="Segoe UI"/>
          <w:szCs w:val="18"/>
          <w:lang w:val="hu-HU"/>
        </w:rPr>
        <w:t xml:space="preserve"> cél köt össze. További információ: www.henkel.com; </w:t>
      </w:r>
      <w:hyperlink r:id="rId8" w:history="1">
        <w:r w:rsidRPr="001A15F9">
          <w:rPr>
            <w:rStyle w:val="Hiperhivatkozs"/>
            <w:rFonts w:ascii="Segoe UI" w:hAnsi="Segoe UI" w:cs="Segoe UI"/>
            <w:sz w:val="18"/>
            <w:szCs w:val="18"/>
            <w:lang w:val="hu-HU"/>
          </w:rPr>
          <w:t>www.henkel.hu</w:t>
        </w:r>
      </w:hyperlink>
      <w:r w:rsidRPr="001A15F9">
        <w:rPr>
          <w:rStyle w:val="AboutandContactBody"/>
          <w:rFonts w:cs="Segoe UI"/>
          <w:szCs w:val="18"/>
          <w:lang w:val="hu-HU"/>
        </w:rPr>
        <w:t>.</w:t>
      </w:r>
    </w:p>
    <w:p w14:paraId="0DC9454A" w14:textId="7D73F116" w:rsidR="00A106F8" w:rsidRDefault="00A106F8" w:rsidP="000B4203">
      <w:pPr>
        <w:pStyle w:val="xmsonormal"/>
        <w:spacing w:line="276" w:lineRule="auto"/>
        <w:jc w:val="both"/>
        <w:rPr>
          <w:rFonts w:ascii="Segoe UI" w:hAnsi="Segoe UI" w:cs="Segoe UI"/>
        </w:rPr>
      </w:pPr>
    </w:p>
    <w:p w14:paraId="43BE2366" w14:textId="178A01F7" w:rsidR="007B059C" w:rsidRPr="000B4203" w:rsidRDefault="007B059C" w:rsidP="000B4203">
      <w:pPr>
        <w:spacing w:line="240" w:lineRule="auto"/>
        <w:jc w:val="both"/>
        <w:rPr>
          <w:rStyle w:val="AboutandContactBody"/>
          <w:rFonts w:cs="Segoe UI"/>
          <w:b/>
          <w:sz w:val="22"/>
          <w:szCs w:val="22"/>
          <w:lang w:val="hu-HU"/>
        </w:rPr>
      </w:pPr>
      <w:r w:rsidRPr="000B4203">
        <w:rPr>
          <w:rStyle w:val="AboutandContactBody"/>
          <w:rFonts w:cs="Segoe UI"/>
          <w:b/>
          <w:sz w:val="22"/>
          <w:szCs w:val="22"/>
          <w:lang w:val="hu-HU"/>
        </w:rPr>
        <w:t>Kapcsolat</w:t>
      </w:r>
      <w:r w:rsidR="00561DF9" w:rsidRPr="000B4203">
        <w:rPr>
          <w:rStyle w:val="AboutandContactBody"/>
          <w:rFonts w:cs="Segoe UI"/>
          <w:b/>
          <w:sz w:val="22"/>
          <w:szCs w:val="22"/>
          <w:lang w:val="hu-HU"/>
        </w:rPr>
        <w:t>:</w:t>
      </w:r>
    </w:p>
    <w:p w14:paraId="5005E8A6" w14:textId="77777777" w:rsidR="00FA2371" w:rsidRPr="000B4203" w:rsidRDefault="00FA2371" w:rsidP="000B4203">
      <w:pPr>
        <w:jc w:val="both"/>
        <w:rPr>
          <w:rFonts w:ascii="Segoe UI" w:hAnsi="Segoe UI" w:cs="Segoe UI"/>
          <w:b/>
          <w:bCs/>
          <w:sz w:val="22"/>
          <w:szCs w:val="22"/>
          <w:lang w:val="hu-HU" w:eastAsia="de-DE"/>
        </w:rPr>
      </w:pPr>
    </w:p>
    <w:p w14:paraId="1DE80685" w14:textId="77777777" w:rsidR="00AD7996" w:rsidRPr="000B4203" w:rsidRDefault="00AD7996" w:rsidP="000B4203">
      <w:pPr>
        <w:tabs>
          <w:tab w:val="left" w:pos="0"/>
          <w:tab w:val="left" w:pos="360"/>
          <w:tab w:val="left" w:pos="1080"/>
          <w:tab w:val="left" w:pos="1800"/>
          <w:tab w:val="left" w:pos="2520"/>
          <w:tab w:val="left" w:pos="3240"/>
          <w:tab w:val="left" w:pos="3960"/>
        </w:tabs>
        <w:autoSpaceDE w:val="0"/>
        <w:autoSpaceDN w:val="0"/>
        <w:adjustRightInd w:val="0"/>
        <w:spacing w:line="240" w:lineRule="atLeast"/>
        <w:jc w:val="both"/>
        <w:rPr>
          <w:rFonts w:ascii="Segoe UI" w:hAnsi="Segoe UI" w:cs="Segoe UI"/>
          <w:b/>
          <w:bCs/>
          <w:sz w:val="22"/>
          <w:szCs w:val="22"/>
          <w:lang w:val="hu-HU"/>
        </w:rPr>
      </w:pPr>
      <w:r w:rsidRPr="000B4203">
        <w:rPr>
          <w:rFonts w:ascii="Segoe UI" w:hAnsi="Segoe UI" w:cs="Segoe UI"/>
          <w:b/>
          <w:bCs/>
          <w:sz w:val="22"/>
          <w:szCs w:val="22"/>
          <w:lang w:val="hu-HU"/>
        </w:rPr>
        <w:t>Henkel Magyarország Kft.</w:t>
      </w:r>
    </w:p>
    <w:p w14:paraId="694EDD80" w14:textId="77777777" w:rsidR="00AD7996" w:rsidRPr="000B4203" w:rsidRDefault="00AD7996" w:rsidP="000B4203">
      <w:pPr>
        <w:tabs>
          <w:tab w:val="left" w:pos="0"/>
          <w:tab w:val="left" w:pos="360"/>
          <w:tab w:val="left" w:pos="1080"/>
          <w:tab w:val="left" w:pos="1800"/>
          <w:tab w:val="left" w:pos="2520"/>
          <w:tab w:val="left" w:pos="3240"/>
          <w:tab w:val="left" w:pos="3960"/>
        </w:tabs>
        <w:autoSpaceDE w:val="0"/>
        <w:autoSpaceDN w:val="0"/>
        <w:adjustRightInd w:val="0"/>
        <w:spacing w:line="240" w:lineRule="atLeast"/>
        <w:jc w:val="both"/>
        <w:rPr>
          <w:rFonts w:ascii="Segoe UI" w:hAnsi="Segoe UI" w:cs="Segoe UI"/>
          <w:sz w:val="22"/>
          <w:szCs w:val="22"/>
          <w:lang w:val="hu-HU"/>
        </w:rPr>
      </w:pPr>
      <w:r w:rsidRPr="000B4203">
        <w:rPr>
          <w:rFonts w:ascii="Segoe UI" w:hAnsi="Segoe UI" w:cs="Segoe UI"/>
          <w:sz w:val="22"/>
          <w:szCs w:val="22"/>
          <w:lang w:val="hu-HU"/>
        </w:rPr>
        <w:t>Vállalati kommunikáció</w:t>
      </w:r>
    </w:p>
    <w:p w14:paraId="2FC7F2AE" w14:textId="1D32855C" w:rsidR="00F52372" w:rsidRPr="000B4203" w:rsidRDefault="005C2333" w:rsidP="000B4203">
      <w:pPr>
        <w:spacing w:line="280" w:lineRule="exact"/>
        <w:jc w:val="both"/>
        <w:rPr>
          <w:rFonts w:ascii="Segoe UI" w:hAnsi="Segoe UI" w:cs="Segoe UI"/>
          <w:sz w:val="22"/>
          <w:szCs w:val="22"/>
          <w:lang w:val="hu-HU" w:eastAsia="de-DE"/>
        </w:rPr>
      </w:pPr>
      <w:r w:rsidRPr="000B4203">
        <w:rPr>
          <w:rFonts w:ascii="Segoe UI" w:hAnsi="Segoe UI" w:cs="Segoe UI"/>
          <w:sz w:val="22"/>
          <w:szCs w:val="22"/>
          <w:lang w:val="hu-HU" w:eastAsia="de-DE"/>
        </w:rPr>
        <w:t>Lambert Petra</w:t>
      </w:r>
    </w:p>
    <w:p w14:paraId="24B5C359" w14:textId="64EB8CE9" w:rsidR="00F52372" w:rsidRPr="000B4203" w:rsidRDefault="00F52372" w:rsidP="000B4203">
      <w:pPr>
        <w:spacing w:line="280" w:lineRule="exact"/>
        <w:jc w:val="both"/>
        <w:rPr>
          <w:rFonts w:ascii="Segoe UI" w:hAnsi="Segoe UI" w:cs="Segoe UI"/>
          <w:sz w:val="22"/>
          <w:szCs w:val="22"/>
          <w:lang w:val="hu-HU" w:eastAsia="de-DE"/>
        </w:rPr>
      </w:pPr>
      <w:r w:rsidRPr="000B4203">
        <w:rPr>
          <w:rFonts w:ascii="Segoe UI" w:hAnsi="Segoe UI" w:cs="Segoe UI"/>
          <w:sz w:val="22"/>
          <w:szCs w:val="22"/>
          <w:lang w:val="hu-HU" w:eastAsia="de-DE"/>
        </w:rPr>
        <w:t>Tel.</w:t>
      </w:r>
      <w:r w:rsidRPr="000B4203">
        <w:rPr>
          <w:rFonts w:ascii="Segoe UI" w:hAnsi="Segoe UI" w:cs="Segoe UI"/>
          <w:sz w:val="22"/>
          <w:szCs w:val="22"/>
          <w:lang w:val="hu-HU" w:eastAsia="de-DE"/>
        </w:rPr>
        <w:tab/>
        <w:t>(1) 372-55</w:t>
      </w:r>
      <w:r w:rsidR="006A460B" w:rsidRPr="000B4203">
        <w:rPr>
          <w:rFonts w:ascii="Segoe UI" w:hAnsi="Segoe UI" w:cs="Segoe UI"/>
          <w:sz w:val="22"/>
          <w:szCs w:val="22"/>
          <w:lang w:val="hu-HU" w:eastAsia="de-DE"/>
        </w:rPr>
        <w:t>55</w:t>
      </w:r>
    </w:p>
    <w:p w14:paraId="13379902" w14:textId="5AB49845" w:rsidR="00F52372" w:rsidRPr="000B4203" w:rsidRDefault="00F52372" w:rsidP="0083624D">
      <w:pPr>
        <w:spacing w:line="280" w:lineRule="exact"/>
        <w:jc w:val="both"/>
        <w:rPr>
          <w:rFonts w:ascii="Segoe UI" w:hAnsi="Segoe UI" w:cs="Segoe UI"/>
          <w:sz w:val="22"/>
          <w:szCs w:val="22"/>
          <w:lang w:val="hu-HU"/>
        </w:rPr>
      </w:pPr>
      <w:r w:rsidRPr="000B4203">
        <w:rPr>
          <w:rFonts w:ascii="Segoe UI" w:hAnsi="Segoe UI" w:cs="Segoe UI"/>
          <w:color w:val="000000"/>
          <w:sz w:val="22"/>
          <w:szCs w:val="22"/>
          <w:lang w:val="hu-HU" w:eastAsia="de-DE"/>
        </w:rPr>
        <w:t xml:space="preserve">Email: </w:t>
      </w:r>
      <w:r w:rsidR="00AD7996" w:rsidRPr="000B4203">
        <w:rPr>
          <w:rFonts w:ascii="Segoe UI" w:hAnsi="Segoe UI" w:cs="Segoe UI"/>
          <w:color w:val="000000"/>
          <w:sz w:val="22"/>
          <w:szCs w:val="22"/>
          <w:lang w:val="hu-HU" w:eastAsia="de-DE"/>
        </w:rPr>
        <w:tab/>
      </w:r>
      <w:hyperlink r:id="rId9" w:history="1">
        <w:r w:rsidR="00AD7996" w:rsidRPr="000B4203">
          <w:rPr>
            <w:rStyle w:val="Hiperhivatkozs"/>
            <w:rFonts w:ascii="Segoe UI" w:hAnsi="Segoe UI" w:cs="Segoe UI"/>
            <w:sz w:val="22"/>
            <w:szCs w:val="22"/>
            <w:lang w:val="hu-HU" w:eastAsia="de-DE"/>
          </w:rPr>
          <w:t>vallalati.kommunikacio@henkel.com</w:t>
        </w:r>
      </w:hyperlink>
    </w:p>
    <w:sectPr w:rsidR="00F52372" w:rsidRPr="000B4203" w:rsidSect="00780C94">
      <w:headerReference w:type="default" r:id="rId10"/>
      <w:footerReference w:type="default" r:id="rId11"/>
      <w:headerReference w:type="first" r:id="rId12"/>
      <w:footerReference w:type="first" r:id="rId13"/>
      <w:pgSz w:w="11907" w:h="16840" w:code="9"/>
      <w:pgMar w:top="1276"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E84AC" w14:textId="77777777" w:rsidR="009D6F34" w:rsidRDefault="009D6F34">
      <w:r>
        <w:separator/>
      </w:r>
    </w:p>
  </w:endnote>
  <w:endnote w:type="continuationSeparator" w:id="0">
    <w:p w14:paraId="798D28FF" w14:textId="77777777" w:rsidR="009D6F34" w:rsidRDefault="009D6F34">
      <w:r>
        <w:continuationSeparator/>
      </w:r>
    </w:p>
  </w:endnote>
  <w:endnote w:type="continuationNotice" w:id="1">
    <w:p w14:paraId="1658C226" w14:textId="77777777" w:rsidR="009D6F34" w:rsidRDefault="009D6F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4D50" w14:textId="610914EB" w:rsidR="00CF6F33" w:rsidRPr="00B80304" w:rsidRDefault="00B80304" w:rsidP="00D260A2">
    <w:pPr>
      <w:pStyle w:val="llb"/>
      <w:tabs>
        <w:tab w:val="clear" w:pos="7083"/>
        <w:tab w:val="clear" w:pos="8640"/>
        <w:tab w:val="right" w:pos="9057"/>
      </w:tabs>
      <w:rPr>
        <w:b w:val="0"/>
        <w:color w:val="auto"/>
      </w:rPr>
    </w:pPr>
    <w:r w:rsidRPr="00B80304">
      <w:rPr>
        <w:b w:val="0"/>
        <w:color w:val="auto"/>
      </w:rPr>
      <w:t>Henkel</w:t>
    </w:r>
    <w:r w:rsidRPr="00B80304">
      <w:rPr>
        <w:b w:val="0"/>
        <w:color w:val="auto"/>
        <w:lang w:val="hu-HU"/>
      </w:rPr>
      <w:t xml:space="preserve"> Magyarország </w:t>
    </w:r>
    <w:proofErr w:type="gramStart"/>
    <w:r w:rsidRPr="00B80304">
      <w:rPr>
        <w:b w:val="0"/>
        <w:color w:val="auto"/>
        <w:lang w:val="hu-HU"/>
      </w:rPr>
      <w:t>Kft.</w:t>
    </w:r>
    <w:r w:rsidR="007A6F48">
      <w:rPr>
        <w:b w:val="0"/>
        <w:color w:val="auto"/>
        <w:lang w:val="hu-HU"/>
      </w:rPr>
      <w:t>/</w:t>
    </w:r>
    <w:proofErr w:type="gramEnd"/>
    <w:r>
      <w:rPr>
        <w:b w:val="0"/>
        <w:color w:val="auto"/>
        <w:lang w:val="hu-HU"/>
      </w:rPr>
      <w:t xml:space="preserve"> </w:t>
    </w:r>
    <w:r w:rsidRPr="00B80304">
      <w:rPr>
        <w:b w:val="0"/>
        <w:color w:val="auto"/>
        <w:lang w:val="hu-HU"/>
      </w:rPr>
      <w:t>Vállalati kommunikáció</w:t>
    </w:r>
    <w:r w:rsidR="00CF6F33" w:rsidRPr="00B80304">
      <w:rPr>
        <w:color w:val="auto"/>
      </w:rPr>
      <w:tab/>
    </w:r>
    <w:proofErr w:type="spellStart"/>
    <w:r w:rsidRPr="00B80304">
      <w:rPr>
        <w:b w:val="0"/>
        <w:color w:val="auto"/>
      </w:rPr>
      <w:t>Oldal</w:t>
    </w:r>
    <w:proofErr w:type="spellEnd"/>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7F6FF5">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7F6FF5">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47E9" w14:textId="7C5744F7" w:rsidR="00A66DB1" w:rsidRDefault="00F54647" w:rsidP="00A66DB1">
    <w:pPr>
      <w:pStyle w:val="llb"/>
      <w:jc w:val="distribute"/>
      <w:rPr>
        <w:b w:val="0"/>
      </w:rPr>
    </w:pPr>
    <w:r w:rsidRPr="00C764F6">
      <w:rPr>
        <w:b w:val="0"/>
        <w:noProof/>
        <w:lang w:val="hu-HU" w:eastAsia="hu-HU"/>
      </w:rPr>
      <w:drawing>
        <wp:anchor distT="0" distB="0" distL="114300" distR="114300" simplePos="0" relativeHeight="251658245" behindDoc="0" locked="0" layoutInCell="1" allowOverlap="1" wp14:anchorId="45A5E90A" wp14:editId="4857A7AB">
          <wp:simplePos x="0" y="0"/>
          <wp:positionH relativeFrom="column">
            <wp:posOffset>2787015</wp:posOffset>
          </wp:positionH>
          <wp:positionV relativeFrom="paragraph">
            <wp:posOffset>-60971</wp:posOffset>
          </wp:positionV>
          <wp:extent cx="128270" cy="406400"/>
          <wp:effectExtent l="0" t="0" r="5080" b="0"/>
          <wp:wrapThrough wrapText="bothSides">
            <wp:wrapPolygon edited="0">
              <wp:start x="0" y="0"/>
              <wp:lineTo x="0" y="20250"/>
              <wp:lineTo x="19248" y="20250"/>
              <wp:lineTo x="19248" y="0"/>
              <wp:lineTo x="0" y="0"/>
            </wp:wrapPolygon>
          </wp:wrapThrough>
          <wp:docPr id="808115891" name="Kép 1" descr="A képen rugó, tekercsrugó, természet, tipográfi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15891" name="Kép 1" descr="A képen rugó, tekercsrugó, természet, tipográfi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28270" cy="406400"/>
                  </a:xfrm>
                  <a:prstGeom prst="rect">
                    <a:avLst/>
                  </a:prstGeom>
                </pic:spPr>
              </pic:pic>
            </a:graphicData>
          </a:graphic>
        </wp:anchor>
      </w:drawing>
    </w:r>
    <w:r w:rsidR="003C38EC">
      <w:rPr>
        <w:b w:val="0"/>
        <w:noProof/>
        <w:lang w:val="hu-HU" w:eastAsia="hu-HU"/>
      </w:rPr>
      <w:drawing>
        <wp:anchor distT="0" distB="0" distL="114300" distR="114300" simplePos="0" relativeHeight="251658243" behindDoc="0" locked="0" layoutInCell="1" allowOverlap="1" wp14:anchorId="10F37E2C" wp14:editId="275C65FE">
          <wp:simplePos x="0" y="0"/>
          <wp:positionH relativeFrom="column">
            <wp:posOffset>3034030</wp:posOffset>
          </wp:positionH>
          <wp:positionV relativeFrom="paragraph">
            <wp:posOffset>9915525</wp:posOffset>
          </wp:positionV>
          <wp:extent cx="255905" cy="243205"/>
          <wp:effectExtent l="0" t="0" r="0" b="4445"/>
          <wp:wrapNone/>
          <wp:docPr id="1162" name="Kép 1162"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637C6D47" wp14:editId="3779344E">
          <wp:extent cx="419100" cy="152400"/>
          <wp:effectExtent l="0" t="0" r="0" b="0"/>
          <wp:docPr id="1163"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sidR="007A6F48" w:rsidRPr="007A6F48">
      <w:rPr>
        <w:noProof/>
      </w:rPr>
      <w:drawing>
        <wp:inline distT="0" distB="0" distL="0" distR="0" wp14:anchorId="10CBCF4B" wp14:editId="1FC8A21B">
          <wp:extent cx="327259" cy="19520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4613" cy="199594"/>
                  </a:xfrm>
                  <a:prstGeom prst="rect">
                    <a:avLst/>
                  </a:prstGeom>
                </pic:spPr>
              </pic:pic>
            </a:graphicData>
          </a:graphic>
        </wp:inline>
      </w:drawing>
    </w:r>
    <w:r w:rsidR="00A66DB1">
      <w:t xml:space="preserve">  </w:t>
    </w:r>
    <w:r w:rsidR="007A6F48" w:rsidRPr="007A6F48">
      <w:rPr>
        <w:noProof/>
      </w:rPr>
      <w:drawing>
        <wp:inline distT="0" distB="0" distL="0" distR="0" wp14:anchorId="2B3AAE22" wp14:editId="33D4C82D">
          <wp:extent cx="385011" cy="203401"/>
          <wp:effectExtent l="0" t="0" r="0" b="63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372" cy="216271"/>
                  </a:xfrm>
                  <a:prstGeom prst="rect">
                    <a:avLst/>
                  </a:prstGeom>
                </pic:spPr>
              </pic:pic>
            </a:graphicData>
          </a:graphic>
        </wp:inline>
      </w:drawing>
    </w:r>
    <w:r w:rsidR="00B80304">
      <w:rPr>
        <w:b w:val="0"/>
        <w:noProof/>
        <w:position w:val="-10"/>
        <w:lang w:val="hu-HU" w:eastAsia="hu-HU"/>
      </w:rPr>
      <w:t xml:space="preserve"> </w:t>
    </w:r>
    <w:r w:rsidR="007A6F48" w:rsidRPr="007A6F48">
      <w:rPr>
        <w:noProof/>
      </w:rPr>
      <w:drawing>
        <wp:inline distT="0" distB="0" distL="0" distR="0" wp14:anchorId="1EC5DEA1" wp14:editId="3F9CCC5A">
          <wp:extent cx="500380" cy="2197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00380" cy="219710"/>
                  </a:xfrm>
                  <a:prstGeom prst="rect">
                    <a:avLst/>
                  </a:prstGeom>
                </pic:spPr>
              </pic:pic>
            </a:graphicData>
          </a:graphic>
        </wp:inline>
      </w:drawing>
    </w:r>
    <w:r w:rsidR="00B80304">
      <w:rPr>
        <w:b w:val="0"/>
        <w:noProof/>
        <w:position w:val="-10"/>
        <w:lang w:val="hu-HU" w:eastAsia="hu-HU"/>
      </w:rPr>
      <w:t xml:space="preserve"> </w:t>
    </w:r>
    <w:r>
      <w:rPr>
        <w:b w:val="0"/>
        <w:noProof/>
        <w:position w:val="-10"/>
        <w:lang w:val="hu-HU" w:eastAsia="hu-HU"/>
      </w:rPr>
      <w:t xml:space="preserve"> </w:t>
    </w:r>
    <w:r w:rsidR="00F06B21" w:rsidRPr="007A6F48">
      <w:rPr>
        <w:noProof/>
      </w:rPr>
      <w:drawing>
        <wp:inline distT="0" distB="0" distL="0" distR="0" wp14:anchorId="194656A4" wp14:editId="36CE621C">
          <wp:extent cx="176530" cy="186055"/>
          <wp:effectExtent l="0" t="0" r="0" b="4445"/>
          <wp:docPr id="4" name="Kép 4" descr="A képen embléma, szimbólum,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embléma, szimbólum, Betűtípus, Grafika látható&#10;&#10;Automatikusan generált leírás"/>
                  <pic:cNvPicPr/>
                </pic:nvPicPr>
                <pic:blipFill>
                  <a:blip r:embed="rId7">
                    <a:extLst>
                      <a:ext uri="{28A0092B-C50C-407E-A947-70E740481C1C}">
                        <a14:useLocalDpi xmlns:a14="http://schemas.microsoft.com/office/drawing/2010/main" val="0"/>
                      </a:ext>
                    </a:extLst>
                  </a:blip>
                  <a:stretch>
                    <a:fillRect/>
                  </a:stretch>
                </pic:blipFill>
                <pic:spPr>
                  <a:xfrm>
                    <a:off x="0" y="0"/>
                    <a:ext cx="176530" cy="186055"/>
                  </a:xfrm>
                  <a:prstGeom prst="rect">
                    <a:avLst/>
                  </a:prstGeom>
                </pic:spPr>
              </pic:pic>
            </a:graphicData>
          </a:graphic>
        </wp:inline>
      </w:drawing>
    </w:r>
    <w:r w:rsidR="00B80304">
      <w:rPr>
        <w:b w:val="0"/>
        <w:noProof/>
        <w:position w:val="-10"/>
        <w:lang w:val="hu-HU" w:eastAsia="hu-HU"/>
      </w:rPr>
      <w:t xml:space="preserve">       </w:t>
    </w:r>
    <w:r w:rsidR="006D343E">
      <w:rPr>
        <w:b w:val="0"/>
        <w:noProof/>
        <w:lang w:val="hu-HU" w:eastAsia="hu-HU"/>
      </w:rPr>
      <w:drawing>
        <wp:inline distT="0" distB="0" distL="0" distR="0" wp14:anchorId="5ECB4D0F" wp14:editId="38581D14">
          <wp:extent cx="581025" cy="104775"/>
          <wp:effectExtent l="0" t="0" r="9525" b="9525"/>
          <wp:docPr id="1165"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7605FEF" wp14:editId="374D1B3B">
          <wp:extent cx="990600" cy="104775"/>
          <wp:effectExtent l="0" t="0" r="0" b="9525"/>
          <wp:docPr id="1166"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41A843F" wp14:editId="28502840">
          <wp:extent cx="885825" cy="104775"/>
          <wp:effectExtent l="0" t="0" r="9525" b="9525"/>
          <wp:docPr id="1167"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28C7C5B2" w14:textId="77777777" w:rsidR="00F54647" w:rsidRDefault="00F54647" w:rsidP="00D260A2">
    <w:pPr>
      <w:pStyle w:val="llb"/>
      <w:jc w:val="right"/>
      <w:rPr>
        <w:b w:val="0"/>
        <w:noProof/>
        <w:color w:val="auto"/>
        <w:lang w:val="hu-HU" w:eastAsia="hu-HU"/>
      </w:rPr>
    </w:pPr>
  </w:p>
  <w:p w14:paraId="7B410B9A" w14:textId="77777777" w:rsidR="0009600D" w:rsidRDefault="0009600D" w:rsidP="0009600D">
    <w:pPr>
      <w:pStyle w:val="He04Funote"/>
      <w:rPr>
        <w:sz w:val="12"/>
        <w:szCs w:val="12"/>
        <w:lang w:val="en-US"/>
      </w:rPr>
    </w:pPr>
  </w:p>
  <w:p w14:paraId="47E1470C" w14:textId="567901A5" w:rsidR="0009600D" w:rsidRPr="001A553E" w:rsidRDefault="0009600D" w:rsidP="0009600D">
    <w:pPr>
      <w:pStyle w:val="He04Funote"/>
      <w:rPr>
        <w:sz w:val="12"/>
        <w:szCs w:val="12"/>
        <w:lang w:val="hu-HU"/>
      </w:rPr>
    </w:pPr>
    <w:r w:rsidRPr="001A553E">
      <w:rPr>
        <w:sz w:val="12"/>
        <w:szCs w:val="12"/>
        <w:lang w:val="hu-HU"/>
      </w:rPr>
      <w:t>* Egyszeri kiadásokkal és bevételekkel, valamint szerkezetátalakítási költségekkel kiigazítva.</w:t>
    </w:r>
  </w:p>
  <w:p w14:paraId="094E9F86" w14:textId="6FB25DDC"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58244" behindDoc="0" locked="0" layoutInCell="1" allowOverlap="1" wp14:anchorId="2624DE0B" wp14:editId="382C0A66">
          <wp:simplePos x="0" y="0"/>
          <wp:positionH relativeFrom="column">
            <wp:posOffset>824230</wp:posOffset>
          </wp:positionH>
          <wp:positionV relativeFrom="paragraph">
            <wp:posOffset>10306050</wp:posOffset>
          </wp:positionV>
          <wp:extent cx="255905" cy="243205"/>
          <wp:effectExtent l="0" t="0" r="0" b="4445"/>
          <wp:wrapNone/>
          <wp:docPr id="1168" name="Kép 1168"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Pr>
        <w:b w:val="0"/>
        <w:noProof/>
        <w:color w:val="auto"/>
        <w:lang w:val="hu-HU" w:eastAsia="hu-HU"/>
      </w:rPr>
      <w:t>Oldal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191623">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191623">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3906E" w14:textId="77777777" w:rsidR="009D6F34" w:rsidRDefault="009D6F34">
      <w:r>
        <w:separator/>
      </w:r>
    </w:p>
  </w:footnote>
  <w:footnote w:type="continuationSeparator" w:id="0">
    <w:p w14:paraId="0DD70D5E" w14:textId="77777777" w:rsidR="009D6F34" w:rsidRDefault="009D6F34">
      <w:r>
        <w:continuationSeparator/>
      </w:r>
    </w:p>
  </w:footnote>
  <w:footnote w:type="continuationNotice" w:id="1">
    <w:p w14:paraId="42EE8862" w14:textId="77777777" w:rsidR="009D6F34" w:rsidRDefault="009D6F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5D33"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8241" behindDoc="0" locked="0" layoutInCell="1" allowOverlap="1" wp14:anchorId="39CDF46A" wp14:editId="2D265FE6">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5F01D" id="Group 20" o:spid="_x0000_s1026" style="position:absolute;margin-left:14.2pt;margin-top:297.7pt;width:14.45pt;height:298.9pt;z-index:251658241;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EB3D"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242" behindDoc="0" locked="0" layoutInCell="1" allowOverlap="1" wp14:anchorId="3439C8C8" wp14:editId="27D86C69">
          <wp:simplePos x="0" y="0"/>
          <wp:positionH relativeFrom="margin">
            <wp:posOffset>4725035</wp:posOffset>
          </wp:positionH>
          <wp:positionV relativeFrom="margin">
            <wp:posOffset>-1588770</wp:posOffset>
          </wp:positionV>
          <wp:extent cx="1166495" cy="789305"/>
          <wp:effectExtent l="0" t="0" r="0" b="0"/>
          <wp:wrapSquare wrapText="bothSides"/>
          <wp:docPr id="1160" name="Kép 1160"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p>
  <w:p w14:paraId="08375D74" w14:textId="77777777" w:rsidR="009A16EC" w:rsidRPr="001C4BE1" w:rsidRDefault="009A16EC" w:rsidP="00BD56B7">
    <w:pPr>
      <w:pStyle w:val="lfej"/>
      <w:tabs>
        <w:tab w:val="clear" w:pos="8640"/>
        <w:tab w:val="left" w:pos="2607"/>
        <w:tab w:val="right" w:pos="9071"/>
      </w:tabs>
      <w:spacing w:line="420" w:lineRule="atLeast"/>
      <w:jc w:val="center"/>
      <w:rPr>
        <w:rFonts w:ascii="Calibri" w:hAnsi="Calibri"/>
        <w:b/>
        <w:bCs/>
        <w:sz w:val="40"/>
        <w:szCs w:val="40"/>
      </w:rPr>
    </w:pPr>
  </w:p>
  <w:p w14:paraId="4F08D9E5" w14:textId="77777777"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14:paraId="219C0D38" w14:textId="77777777" w:rsidR="00CF6F33" w:rsidRPr="00BF6F73"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BF6F73">
      <w:rPr>
        <w:rFonts w:ascii="Segoe UI" w:hAnsi="Segoe UI" w:cs="Segoe UI"/>
        <w:b/>
        <w:bCs/>
        <w:noProof/>
        <w:color w:val="3E3C3C"/>
        <w:sz w:val="40"/>
        <w:szCs w:val="40"/>
        <w:lang w:val="hu-HU" w:eastAsia="hu-HU"/>
      </w:rPr>
      <mc:AlternateContent>
        <mc:Choice Requires="wpg">
          <w:drawing>
            <wp:anchor distT="0" distB="0" distL="114300" distR="114300" simplePos="0" relativeHeight="251658240" behindDoc="0" locked="0" layoutInCell="1" allowOverlap="1" wp14:anchorId="34C3C41F" wp14:editId="5547BA25">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B3637D"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r w:rsidR="00F52372" w:rsidRPr="00BF6F73">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4211"/>
    <w:multiLevelType w:val="hybridMultilevel"/>
    <w:tmpl w:val="8216E7FC"/>
    <w:lvl w:ilvl="0" w:tplc="D2C685E2">
      <w:start w:val="1"/>
      <w:numFmt w:val="bullet"/>
      <w:lvlText w:val=""/>
      <w:lvlJc w:val="left"/>
      <w:pPr>
        <w:ind w:left="720" w:hanging="360"/>
      </w:pPr>
      <w:rPr>
        <w:rFonts w:ascii="Symbol" w:hAnsi="Symbol" w:hint="default"/>
        <w:u w:color="E1000F"/>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F02D8"/>
    <w:multiLevelType w:val="hybridMultilevel"/>
    <w:tmpl w:val="7200F2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811150"/>
    <w:multiLevelType w:val="hybridMultilevel"/>
    <w:tmpl w:val="CD723DE0"/>
    <w:lvl w:ilvl="0" w:tplc="D2C685E2">
      <w:start w:val="1"/>
      <w:numFmt w:val="bullet"/>
      <w:lvlText w:val=""/>
      <w:lvlJc w:val="left"/>
      <w:pPr>
        <w:ind w:left="1074" w:hanging="360"/>
      </w:pPr>
      <w:rPr>
        <w:rFonts w:ascii="Symbol" w:hAnsi="Symbol" w:hint="default"/>
        <w:u w:color="E1000F"/>
      </w:rPr>
    </w:lvl>
    <w:lvl w:ilvl="1" w:tplc="04070003" w:tentative="1">
      <w:start w:val="1"/>
      <w:numFmt w:val="bullet"/>
      <w:lvlText w:val="o"/>
      <w:lvlJc w:val="left"/>
      <w:pPr>
        <w:ind w:left="1794" w:hanging="360"/>
      </w:pPr>
      <w:rPr>
        <w:rFonts w:ascii="Courier New" w:hAnsi="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8" w15:restartNumberingAfterBreak="0">
    <w:nsid w:val="37700C86"/>
    <w:multiLevelType w:val="hybridMultilevel"/>
    <w:tmpl w:val="7FFEB700"/>
    <w:lvl w:ilvl="0" w:tplc="7928596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2A52CB"/>
    <w:multiLevelType w:val="hybridMultilevel"/>
    <w:tmpl w:val="F3024438"/>
    <w:lvl w:ilvl="0" w:tplc="36002C28">
      <w:start w:val="1"/>
      <w:numFmt w:val="bullet"/>
      <w:lvlText w:val=""/>
      <w:lvlJc w:val="left"/>
      <w:pPr>
        <w:ind w:left="720" w:hanging="360"/>
      </w:pPr>
      <w:rPr>
        <w:rFonts w:ascii="Wingdings" w:hAnsi="Wingdings" w:hint="default"/>
        <w:color w:val="E1000F"/>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12470227">
    <w:abstractNumId w:val="2"/>
  </w:num>
  <w:num w:numId="2" w16cid:durableId="429815683">
    <w:abstractNumId w:val="0"/>
  </w:num>
  <w:num w:numId="3" w16cid:durableId="2131197503">
    <w:abstractNumId w:val="12"/>
  </w:num>
  <w:num w:numId="4" w16cid:durableId="876772717">
    <w:abstractNumId w:val="10"/>
  </w:num>
  <w:num w:numId="5" w16cid:durableId="1244799857">
    <w:abstractNumId w:val="5"/>
  </w:num>
  <w:num w:numId="6" w16cid:durableId="1475028290">
    <w:abstractNumId w:val="7"/>
  </w:num>
  <w:num w:numId="7" w16cid:durableId="1800148559">
    <w:abstractNumId w:val="1"/>
  </w:num>
  <w:num w:numId="8" w16cid:durableId="1039281069">
    <w:abstractNumId w:val="9"/>
  </w:num>
  <w:num w:numId="9" w16cid:durableId="2099669331">
    <w:abstractNumId w:val="4"/>
  </w:num>
  <w:num w:numId="10" w16cid:durableId="881209514">
    <w:abstractNumId w:val="13"/>
  </w:num>
  <w:num w:numId="11" w16cid:durableId="72433970">
    <w:abstractNumId w:val="6"/>
  </w:num>
  <w:num w:numId="12" w16cid:durableId="831216167">
    <w:abstractNumId w:val="11"/>
  </w:num>
  <w:num w:numId="13" w16cid:durableId="1813281889">
    <w:abstractNumId w:val="8"/>
  </w:num>
  <w:num w:numId="14" w16cid:durableId="945700445">
    <w:abstractNumId w:val="3"/>
  </w:num>
  <w:num w:numId="15" w16cid:durableId="1495687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0391"/>
    <w:rsid w:val="00002AA4"/>
    <w:rsid w:val="00004393"/>
    <w:rsid w:val="00005267"/>
    <w:rsid w:val="00006346"/>
    <w:rsid w:val="000109A5"/>
    <w:rsid w:val="00010DF5"/>
    <w:rsid w:val="00011CA2"/>
    <w:rsid w:val="00015263"/>
    <w:rsid w:val="000208B5"/>
    <w:rsid w:val="00021C67"/>
    <w:rsid w:val="00022E63"/>
    <w:rsid w:val="00022E6C"/>
    <w:rsid w:val="00023852"/>
    <w:rsid w:val="000269E6"/>
    <w:rsid w:val="00030368"/>
    <w:rsid w:val="00030557"/>
    <w:rsid w:val="00030F51"/>
    <w:rsid w:val="00031FC3"/>
    <w:rsid w:val="00040866"/>
    <w:rsid w:val="00041C74"/>
    <w:rsid w:val="000440C0"/>
    <w:rsid w:val="00046AF9"/>
    <w:rsid w:val="00050E7F"/>
    <w:rsid w:val="00053CE9"/>
    <w:rsid w:val="000575F9"/>
    <w:rsid w:val="000618FC"/>
    <w:rsid w:val="00061AB1"/>
    <w:rsid w:val="00061DA9"/>
    <w:rsid w:val="000622B2"/>
    <w:rsid w:val="00065DDB"/>
    <w:rsid w:val="00066E20"/>
    <w:rsid w:val="0006713A"/>
    <w:rsid w:val="00070204"/>
    <w:rsid w:val="00070400"/>
    <w:rsid w:val="000763E0"/>
    <w:rsid w:val="000802E4"/>
    <w:rsid w:val="00080A02"/>
    <w:rsid w:val="00080D10"/>
    <w:rsid w:val="0008373D"/>
    <w:rsid w:val="00084003"/>
    <w:rsid w:val="000901E9"/>
    <w:rsid w:val="00090430"/>
    <w:rsid w:val="000919A4"/>
    <w:rsid w:val="00093683"/>
    <w:rsid w:val="00093CF4"/>
    <w:rsid w:val="00093F26"/>
    <w:rsid w:val="0009600D"/>
    <w:rsid w:val="000969F6"/>
    <w:rsid w:val="000975B6"/>
    <w:rsid w:val="000977B1"/>
    <w:rsid w:val="000A156F"/>
    <w:rsid w:val="000A1A38"/>
    <w:rsid w:val="000A5285"/>
    <w:rsid w:val="000A6A84"/>
    <w:rsid w:val="000B1D64"/>
    <w:rsid w:val="000B20E9"/>
    <w:rsid w:val="000B4203"/>
    <w:rsid w:val="000C0870"/>
    <w:rsid w:val="000C16F8"/>
    <w:rsid w:val="000C56DD"/>
    <w:rsid w:val="000D0F25"/>
    <w:rsid w:val="000D1672"/>
    <w:rsid w:val="000D3354"/>
    <w:rsid w:val="000D56B0"/>
    <w:rsid w:val="000E11DD"/>
    <w:rsid w:val="000E33F9"/>
    <w:rsid w:val="000E7F24"/>
    <w:rsid w:val="000F03BE"/>
    <w:rsid w:val="000F225B"/>
    <w:rsid w:val="000F677D"/>
    <w:rsid w:val="000F7FAF"/>
    <w:rsid w:val="00101054"/>
    <w:rsid w:val="0010411B"/>
    <w:rsid w:val="00111F4D"/>
    <w:rsid w:val="00115230"/>
    <w:rsid w:val="00115966"/>
    <w:rsid w:val="001162B4"/>
    <w:rsid w:val="00116915"/>
    <w:rsid w:val="00122CBC"/>
    <w:rsid w:val="00126D4A"/>
    <w:rsid w:val="00127981"/>
    <w:rsid w:val="00127F2F"/>
    <w:rsid w:val="00130D50"/>
    <w:rsid w:val="0013140C"/>
    <w:rsid w:val="0013282B"/>
    <w:rsid w:val="00132DA9"/>
    <w:rsid w:val="0013305B"/>
    <w:rsid w:val="00133B99"/>
    <w:rsid w:val="00135992"/>
    <w:rsid w:val="00136409"/>
    <w:rsid w:val="001375BE"/>
    <w:rsid w:val="001407A2"/>
    <w:rsid w:val="001412EC"/>
    <w:rsid w:val="001443BD"/>
    <w:rsid w:val="001444D8"/>
    <w:rsid w:val="00147392"/>
    <w:rsid w:val="0014744B"/>
    <w:rsid w:val="00147EC2"/>
    <w:rsid w:val="00160A61"/>
    <w:rsid w:val="00162CF3"/>
    <w:rsid w:val="001631EC"/>
    <w:rsid w:val="00164A96"/>
    <w:rsid w:val="0016572A"/>
    <w:rsid w:val="00165F6C"/>
    <w:rsid w:val="00170936"/>
    <w:rsid w:val="00173F75"/>
    <w:rsid w:val="0017690B"/>
    <w:rsid w:val="00177C60"/>
    <w:rsid w:val="00185567"/>
    <w:rsid w:val="001857C6"/>
    <w:rsid w:val="00186D88"/>
    <w:rsid w:val="00187C64"/>
    <w:rsid w:val="00191199"/>
    <w:rsid w:val="00191623"/>
    <w:rsid w:val="00197E49"/>
    <w:rsid w:val="001A0EAD"/>
    <w:rsid w:val="001A1687"/>
    <w:rsid w:val="001A37DE"/>
    <w:rsid w:val="001A553E"/>
    <w:rsid w:val="001A5F49"/>
    <w:rsid w:val="001A74EE"/>
    <w:rsid w:val="001A7CF0"/>
    <w:rsid w:val="001B2F9A"/>
    <w:rsid w:val="001B477F"/>
    <w:rsid w:val="001B4F0A"/>
    <w:rsid w:val="001B7316"/>
    <w:rsid w:val="001C036F"/>
    <w:rsid w:val="001C081A"/>
    <w:rsid w:val="001C0B32"/>
    <w:rsid w:val="001C4BE1"/>
    <w:rsid w:val="001C663E"/>
    <w:rsid w:val="001D5708"/>
    <w:rsid w:val="001D6B1B"/>
    <w:rsid w:val="001D6E7F"/>
    <w:rsid w:val="001E0F71"/>
    <w:rsid w:val="001E2301"/>
    <w:rsid w:val="001E6D05"/>
    <w:rsid w:val="001E7C28"/>
    <w:rsid w:val="001F1BDF"/>
    <w:rsid w:val="001F695F"/>
    <w:rsid w:val="001F7110"/>
    <w:rsid w:val="001F7457"/>
    <w:rsid w:val="001F7E96"/>
    <w:rsid w:val="00201DDA"/>
    <w:rsid w:val="002044FE"/>
    <w:rsid w:val="00206682"/>
    <w:rsid w:val="00212488"/>
    <w:rsid w:val="00215C09"/>
    <w:rsid w:val="00215FA1"/>
    <w:rsid w:val="00220628"/>
    <w:rsid w:val="002224D5"/>
    <w:rsid w:val="002237D5"/>
    <w:rsid w:val="002241A4"/>
    <w:rsid w:val="00230B78"/>
    <w:rsid w:val="002318E7"/>
    <w:rsid w:val="0023199E"/>
    <w:rsid w:val="00235DD9"/>
    <w:rsid w:val="002365AE"/>
    <w:rsid w:val="00237F62"/>
    <w:rsid w:val="002412A2"/>
    <w:rsid w:val="00243233"/>
    <w:rsid w:val="00243567"/>
    <w:rsid w:val="00244531"/>
    <w:rsid w:val="0024586A"/>
    <w:rsid w:val="00246B23"/>
    <w:rsid w:val="002551CA"/>
    <w:rsid w:val="00262C05"/>
    <w:rsid w:val="00263398"/>
    <w:rsid w:val="00267ABC"/>
    <w:rsid w:val="00267F22"/>
    <w:rsid w:val="00273983"/>
    <w:rsid w:val="00274B13"/>
    <w:rsid w:val="00280A79"/>
    <w:rsid w:val="00280F47"/>
    <w:rsid w:val="00283D71"/>
    <w:rsid w:val="00284558"/>
    <w:rsid w:val="00285EF4"/>
    <w:rsid w:val="00286969"/>
    <w:rsid w:val="002934EB"/>
    <w:rsid w:val="00293771"/>
    <w:rsid w:val="00293832"/>
    <w:rsid w:val="00296BA6"/>
    <w:rsid w:val="00297748"/>
    <w:rsid w:val="002A06A0"/>
    <w:rsid w:val="002A0DF7"/>
    <w:rsid w:val="002A2404"/>
    <w:rsid w:val="002A29F1"/>
    <w:rsid w:val="002A2BAF"/>
    <w:rsid w:val="002A60E0"/>
    <w:rsid w:val="002A6ABE"/>
    <w:rsid w:val="002A6F09"/>
    <w:rsid w:val="002A72ED"/>
    <w:rsid w:val="002A79F6"/>
    <w:rsid w:val="002B26D9"/>
    <w:rsid w:val="002B3F31"/>
    <w:rsid w:val="002B4E88"/>
    <w:rsid w:val="002B6A1D"/>
    <w:rsid w:val="002C2212"/>
    <w:rsid w:val="002C252E"/>
    <w:rsid w:val="002C6773"/>
    <w:rsid w:val="002D0630"/>
    <w:rsid w:val="002D4072"/>
    <w:rsid w:val="002D42C6"/>
    <w:rsid w:val="002D789E"/>
    <w:rsid w:val="002E0A72"/>
    <w:rsid w:val="002E0B17"/>
    <w:rsid w:val="002E29A6"/>
    <w:rsid w:val="002E48EA"/>
    <w:rsid w:val="002E635B"/>
    <w:rsid w:val="002E7DED"/>
    <w:rsid w:val="002F0DAE"/>
    <w:rsid w:val="002F1C0C"/>
    <w:rsid w:val="002F256B"/>
    <w:rsid w:val="002F26E7"/>
    <w:rsid w:val="002F2842"/>
    <w:rsid w:val="002F30CC"/>
    <w:rsid w:val="002F3723"/>
    <w:rsid w:val="002F3C00"/>
    <w:rsid w:val="002F4BFA"/>
    <w:rsid w:val="002F4DED"/>
    <w:rsid w:val="002F7645"/>
    <w:rsid w:val="002F7E11"/>
    <w:rsid w:val="00300B8F"/>
    <w:rsid w:val="00301C98"/>
    <w:rsid w:val="00302A8D"/>
    <w:rsid w:val="00302CBD"/>
    <w:rsid w:val="00303864"/>
    <w:rsid w:val="00304087"/>
    <w:rsid w:val="00304500"/>
    <w:rsid w:val="0030463D"/>
    <w:rsid w:val="00304B66"/>
    <w:rsid w:val="00304C61"/>
    <w:rsid w:val="003050FE"/>
    <w:rsid w:val="00305C88"/>
    <w:rsid w:val="00310ACD"/>
    <w:rsid w:val="0031206E"/>
    <w:rsid w:val="0031379F"/>
    <w:rsid w:val="00316D10"/>
    <w:rsid w:val="00320A26"/>
    <w:rsid w:val="00321344"/>
    <w:rsid w:val="0032256C"/>
    <w:rsid w:val="00323241"/>
    <w:rsid w:val="003311F1"/>
    <w:rsid w:val="00331BC7"/>
    <w:rsid w:val="003346AF"/>
    <w:rsid w:val="0034015C"/>
    <w:rsid w:val="003433AB"/>
    <w:rsid w:val="00344147"/>
    <w:rsid w:val="00344356"/>
    <w:rsid w:val="00346AEC"/>
    <w:rsid w:val="0035332F"/>
    <w:rsid w:val="00353705"/>
    <w:rsid w:val="00354498"/>
    <w:rsid w:val="003562E8"/>
    <w:rsid w:val="00356D5F"/>
    <w:rsid w:val="003609F8"/>
    <w:rsid w:val="0036357D"/>
    <w:rsid w:val="00363736"/>
    <w:rsid w:val="00367AA1"/>
    <w:rsid w:val="0037247B"/>
    <w:rsid w:val="00372C75"/>
    <w:rsid w:val="00372E36"/>
    <w:rsid w:val="003732F7"/>
    <w:rsid w:val="00377CBB"/>
    <w:rsid w:val="003809FA"/>
    <w:rsid w:val="00381142"/>
    <w:rsid w:val="00381B32"/>
    <w:rsid w:val="00382279"/>
    <w:rsid w:val="003843D5"/>
    <w:rsid w:val="00384440"/>
    <w:rsid w:val="003877B6"/>
    <w:rsid w:val="00392D1F"/>
    <w:rsid w:val="00393887"/>
    <w:rsid w:val="00394C6B"/>
    <w:rsid w:val="0039526D"/>
    <w:rsid w:val="0039686F"/>
    <w:rsid w:val="003A0ECA"/>
    <w:rsid w:val="003A6DF9"/>
    <w:rsid w:val="003A76CA"/>
    <w:rsid w:val="003B0D96"/>
    <w:rsid w:val="003B1069"/>
    <w:rsid w:val="003B1E62"/>
    <w:rsid w:val="003B390A"/>
    <w:rsid w:val="003B7E92"/>
    <w:rsid w:val="003B7EB1"/>
    <w:rsid w:val="003C15DE"/>
    <w:rsid w:val="003C38EC"/>
    <w:rsid w:val="003C4C96"/>
    <w:rsid w:val="003C4EB2"/>
    <w:rsid w:val="003C52D1"/>
    <w:rsid w:val="003C54ED"/>
    <w:rsid w:val="003C5D70"/>
    <w:rsid w:val="003C64AB"/>
    <w:rsid w:val="003C76F7"/>
    <w:rsid w:val="003D1368"/>
    <w:rsid w:val="003D3815"/>
    <w:rsid w:val="003D43D8"/>
    <w:rsid w:val="003D4A3D"/>
    <w:rsid w:val="003D5469"/>
    <w:rsid w:val="003E070C"/>
    <w:rsid w:val="003E14C8"/>
    <w:rsid w:val="003E2F48"/>
    <w:rsid w:val="003F1AF3"/>
    <w:rsid w:val="003F1D24"/>
    <w:rsid w:val="003F49C5"/>
    <w:rsid w:val="003F4D8D"/>
    <w:rsid w:val="003F645D"/>
    <w:rsid w:val="00403577"/>
    <w:rsid w:val="00406644"/>
    <w:rsid w:val="00407638"/>
    <w:rsid w:val="00410000"/>
    <w:rsid w:val="0041353C"/>
    <w:rsid w:val="00414BAB"/>
    <w:rsid w:val="004163A1"/>
    <w:rsid w:val="0042245A"/>
    <w:rsid w:val="00422CC8"/>
    <w:rsid w:val="00425043"/>
    <w:rsid w:val="00425663"/>
    <w:rsid w:val="004266DD"/>
    <w:rsid w:val="00430DFC"/>
    <w:rsid w:val="004313E7"/>
    <w:rsid w:val="004347D7"/>
    <w:rsid w:val="004356DD"/>
    <w:rsid w:val="0044763B"/>
    <w:rsid w:val="00450315"/>
    <w:rsid w:val="00450B3F"/>
    <w:rsid w:val="004514B8"/>
    <w:rsid w:val="00455442"/>
    <w:rsid w:val="00455880"/>
    <w:rsid w:val="00460448"/>
    <w:rsid w:val="00460973"/>
    <w:rsid w:val="00460C14"/>
    <w:rsid w:val="004629B3"/>
    <w:rsid w:val="0046376E"/>
    <w:rsid w:val="0046690F"/>
    <w:rsid w:val="00474D25"/>
    <w:rsid w:val="00477AB9"/>
    <w:rsid w:val="00477C43"/>
    <w:rsid w:val="0048117E"/>
    <w:rsid w:val="0048128F"/>
    <w:rsid w:val="00482A5B"/>
    <w:rsid w:val="0048352C"/>
    <w:rsid w:val="00487F6C"/>
    <w:rsid w:val="00490A03"/>
    <w:rsid w:val="004920D8"/>
    <w:rsid w:val="00493133"/>
    <w:rsid w:val="00494DBE"/>
    <w:rsid w:val="00495CE6"/>
    <w:rsid w:val="004A0BA9"/>
    <w:rsid w:val="004A1FE0"/>
    <w:rsid w:val="004A323C"/>
    <w:rsid w:val="004A4401"/>
    <w:rsid w:val="004A44F6"/>
    <w:rsid w:val="004A6A9F"/>
    <w:rsid w:val="004A7F03"/>
    <w:rsid w:val="004B149D"/>
    <w:rsid w:val="004B267E"/>
    <w:rsid w:val="004B3687"/>
    <w:rsid w:val="004B54E8"/>
    <w:rsid w:val="004B6E86"/>
    <w:rsid w:val="004B78E9"/>
    <w:rsid w:val="004C4FEB"/>
    <w:rsid w:val="004C51D1"/>
    <w:rsid w:val="004D059B"/>
    <w:rsid w:val="004D116F"/>
    <w:rsid w:val="004D48E9"/>
    <w:rsid w:val="004D4CB6"/>
    <w:rsid w:val="004D662E"/>
    <w:rsid w:val="004E15E5"/>
    <w:rsid w:val="004E27B2"/>
    <w:rsid w:val="004E2BA9"/>
    <w:rsid w:val="004E554B"/>
    <w:rsid w:val="004E7DE9"/>
    <w:rsid w:val="004F10C1"/>
    <w:rsid w:val="004F18BA"/>
    <w:rsid w:val="004F2E5E"/>
    <w:rsid w:val="004F539E"/>
    <w:rsid w:val="004F7847"/>
    <w:rsid w:val="00502E62"/>
    <w:rsid w:val="0050401E"/>
    <w:rsid w:val="00504A85"/>
    <w:rsid w:val="00504DE7"/>
    <w:rsid w:val="005053C6"/>
    <w:rsid w:val="005100A8"/>
    <w:rsid w:val="005107FD"/>
    <w:rsid w:val="00513037"/>
    <w:rsid w:val="0051436E"/>
    <w:rsid w:val="00514DFC"/>
    <w:rsid w:val="00515044"/>
    <w:rsid w:val="005175D2"/>
    <w:rsid w:val="005176B7"/>
    <w:rsid w:val="00517AC1"/>
    <w:rsid w:val="0052161A"/>
    <w:rsid w:val="0052212B"/>
    <w:rsid w:val="00525A94"/>
    <w:rsid w:val="00525B2E"/>
    <w:rsid w:val="005272CD"/>
    <w:rsid w:val="00534057"/>
    <w:rsid w:val="00534B46"/>
    <w:rsid w:val="00535404"/>
    <w:rsid w:val="00535E64"/>
    <w:rsid w:val="00536857"/>
    <w:rsid w:val="00536E1B"/>
    <w:rsid w:val="00537D6D"/>
    <w:rsid w:val="00540358"/>
    <w:rsid w:val="005472DF"/>
    <w:rsid w:val="0055386A"/>
    <w:rsid w:val="0055488A"/>
    <w:rsid w:val="0055508F"/>
    <w:rsid w:val="00555A2F"/>
    <w:rsid w:val="00556F67"/>
    <w:rsid w:val="00560335"/>
    <w:rsid w:val="00561DF9"/>
    <w:rsid w:val="00564951"/>
    <w:rsid w:val="00574C44"/>
    <w:rsid w:val="00574D75"/>
    <w:rsid w:val="005751AA"/>
    <w:rsid w:val="0058229E"/>
    <w:rsid w:val="0058488E"/>
    <w:rsid w:val="00586CAF"/>
    <w:rsid w:val="00587739"/>
    <w:rsid w:val="00587C8F"/>
    <w:rsid w:val="00591180"/>
    <w:rsid w:val="00592524"/>
    <w:rsid w:val="00592CEA"/>
    <w:rsid w:val="00594F9F"/>
    <w:rsid w:val="00597D07"/>
    <w:rsid w:val="00597D98"/>
    <w:rsid w:val="005A05F2"/>
    <w:rsid w:val="005A062E"/>
    <w:rsid w:val="005A0AA0"/>
    <w:rsid w:val="005A2E37"/>
    <w:rsid w:val="005B1060"/>
    <w:rsid w:val="005B1507"/>
    <w:rsid w:val="005B21C1"/>
    <w:rsid w:val="005B3536"/>
    <w:rsid w:val="005C2333"/>
    <w:rsid w:val="005C6737"/>
    <w:rsid w:val="005C7112"/>
    <w:rsid w:val="005D0561"/>
    <w:rsid w:val="005D0AD9"/>
    <w:rsid w:val="005D115C"/>
    <w:rsid w:val="005D22F6"/>
    <w:rsid w:val="005D2E42"/>
    <w:rsid w:val="005D46F2"/>
    <w:rsid w:val="005D5C6A"/>
    <w:rsid w:val="005D5D42"/>
    <w:rsid w:val="005E0C30"/>
    <w:rsid w:val="005E13D6"/>
    <w:rsid w:val="005E431A"/>
    <w:rsid w:val="005E4A82"/>
    <w:rsid w:val="005E5027"/>
    <w:rsid w:val="005E69D9"/>
    <w:rsid w:val="005E7C25"/>
    <w:rsid w:val="005F181F"/>
    <w:rsid w:val="005F1B4E"/>
    <w:rsid w:val="005F27F4"/>
    <w:rsid w:val="005F30CE"/>
    <w:rsid w:val="005F3239"/>
    <w:rsid w:val="00600799"/>
    <w:rsid w:val="006037A1"/>
    <w:rsid w:val="00606227"/>
    <w:rsid w:val="00607256"/>
    <w:rsid w:val="006144B1"/>
    <w:rsid w:val="00615446"/>
    <w:rsid w:val="00617666"/>
    <w:rsid w:val="00617DBE"/>
    <w:rsid w:val="0062292B"/>
    <w:rsid w:val="00625024"/>
    <w:rsid w:val="006254C0"/>
    <w:rsid w:val="00625A9F"/>
    <w:rsid w:val="0062672E"/>
    <w:rsid w:val="00632F44"/>
    <w:rsid w:val="006335F1"/>
    <w:rsid w:val="00633B6E"/>
    <w:rsid w:val="006345B6"/>
    <w:rsid w:val="00635712"/>
    <w:rsid w:val="00640DF5"/>
    <w:rsid w:val="00644141"/>
    <w:rsid w:val="00647AC4"/>
    <w:rsid w:val="00652229"/>
    <w:rsid w:val="00652793"/>
    <w:rsid w:val="00653303"/>
    <w:rsid w:val="00657554"/>
    <w:rsid w:val="006576BD"/>
    <w:rsid w:val="006610A4"/>
    <w:rsid w:val="006612A7"/>
    <w:rsid w:val="00661ED7"/>
    <w:rsid w:val="006626CA"/>
    <w:rsid w:val="00663487"/>
    <w:rsid w:val="0066351F"/>
    <w:rsid w:val="00671AB6"/>
    <w:rsid w:val="00672382"/>
    <w:rsid w:val="006755E9"/>
    <w:rsid w:val="00675E60"/>
    <w:rsid w:val="00676523"/>
    <w:rsid w:val="00680B48"/>
    <w:rsid w:val="00685F68"/>
    <w:rsid w:val="00690B19"/>
    <w:rsid w:val="0069414E"/>
    <w:rsid w:val="006957AA"/>
    <w:rsid w:val="006979C6"/>
    <w:rsid w:val="006A1D9F"/>
    <w:rsid w:val="006A460B"/>
    <w:rsid w:val="006A7531"/>
    <w:rsid w:val="006A77BB"/>
    <w:rsid w:val="006B0870"/>
    <w:rsid w:val="006B0C2B"/>
    <w:rsid w:val="006B2A70"/>
    <w:rsid w:val="006B2C16"/>
    <w:rsid w:val="006B3B9A"/>
    <w:rsid w:val="006B499F"/>
    <w:rsid w:val="006B786B"/>
    <w:rsid w:val="006C264E"/>
    <w:rsid w:val="006C3F18"/>
    <w:rsid w:val="006C447C"/>
    <w:rsid w:val="006C7F73"/>
    <w:rsid w:val="006D343E"/>
    <w:rsid w:val="006D4996"/>
    <w:rsid w:val="006D4B22"/>
    <w:rsid w:val="006D54AB"/>
    <w:rsid w:val="006E04D5"/>
    <w:rsid w:val="006E0ABE"/>
    <w:rsid w:val="006E5032"/>
    <w:rsid w:val="006F11D3"/>
    <w:rsid w:val="006F1207"/>
    <w:rsid w:val="006F2420"/>
    <w:rsid w:val="006F670F"/>
    <w:rsid w:val="006F6737"/>
    <w:rsid w:val="006F6891"/>
    <w:rsid w:val="007012C5"/>
    <w:rsid w:val="00702159"/>
    <w:rsid w:val="00703272"/>
    <w:rsid w:val="00704C79"/>
    <w:rsid w:val="0070733C"/>
    <w:rsid w:val="00710C5D"/>
    <w:rsid w:val="00712DF4"/>
    <w:rsid w:val="0071348C"/>
    <w:rsid w:val="00714C56"/>
    <w:rsid w:val="00717273"/>
    <w:rsid w:val="00717754"/>
    <w:rsid w:val="0072069E"/>
    <w:rsid w:val="00720EF5"/>
    <w:rsid w:val="00720FD4"/>
    <w:rsid w:val="00723547"/>
    <w:rsid w:val="0073096C"/>
    <w:rsid w:val="00731321"/>
    <w:rsid w:val="00742398"/>
    <w:rsid w:val="00744042"/>
    <w:rsid w:val="007457A7"/>
    <w:rsid w:val="007476FA"/>
    <w:rsid w:val="007507B5"/>
    <w:rsid w:val="00752059"/>
    <w:rsid w:val="00752384"/>
    <w:rsid w:val="00753A24"/>
    <w:rsid w:val="00760A65"/>
    <w:rsid w:val="0076316C"/>
    <w:rsid w:val="007645CF"/>
    <w:rsid w:val="007650B0"/>
    <w:rsid w:val="00772188"/>
    <w:rsid w:val="00773346"/>
    <w:rsid w:val="00773484"/>
    <w:rsid w:val="007770DF"/>
    <w:rsid w:val="00780C94"/>
    <w:rsid w:val="0078222A"/>
    <w:rsid w:val="00782595"/>
    <w:rsid w:val="00783C23"/>
    <w:rsid w:val="00786BA3"/>
    <w:rsid w:val="00795F0F"/>
    <w:rsid w:val="0079757D"/>
    <w:rsid w:val="007A059A"/>
    <w:rsid w:val="007A1667"/>
    <w:rsid w:val="007A2812"/>
    <w:rsid w:val="007A4264"/>
    <w:rsid w:val="007A4432"/>
    <w:rsid w:val="007A549A"/>
    <w:rsid w:val="007A6F48"/>
    <w:rsid w:val="007A74B7"/>
    <w:rsid w:val="007B059C"/>
    <w:rsid w:val="007B4704"/>
    <w:rsid w:val="007B499C"/>
    <w:rsid w:val="007B4D4B"/>
    <w:rsid w:val="007C699B"/>
    <w:rsid w:val="007C7851"/>
    <w:rsid w:val="007D0042"/>
    <w:rsid w:val="007D009E"/>
    <w:rsid w:val="007D05C2"/>
    <w:rsid w:val="007D122F"/>
    <w:rsid w:val="007D137C"/>
    <w:rsid w:val="007D2A02"/>
    <w:rsid w:val="007D33D5"/>
    <w:rsid w:val="007D4367"/>
    <w:rsid w:val="007D7981"/>
    <w:rsid w:val="007E365E"/>
    <w:rsid w:val="007E39EB"/>
    <w:rsid w:val="007E3FF5"/>
    <w:rsid w:val="007E5021"/>
    <w:rsid w:val="007E6BF7"/>
    <w:rsid w:val="007E6EA1"/>
    <w:rsid w:val="007F15FB"/>
    <w:rsid w:val="007F2B1E"/>
    <w:rsid w:val="007F38F1"/>
    <w:rsid w:val="007F5240"/>
    <w:rsid w:val="007F62B4"/>
    <w:rsid w:val="007F6FF5"/>
    <w:rsid w:val="00800565"/>
    <w:rsid w:val="00801517"/>
    <w:rsid w:val="0080491E"/>
    <w:rsid w:val="00810F03"/>
    <w:rsid w:val="008119A5"/>
    <w:rsid w:val="00813390"/>
    <w:rsid w:val="008143D1"/>
    <w:rsid w:val="008167D3"/>
    <w:rsid w:val="00817DE8"/>
    <w:rsid w:val="008229F5"/>
    <w:rsid w:val="00824F05"/>
    <w:rsid w:val="0083301A"/>
    <w:rsid w:val="00833090"/>
    <w:rsid w:val="00833CEB"/>
    <w:rsid w:val="008340C2"/>
    <w:rsid w:val="00834F7D"/>
    <w:rsid w:val="0083502F"/>
    <w:rsid w:val="008356B5"/>
    <w:rsid w:val="0083624D"/>
    <w:rsid w:val="008372D2"/>
    <w:rsid w:val="0084071C"/>
    <w:rsid w:val="00841801"/>
    <w:rsid w:val="008430B6"/>
    <w:rsid w:val="0084372E"/>
    <w:rsid w:val="008442A4"/>
    <w:rsid w:val="008445E5"/>
    <w:rsid w:val="00844C17"/>
    <w:rsid w:val="008469CE"/>
    <w:rsid w:val="008476B5"/>
    <w:rsid w:val="00847726"/>
    <w:rsid w:val="00851466"/>
    <w:rsid w:val="00852511"/>
    <w:rsid w:val="00853EE2"/>
    <w:rsid w:val="0085694C"/>
    <w:rsid w:val="00856E96"/>
    <w:rsid w:val="00857A81"/>
    <w:rsid w:val="00861295"/>
    <w:rsid w:val="008614F1"/>
    <w:rsid w:val="0086379B"/>
    <w:rsid w:val="008639B3"/>
    <w:rsid w:val="00863C1A"/>
    <w:rsid w:val="00864322"/>
    <w:rsid w:val="00864560"/>
    <w:rsid w:val="008667B3"/>
    <w:rsid w:val="00866E3E"/>
    <w:rsid w:val="0087142D"/>
    <w:rsid w:val="00873956"/>
    <w:rsid w:val="008744C4"/>
    <w:rsid w:val="00877953"/>
    <w:rsid w:val="0088061D"/>
    <w:rsid w:val="008825EE"/>
    <w:rsid w:val="0088596E"/>
    <w:rsid w:val="00886A7A"/>
    <w:rsid w:val="0089226C"/>
    <w:rsid w:val="008A2375"/>
    <w:rsid w:val="008A4D19"/>
    <w:rsid w:val="008A6B74"/>
    <w:rsid w:val="008A7986"/>
    <w:rsid w:val="008B051B"/>
    <w:rsid w:val="008B35EB"/>
    <w:rsid w:val="008B66F0"/>
    <w:rsid w:val="008C0897"/>
    <w:rsid w:val="008C2337"/>
    <w:rsid w:val="008C4F31"/>
    <w:rsid w:val="008D1EB4"/>
    <w:rsid w:val="008D6BCD"/>
    <w:rsid w:val="008D76C5"/>
    <w:rsid w:val="008D7E00"/>
    <w:rsid w:val="008E0AFA"/>
    <w:rsid w:val="008E11C1"/>
    <w:rsid w:val="008E2C66"/>
    <w:rsid w:val="008E3591"/>
    <w:rsid w:val="008E55F3"/>
    <w:rsid w:val="008E75D3"/>
    <w:rsid w:val="008F01B1"/>
    <w:rsid w:val="008F125E"/>
    <w:rsid w:val="008F1354"/>
    <w:rsid w:val="008F4D2F"/>
    <w:rsid w:val="008F6967"/>
    <w:rsid w:val="00900D3A"/>
    <w:rsid w:val="00901AA9"/>
    <w:rsid w:val="009026EC"/>
    <w:rsid w:val="00910572"/>
    <w:rsid w:val="00914E09"/>
    <w:rsid w:val="00917162"/>
    <w:rsid w:val="009244A4"/>
    <w:rsid w:val="009251CC"/>
    <w:rsid w:val="00925CA4"/>
    <w:rsid w:val="0092714E"/>
    <w:rsid w:val="009322B3"/>
    <w:rsid w:val="0093481D"/>
    <w:rsid w:val="00936009"/>
    <w:rsid w:val="00937ACF"/>
    <w:rsid w:val="00937B9B"/>
    <w:rsid w:val="00942002"/>
    <w:rsid w:val="009434E2"/>
    <w:rsid w:val="00943E5B"/>
    <w:rsid w:val="00947885"/>
    <w:rsid w:val="00952168"/>
    <w:rsid w:val="009527FE"/>
    <w:rsid w:val="00953059"/>
    <w:rsid w:val="009601A7"/>
    <w:rsid w:val="00960784"/>
    <w:rsid w:val="00960FA9"/>
    <w:rsid w:val="0096200D"/>
    <w:rsid w:val="009627DC"/>
    <w:rsid w:val="009630B6"/>
    <w:rsid w:val="009679C3"/>
    <w:rsid w:val="0097322F"/>
    <w:rsid w:val="00973327"/>
    <w:rsid w:val="009739A0"/>
    <w:rsid w:val="009767C7"/>
    <w:rsid w:val="00982036"/>
    <w:rsid w:val="009835E8"/>
    <w:rsid w:val="009836DC"/>
    <w:rsid w:val="00984342"/>
    <w:rsid w:val="0098579A"/>
    <w:rsid w:val="00985CC1"/>
    <w:rsid w:val="00986CD3"/>
    <w:rsid w:val="00987874"/>
    <w:rsid w:val="0099195A"/>
    <w:rsid w:val="009923B7"/>
    <w:rsid w:val="00994681"/>
    <w:rsid w:val="0099486A"/>
    <w:rsid w:val="009A0E26"/>
    <w:rsid w:val="009A16EC"/>
    <w:rsid w:val="009A211A"/>
    <w:rsid w:val="009A2904"/>
    <w:rsid w:val="009A2F59"/>
    <w:rsid w:val="009A6500"/>
    <w:rsid w:val="009A6D07"/>
    <w:rsid w:val="009B33C8"/>
    <w:rsid w:val="009B3B37"/>
    <w:rsid w:val="009B519C"/>
    <w:rsid w:val="009C088E"/>
    <w:rsid w:val="009C09F2"/>
    <w:rsid w:val="009C1005"/>
    <w:rsid w:val="009C2045"/>
    <w:rsid w:val="009C4D35"/>
    <w:rsid w:val="009C7781"/>
    <w:rsid w:val="009D00E2"/>
    <w:rsid w:val="009D47FA"/>
    <w:rsid w:val="009D6F34"/>
    <w:rsid w:val="009E3015"/>
    <w:rsid w:val="009E5B02"/>
    <w:rsid w:val="009E5EB4"/>
    <w:rsid w:val="009E5F29"/>
    <w:rsid w:val="009E65C3"/>
    <w:rsid w:val="009F4061"/>
    <w:rsid w:val="009F72EF"/>
    <w:rsid w:val="009F7BDF"/>
    <w:rsid w:val="009F7D2E"/>
    <w:rsid w:val="009F7D5B"/>
    <w:rsid w:val="00A03B29"/>
    <w:rsid w:val="00A044D6"/>
    <w:rsid w:val="00A04ADB"/>
    <w:rsid w:val="00A106F8"/>
    <w:rsid w:val="00A10DAC"/>
    <w:rsid w:val="00A11E0F"/>
    <w:rsid w:val="00A13442"/>
    <w:rsid w:val="00A139EF"/>
    <w:rsid w:val="00A17416"/>
    <w:rsid w:val="00A21336"/>
    <w:rsid w:val="00A244C2"/>
    <w:rsid w:val="00A24C0A"/>
    <w:rsid w:val="00A2529C"/>
    <w:rsid w:val="00A26CB6"/>
    <w:rsid w:val="00A3291B"/>
    <w:rsid w:val="00A32F82"/>
    <w:rsid w:val="00A32F8B"/>
    <w:rsid w:val="00A333C0"/>
    <w:rsid w:val="00A3530B"/>
    <w:rsid w:val="00A374FD"/>
    <w:rsid w:val="00A44A60"/>
    <w:rsid w:val="00A45A62"/>
    <w:rsid w:val="00A47A87"/>
    <w:rsid w:val="00A54571"/>
    <w:rsid w:val="00A54AC5"/>
    <w:rsid w:val="00A54CD9"/>
    <w:rsid w:val="00A563EC"/>
    <w:rsid w:val="00A56C2A"/>
    <w:rsid w:val="00A56D41"/>
    <w:rsid w:val="00A60DB5"/>
    <w:rsid w:val="00A61353"/>
    <w:rsid w:val="00A6187F"/>
    <w:rsid w:val="00A61F41"/>
    <w:rsid w:val="00A63436"/>
    <w:rsid w:val="00A63A53"/>
    <w:rsid w:val="00A63D68"/>
    <w:rsid w:val="00A644AF"/>
    <w:rsid w:val="00A64994"/>
    <w:rsid w:val="00A66DB1"/>
    <w:rsid w:val="00A67A92"/>
    <w:rsid w:val="00A75C83"/>
    <w:rsid w:val="00A77CB8"/>
    <w:rsid w:val="00A77E80"/>
    <w:rsid w:val="00A80BE1"/>
    <w:rsid w:val="00A8103A"/>
    <w:rsid w:val="00A848B2"/>
    <w:rsid w:val="00A86CBC"/>
    <w:rsid w:val="00A90E78"/>
    <w:rsid w:val="00A914DE"/>
    <w:rsid w:val="00A91A70"/>
    <w:rsid w:val="00A93F4B"/>
    <w:rsid w:val="00A94564"/>
    <w:rsid w:val="00A952B1"/>
    <w:rsid w:val="00A97CEB"/>
    <w:rsid w:val="00A97FF3"/>
    <w:rsid w:val="00AA1B85"/>
    <w:rsid w:val="00AA41A9"/>
    <w:rsid w:val="00AA780E"/>
    <w:rsid w:val="00AA7E1C"/>
    <w:rsid w:val="00AB1273"/>
    <w:rsid w:val="00AB1CB6"/>
    <w:rsid w:val="00AB1D9A"/>
    <w:rsid w:val="00AC2848"/>
    <w:rsid w:val="00AC353A"/>
    <w:rsid w:val="00AC357C"/>
    <w:rsid w:val="00AC644E"/>
    <w:rsid w:val="00AC6D9D"/>
    <w:rsid w:val="00AD0BFE"/>
    <w:rsid w:val="00AD2E58"/>
    <w:rsid w:val="00AD3F20"/>
    <w:rsid w:val="00AD402B"/>
    <w:rsid w:val="00AD44FE"/>
    <w:rsid w:val="00AD7996"/>
    <w:rsid w:val="00AE0303"/>
    <w:rsid w:val="00AE0D5E"/>
    <w:rsid w:val="00AE49F1"/>
    <w:rsid w:val="00AE76BB"/>
    <w:rsid w:val="00AE7FB2"/>
    <w:rsid w:val="00AF4391"/>
    <w:rsid w:val="00AF45E8"/>
    <w:rsid w:val="00AF6CBB"/>
    <w:rsid w:val="00B02FC0"/>
    <w:rsid w:val="00B053AF"/>
    <w:rsid w:val="00B05CCA"/>
    <w:rsid w:val="00B069D8"/>
    <w:rsid w:val="00B06EF6"/>
    <w:rsid w:val="00B07151"/>
    <w:rsid w:val="00B11F1E"/>
    <w:rsid w:val="00B14271"/>
    <w:rsid w:val="00B154E2"/>
    <w:rsid w:val="00B23908"/>
    <w:rsid w:val="00B2685D"/>
    <w:rsid w:val="00B27235"/>
    <w:rsid w:val="00B27E9A"/>
    <w:rsid w:val="00B30351"/>
    <w:rsid w:val="00B31808"/>
    <w:rsid w:val="00B33AD4"/>
    <w:rsid w:val="00B33C2A"/>
    <w:rsid w:val="00B35822"/>
    <w:rsid w:val="00B359A0"/>
    <w:rsid w:val="00B36A6A"/>
    <w:rsid w:val="00B422EC"/>
    <w:rsid w:val="00B45AD6"/>
    <w:rsid w:val="00B55EFD"/>
    <w:rsid w:val="00B57392"/>
    <w:rsid w:val="00B67C12"/>
    <w:rsid w:val="00B7299C"/>
    <w:rsid w:val="00B74EE6"/>
    <w:rsid w:val="00B80304"/>
    <w:rsid w:val="00B80FC3"/>
    <w:rsid w:val="00B819A2"/>
    <w:rsid w:val="00B820D7"/>
    <w:rsid w:val="00B82F13"/>
    <w:rsid w:val="00B84FCC"/>
    <w:rsid w:val="00B86A4F"/>
    <w:rsid w:val="00B87094"/>
    <w:rsid w:val="00B9304D"/>
    <w:rsid w:val="00B958E8"/>
    <w:rsid w:val="00B9619D"/>
    <w:rsid w:val="00BA09B2"/>
    <w:rsid w:val="00BA1C6D"/>
    <w:rsid w:val="00BA6C6C"/>
    <w:rsid w:val="00BB0223"/>
    <w:rsid w:val="00BB02C8"/>
    <w:rsid w:val="00BB121B"/>
    <w:rsid w:val="00BB4247"/>
    <w:rsid w:val="00BB512A"/>
    <w:rsid w:val="00BC07BF"/>
    <w:rsid w:val="00BC0995"/>
    <w:rsid w:val="00BC48D6"/>
    <w:rsid w:val="00BC49F7"/>
    <w:rsid w:val="00BD32CA"/>
    <w:rsid w:val="00BD56B7"/>
    <w:rsid w:val="00BD7208"/>
    <w:rsid w:val="00BE1489"/>
    <w:rsid w:val="00BE7091"/>
    <w:rsid w:val="00BE793A"/>
    <w:rsid w:val="00BF1C48"/>
    <w:rsid w:val="00BF432A"/>
    <w:rsid w:val="00BF4B5C"/>
    <w:rsid w:val="00BF6E82"/>
    <w:rsid w:val="00BF6F73"/>
    <w:rsid w:val="00C01DE3"/>
    <w:rsid w:val="00C04A89"/>
    <w:rsid w:val="00C06EA9"/>
    <w:rsid w:val="00C07412"/>
    <w:rsid w:val="00C11510"/>
    <w:rsid w:val="00C1200B"/>
    <w:rsid w:val="00C144DF"/>
    <w:rsid w:val="00C22049"/>
    <w:rsid w:val="00C22A23"/>
    <w:rsid w:val="00C23282"/>
    <w:rsid w:val="00C24C17"/>
    <w:rsid w:val="00C25FFA"/>
    <w:rsid w:val="00C26894"/>
    <w:rsid w:val="00C26E3E"/>
    <w:rsid w:val="00C314CC"/>
    <w:rsid w:val="00C340B7"/>
    <w:rsid w:val="00C37831"/>
    <w:rsid w:val="00C40B88"/>
    <w:rsid w:val="00C424F8"/>
    <w:rsid w:val="00C446AC"/>
    <w:rsid w:val="00C460F6"/>
    <w:rsid w:val="00C475F5"/>
    <w:rsid w:val="00C47D87"/>
    <w:rsid w:val="00C5376E"/>
    <w:rsid w:val="00C548B1"/>
    <w:rsid w:val="00C567F8"/>
    <w:rsid w:val="00C63E66"/>
    <w:rsid w:val="00C66C67"/>
    <w:rsid w:val="00C70000"/>
    <w:rsid w:val="00C70961"/>
    <w:rsid w:val="00C70C9A"/>
    <w:rsid w:val="00C76F73"/>
    <w:rsid w:val="00C848F6"/>
    <w:rsid w:val="00C912A6"/>
    <w:rsid w:val="00C91A24"/>
    <w:rsid w:val="00C93D4A"/>
    <w:rsid w:val="00C942E3"/>
    <w:rsid w:val="00C9434F"/>
    <w:rsid w:val="00C95613"/>
    <w:rsid w:val="00C95A2E"/>
    <w:rsid w:val="00C96BEC"/>
    <w:rsid w:val="00C96D73"/>
    <w:rsid w:val="00C97091"/>
    <w:rsid w:val="00CA2001"/>
    <w:rsid w:val="00CB11B6"/>
    <w:rsid w:val="00CB46D4"/>
    <w:rsid w:val="00CB5233"/>
    <w:rsid w:val="00CB5B6C"/>
    <w:rsid w:val="00CC5DFC"/>
    <w:rsid w:val="00CC62C8"/>
    <w:rsid w:val="00CD1A19"/>
    <w:rsid w:val="00CD22B4"/>
    <w:rsid w:val="00CD3B0B"/>
    <w:rsid w:val="00CD4616"/>
    <w:rsid w:val="00CE33D5"/>
    <w:rsid w:val="00CE7074"/>
    <w:rsid w:val="00CF3A94"/>
    <w:rsid w:val="00CF3E60"/>
    <w:rsid w:val="00CF44D9"/>
    <w:rsid w:val="00CF5D37"/>
    <w:rsid w:val="00CF6F33"/>
    <w:rsid w:val="00CF788E"/>
    <w:rsid w:val="00D00877"/>
    <w:rsid w:val="00D009AC"/>
    <w:rsid w:val="00D00C25"/>
    <w:rsid w:val="00D02248"/>
    <w:rsid w:val="00D04602"/>
    <w:rsid w:val="00D063B8"/>
    <w:rsid w:val="00D1252A"/>
    <w:rsid w:val="00D1517F"/>
    <w:rsid w:val="00D17E3B"/>
    <w:rsid w:val="00D20169"/>
    <w:rsid w:val="00D213B6"/>
    <w:rsid w:val="00D23A19"/>
    <w:rsid w:val="00D23C09"/>
    <w:rsid w:val="00D23CED"/>
    <w:rsid w:val="00D249AE"/>
    <w:rsid w:val="00D24BD2"/>
    <w:rsid w:val="00D24E11"/>
    <w:rsid w:val="00D24FCF"/>
    <w:rsid w:val="00D260A2"/>
    <w:rsid w:val="00D27B26"/>
    <w:rsid w:val="00D30CC6"/>
    <w:rsid w:val="00D3260C"/>
    <w:rsid w:val="00D35790"/>
    <w:rsid w:val="00D3606F"/>
    <w:rsid w:val="00D40AFA"/>
    <w:rsid w:val="00D425DA"/>
    <w:rsid w:val="00D46F25"/>
    <w:rsid w:val="00D51CF2"/>
    <w:rsid w:val="00D55CBF"/>
    <w:rsid w:val="00D61723"/>
    <w:rsid w:val="00D619A4"/>
    <w:rsid w:val="00D619AA"/>
    <w:rsid w:val="00D62EF1"/>
    <w:rsid w:val="00D6309D"/>
    <w:rsid w:val="00D644CA"/>
    <w:rsid w:val="00D64765"/>
    <w:rsid w:val="00D647B8"/>
    <w:rsid w:val="00D66FC2"/>
    <w:rsid w:val="00D72A4B"/>
    <w:rsid w:val="00D72B39"/>
    <w:rsid w:val="00D76C7E"/>
    <w:rsid w:val="00D76CDD"/>
    <w:rsid w:val="00D76FD6"/>
    <w:rsid w:val="00D804F0"/>
    <w:rsid w:val="00D817FA"/>
    <w:rsid w:val="00D82A3B"/>
    <w:rsid w:val="00D83789"/>
    <w:rsid w:val="00D8631C"/>
    <w:rsid w:val="00D92226"/>
    <w:rsid w:val="00D9293F"/>
    <w:rsid w:val="00D93598"/>
    <w:rsid w:val="00D937A6"/>
    <w:rsid w:val="00D94ADF"/>
    <w:rsid w:val="00D96003"/>
    <w:rsid w:val="00DA03FD"/>
    <w:rsid w:val="00DA04D4"/>
    <w:rsid w:val="00DA0A33"/>
    <w:rsid w:val="00DA1E18"/>
    <w:rsid w:val="00DA3679"/>
    <w:rsid w:val="00DA390B"/>
    <w:rsid w:val="00DB0517"/>
    <w:rsid w:val="00DB05B1"/>
    <w:rsid w:val="00DB62D3"/>
    <w:rsid w:val="00DC0681"/>
    <w:rsid w:val="00DC3761"/>
    <w:rsid w:val="00DC43D7"/>
    <w:rsid w:val="00DC51DC"/>
    <w:rsid w:val="00DD2EFE"/>
    <w:rsid w:val="00DD448A"/>
    <w:rsid w:val="00DD512E"/>
    <w:rsid w:val="00DD7433"/>
    <w:rsid w:val="00DD7D45"/>
    <w:rsid w:val="00DE0574"/>
    <w:rsid w:val="00DE0FF7"/>
    <w:rsid w:val="00DE1177"/>
    <w:rsid w:val="00DE2CEA"/>
    <w:rsid w:val="00DE3C09"/>
    <w:rsid w:val="00DE6A3C"/>
    <w:rsid w:val="00DE7F97"/>
    <w:rsid w:val="00DF1010"/>
    <w:rsid w:val="00DF1B5B"/>
    <w:rsid w:val="00DF4360"/>
    <w:rsid w:val="00DF4473"/>
    <w:rsid w:val="00DF4537"/>
    <w:rsid w:val="00DF54E7"/>
    <w:rsid w:val="00DF5AEA"/>
    <w:rsid w:val="00DF63F6"/>
    <w:rsid w:val="00E0082D"/>
    <w:rsid w:val="00E009AB"/>
    <w:rsid w:val="00E0140F"/>
    <w:rsid w:val="00E044E3"/>
    <w:rsid w:val="00E049EB"/>
    <w:rsid w:val="00E04D75"/>
    <w:rsid w:val="00E054F7"/>
    <w:rsid w:val="00E112C9"/>
    <w:rsid w:val="00E13161"/>
    <w:rsid w:val="00E13747"/>
    <w:rsid w:val="00E22F0B"/>
    <w:rsid w:val="00E24C7C"/>
    <w:rsid w:val="00E257E0"/>
    <w:rsid w:val="00E25AC0"/>
    <w:rsid w:val="00E25AEA"/>
    <w:rsid w:val="00E260A1"/>
    <w:rsid w:val="00E30CEC"/>
    <w:rsid w:val="00E30DEF"/>
    <w:rsid w:val="00E30E38"/>
    <w:rsid w:val="00E30ED2"/>
    <w:rsid w:val="00E319AB"/>
    <w:rsid w:val="00E331D8"/>
    <w:rsid w:val="00E345F1"/>
    <w:rsid w:val="00E36252"/>
    <w:rsid w:val="00E365C9"/>
    <w:rsid w:val="00E36CE1"/>
    <w:rsid w:val="00E371A1"/>
    <w:rsid w:val="00E37F70"/>
    <w:rsid w:val="00E41AF5"/>
    <w:rsid w:val="00E446C1"/>
    <w:rsid w:val="00E50541"/>
    <w:rsid w:val="00E55FBB"/>
    <w:rsid w:val="00E56A31"/>
    <w:rsid w:val="00E60148"/>
    <w:rsid w:val="00E61CB9"/>
    <w:rsid w:val="00E65030"/>
    <w:rsid w:val="00E65397"/>
    <w:rsid w:val="00E65861"/>
    <w:rsid w:val="00E65AC7"/>
    <w:rsid w:val="00E661D0"/>
    <w:rsid w:val="00E674D2"/>
    <w:rsid w:val="00E758B9"/>
    <w:rsid w:val="00E76ECE"/>
    <w:rsid w:val="00E77E9A"/>
    <w:rsid w:val="00E77EA9"/>
    <w:rsid w:val="00E8100F"/>
    <w:rsid w:val="00E81CD9"/>
    <w:rsid w:val="00E834C6"/>
    <w:rsid w:val="00E83D08"/>
    <w:rsid w:val="00E85569"/>
    <w:rsid w:val="00E856AF"/>
    <w:rsid w:val="00E86055"/>
    <w:rsid w:val="00E862BC"/>
    <w:rsid w:val="00E8659E"/>
    <w:rsid w:val="00E90E08"/>
    <w:rsid w:val="00E936CD"/>
    <w:rsid w:val="00E93A01"/>
    <w:rsid w:val="00E93FF8"/>
    <w:rsid w:val="00E949B7"/>
    <w:rsid w:val="00E95D9F"/>
    <w:rsid w:val="00E96EAF"/>
    <w:rsid w:val="00EA086C"/>
    <w:rsid w:val="00EA1752"/>
    <w:rsid w:val="00EA297F"/>
    <w:rsid w:val="00EA326E"/>
    <w:rsid w:val="00EA5BDB"/>
    <w:rsid w:val="00EA66D7"/>
    <w:rsid w:val="00EB1795"/>
    <w:rsid w:val="00EB4D75"/>
    <w:rsid w:val="00EB7398"/>
    <w:rsid w:val="00EC00AC"/>
    <w:rsid w:val="00EC0368"/>
    <w:rsid w:val="00EC0586"/>
    <w:rsid w:val="00EC142D"/>
    <w:rsid w:val="00EC7476"/>
    <w:rsid w:val="00ED1B14"/>
    <w:rsid w:val="00ED2B5C"/>
    <w:rsid w:val="00EE0202"/>
    <w:rsid w:val="00EE0824"/>
    <w:rsid w:val="00EE0FC7"/>
    <w:rsid w:val="00EE1460"/>
    <w:rsid w:val="00EE148F"/>
    <w:rsid w:val="00EE31A6"/>
    <w:rsid w:val="00EE40B1"/>
    <w:rsid w:val="00EE490A"/>
    <w:rsid w:val="00EE552F"/>
    <w:rsid w:val="00EE6FED"/>
    <w:rsid w:val="00EF15FF"/>
    <w:rsid w:val="00EF2109"/>
    <w:rsid w:val="00EF5F99"/>
    <w:rsid w:val="00EF7111"/>
    <w:rsid w:val="00EF7952"/>
    <w:rsid w:val="00EF7AD1"/>
    <w:rsid w:val="00EF7C94"/>
    <w:rsid w:val="00EF7D1A"/>
    <w:rsid w:val="00F00659"/>
    <w:rsid w:val="00F04056"/>
    <w:rsid w:val="00F0448F"/>
    <w:rsid w:val="00F05A8A"/>
    <w:rsid w:val="00F06B21"/>
    <w:rsid w:val="00F0769F"/>
    <w:rsid w:val="00F12129"/>
    <w:rsid w:val="00F12D04"/>
    <w:rsid w:val="00F133C4"/>
    <w:rsid w:val="00F153FA"/>
    <w:rsid w:val="00F1670D"/>
    <w:rsid w:val="00F21800"/>
    <w:rsid w:val="00F21D26"/>
    <w:rsid w:val="00F22BD2"/>
    <w:rsid w:val="00F25A13"/>
    <w:rsid w:val="00F275C0"/>
    <w:rsid w:val="00F313E7"/>
    <w:rsid w:val="00F36145"/>
    <w:rsid w:val="00F3763E"/>
    <w:rsid w:val="00F37BDD"/>
    <w:rsid w:val="00F37F3B"/>
    <w:rsid w:val="00F40606"/>
    <w:rsid w:val="00F40713"/>
    <w:rsid w:val="00F41503"/>
    <w:rsid w:val="00F466C8"/>
    <w:rsid w:val="00F46900"/>
    <w:rsid w:val="00F50B46"/>
    <w:rsid w:val="00F50CE0"/>
    <w:rsid w:val="00F51111"/>
    <w:rsid w:val="00F52372"/>
    <w:rsid w:val="00F53B85"/>
    <w:rsid w:val="00F54647"/>
    <w:rsid w:val="00F5551C"/>
    <w:rsid w:val="00F55683"/>
    <w:rsid w:val="00F56CE6"/>
    <w:rsid w:val="00F57375"/>
    <w:rsid w:val="00F60CB0"/>
    <w:rsid w:val="00F61491"/>
    <w:rsid w:val="00F617C7"/>
    <w:rsid w:val="00F62509"/>
    <w:rsid w:val="00F62746"/>
    <w:rsid w:val="00F627E3"/>
    <w:rsid w:val="00F629FF"/>
    <w:rsid w:val="00F63A35"/>
    <w:rsid w:val="00F63D03"/>
    <w:rsid w:val="00F64049"/>
    <w:rsid w:val="00F649F5"/>
    <w:rsid w:val="00F65E2F"/>
    <w:rsid w:val="00F67DF1"/>
    <w:rsid w:val="00F67FBB"/>
    <w:rsid w:val="00F738FC"/>
    <w:rsid w:val="00F81B6C"/>
    <w:rsid w:val="00F8309B"/>
    <w:rsid w:val="00F83325"/>
    <w:rsid w:val="00F833C9"/>
    <w:rsid w:val="00F871FB"/>
    <w:rsid w:val="00F878C7"/>
    <w:rsid w:val="00F90064"/>
    <w:rsid w:val="00F961C5"/>
    <w:rsid w:val="00F96AFD"/>
    <w:rsid w:val="00FA2371"/>
    <w:rsid w:val="00FA2E19"/>
    <w:rsid w:val="00FA2FAF"/>
    <w:rsid w:val="00FA4A44"/>
    <w:rsid w:val="00FA7E9E"/>
    <w:rsid w:val="00FB398B"/>
    <w:rsid w:val="00FB610D"/>
    <w:rsid w:val="00FB7774"/>
    <w:rsid w:val="00FC20D2"/>
    <w:rsid w:val="00FD0475"/>
    <w:rsid w:val="00FD4B37"/>
    <w:rsid w:val="00FD4CCA"/>
    <w:rsid w:val="00FE2A9E"/>
    <w:rsid w:val="00FE5ED8"/>
    <w:rsid w:val="00FF207F"/>
    <w:rsid w:val="00FF39B0"/>
    <w:rsid w:val="00FF5C18"/>
    <w:rsid w:val="00FF6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2D7F7DA"/>
  <w15:chartTrackingRefBased/>
  <w15:docId w15:val="{71307925-034F-420E-A36A-60C46E7B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link w:val="Cmsor2Char"/>
    <w:uiPriority w:val="9"/>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character" w:customStyle="1" w:styleId="Cmsor2Char">
    <w:name w:val="Címsor 2 Char"/>
    <w:link w:val="Cmsor2"/>
    <w:uiPriority w:val="9"/>
    <w:locked/>
    <w:rsid w:val="006979C6"/>
    <w:rPr>
      <w:rFonts w:ascii="Arial" w:hAnsi="Arial" w:cs="Arial"/>
      <w:bCs/>
      <w:iCs/>
      <w:color w:val="E1000F"/>
      <w:sz w:val="22"/>
      <w:szCs w:val="28"/>
      <w:lang w:eastAsia="en-US"/>
    </w:rPr>
  </w:style>
  <w:style w:type="paragraph" w:styleId="NormlWeb">
    <w:name w:val="Normal (Web)"/>
    <w:basedOn w:val="Norml"/>
    <w:uiPriority w:val="99"/>
    <w:unhideWhenUsed/>
    <w:rsid w:val="006979C6"/>
    <w:pPr>
      <w:spacing w:after="105" w:line="240" w:lineRule="auto"/>
    </w:pPr>
    <w:rPr>
      <w:rFonts w:ascii="Times New Roman" w:hAnsi="Times New Roman"/>
      <w:sz w:val="34"/>
      <w:szCs w:val="34"/>
      <w:lang w:eastAsia="de-DE"/>
    </w:rPr>
  </w:style>
  <w:style w:type="character" w:styleId="Mrltotthiperhivatkozs">
    <w:name w:val="FollowedHyperlink"/>
    <w:basedOn w:val="Bekezdsalapbettpusa"/>
    <w:rsid w:val="00BD56B7"/>
    <w:rPr>
      <w:color w:val="954F72" w:themeColor="followedHyperlink"/>
      <w:u w:val="single"/>
    </w:rPr>
  </w:style>
  <w:style w:type="character" w:styleId="Feloldatlanmegemlts">
    <w:name w:val="Unresolved Mention"/>
    <w:basedOn w:val="Bekezdsalapbettpusa"/>
    <w:uiPriority w:val="99"/>
    <w:semiHidden/>
    <w:unhideWhenUsed/>
    <w:rsid w:val="00AB1273"/>
    <w:rPr>
      <w:color w:val="808080"/>
      <w:shd w:val="clear" w:color="auto" w:fill="E6E6E6"/>
    </w:rPr>
  </w:style>
  <w:style w:type="paragraph" w:customStyle="1" w:styleId="PRTopline">
    <w:name w:val="_PR_Topline"/>
    <w:next w:val="Norml"/>
    <w:rsid w:val="00C26894"/>
    <w:pPr>
      <w:keepLines/>
      <w:spacing w:after="320" w:line="320" w:lineRule="exact"/>
    </w:pPr>
    <w:rPr>
      <w:rFonts w:ascii="Arial" w:hAnsi="Arial"/>
      <w:color w:val="000000"/>
      <w:sz w:val="24"/>
      <w:lang w:eastAsia="en-US"/>
    </w:rPr>
  </w:style>
  <w:style w:type="paragraph" w:customStyle="1" w:styleId="PRHeadline">
    <w:name w:val="_PR_Headline"/>
    <w:basedOn w:val="Norml"/>
    <w:next w:val="Norml"/>
    <w:link w:val="PRHeadlineZchn"/>
    <w:rsid w:val="00C26894"/>
    <w:pPr>
      <w:spacing w:after="280" w:line="280" w:lineRule="exact"/>
    </w:pPr>
    <w:rPr>
      <w:b/>
      <w:sz w:val="28"/>
      <w:szCs w:val="20"/>
      <w:lang w:val="hu-HU" w:eastAsia="de-DE"/>
    </w:rPr>
  </w:style>
  <w:style w:type="paragraph" w:customStyle="1" w:styleId="PRCopy">
    <w:name w:val="_PR_Copy"/>
    <w:basedOn w:val="Norml"/>
    <w:uiPriority w:val="99"/>
    <w:rsid w:val="00C26894"/>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paragraph" w:customStyle="1" w:styleId="PRAbstract">
    <w:name w:val="_PR_Abstract"/>
    <w:basedOn w:val="Norml"/>
    <w:next w:val="PRCopy"/>
    <w:link w:val="PRAbstractZchn"/>
    <w:rsid w:val="00C26894"/>
    <w:pPr>
      <w:keepNext/>
      <w:keepLines/>
      <w:widowControl w:val="0"/>
      <w:spacing w:after="280" w:line="280" w:lineRule="exact"/>
      <w:jc w:val="both"/>
    </w:pPr>
    <w:rPr>
      <w:b/>
      <w:szCs w:val="20"/>
      <w:lang w:val="hu-HU" w:eastAsia="de-DE"/>
    </w:rPr>
  </w:style>
  <w:style w:type="character" w:customStyle="1" w:styleId="PRHeadlineZchn">
    <w:name w:val="_PR_Headline Zchn"/>
    <w:link w:val="PRHeadline"/>
    <w:locked/>
    <w:rsid w:val="00C26894"/>
    <w:rPr>
      <w:rFonts w:ascii="Arial" w:hAnsi="Arial"/>
      <w:b/>
      <w:sz w:val="28"/>
      <w:lang w:val="hu-HU"/>
    </w:rPr>
  </w:style>
  <w:style w:type="character" w:customStyle="1" w:styleId="PRAbstractZchn">
    <w:name w:val="_PR_Abstract Zchn"/>
    <w:link w:val="PRAbstract"/>
    <w:uiPriority w:val="99"/>
    <w:locked/>
    <w:rsid w:val="00C26894"/>
    <w:rPr>
      <w:rFonts w:ascii="Arial" w:hAnsi="Arial"/>
      <w:b/>
      <w:lang w:val="hu-HU"/>
    </w:rPr>
  </w:style>
  <w:style w:type="paragraph" w:customStyle="1" w:styleId="PRContact">
    <w:name w:val="_PR_Contact"/>
    <w:basedOn w:val="Norml"/>
    <w:rsid w:val="000B1D64"/>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character" w:customStyle="1" w:styleId="Headline">
    <w:name w:val="Headline"/>
    <w:rsid w:val="007B059C"/>
    <w:rPr>
      <w:rFonts w:cs="Times New Roman"/>
      <w:b/>
      <w:bCs/>
      <w:sz w:val="32"/>
    </w:rPr>
  </w:style>
  <w:style w:type="character" w:customStyle="1" w:styleId="AboutandContactBody">
    <w:name w:val="About and Contact Body"/>
    <w:rsid w:val="007B059C"/>
    <w:rPr>
      <w:rFonts w:ascii="Segoe UI" w:hAnsi="Segoe UI" w:cs="Times New Roman"/>
      <w:sz w:val="18"/>
    </w:rPr>
  </w:style>
  <w:style w:type="character" w:customStyle="1" w:styleId="Ohne">
    <w:name w:val="Ohne"/>
    <w:rsid w:val="007B059C"/>
  </w:style>
  <w:style w:type="paragraph" w:styleId="Listaszerbekezds">
    <w:name w:val="List Paragraph"/>
    <w:basedOn w:val="Norml"/>
    <w:link w:val="ListaszerbekezdsChar"/>
    <w:uiPriority w:val="34"/>
    <w:qFormat/>
    <w:rsid w:val="00864560"/>
    <w:pPr>
      <w:spacing w:line="276" w:lineRule="auto"/>
      <w:ind w:left="720"/>
      <w:contextualSpacing/>
      <w:jc w:val="both"/>
    </w:pPr>
    <w:rPr>
      <w:rFonts w:ascii="Segoe UI" w:hAnsi="Segoe UI"/>
      <w:sz w:val="22"/>
      <w:lang w:val="en-US"/>
    </w:rPr>
  </w:style>
  <w:style w:type="character" w:styleId="Lbjegyzet-hivatkozs">
    <w:name w:val="footnote reference"/>
    <w:basedOn w:val="Bekezdsalapbettpusa"/>
    <w:uiPriority w:val="99"/>
    <w:unhideWhenUsed/>
    <w:rsid w:val="00864560"/>
    <w:rPr>
      <w:rFonts w:cs="Times New Roman"/>
      <w:vertAlign w:val="superscript"/>
    </w:rPr>
  </w:style>
  <w:style w:type="paragraph" w:styleId="Lbjegyzetszveg">
    <w:name w:val="footnote text"/>
    <w:basedOn w:val="Norml"/>
    <w:link w:val="LbjegyzetszvegChar"/>
    <w:uiPriority w:val="99"/>
    <w:rsid w:val="00864560"/>
    <w:pPr>
      <w:spacing w:line="240" w:lineRule="auto"/>
      <w:jc w:val="both"/>
    </w:pPr>
    <w:rPr>
      <w:rFonts w:ascii="Segoe UI" w:hAnsi="Segoe UI"/>
      <w:szCs w:val="20"/>
      <w:lang w:val="en-US"/>
    </w:rPr>
  </w:style>
  <w:style w:type="character" w:customStyle="1" w:styleId="LbjegyzetszvegChar">
    <w:name w:val="Lábjegyzetszöveg Char"/>
    <w:basedOn w:val="Bekezdsalapbettpusa"/>
    <w:link w:val="Lbjegyzetszveg"/>
    <w:uiPriority w:val="99"/>
    <w:rsid w:val="00864560"/>
    <w:rPr>
      <w:rFonts w:ascii="Segoe UI" w:hAnsi="Segoe UI"/>
      <w:lang w:val="en-US" w:eastAsia="en-US"/>
    </w:rPr>
  </w:style>
  <w:style w:type="character" w:customStyle="1" w:styleId="AboutandContactHeadline">
    <w:name w:val="About and Contact Headline"/>
    <w:rsid w:val="004F539E"/>
    <w:rPr>
      <w:rFonts w:ascii="Segoe UI" w:hAnsi="Segoe UI" w:cs="Times New Roman"/>
      <w:b/>
      <w:bCs/>
      <w:sz w:val="18"/>
    </w:rPr>
  </w:style>
  <w:style w:type="character" w:customStyle="1" w:styleId="ListaszerbekezdsChar">
    <w:name w:val="Listaszerű bekezdés Char"/>
    <w:link w:val="Listaszerbekezds"/>
    <w:uiPriority w:val="34"/>
    <w:locked/>
    <w:rsid w:val="00FA2371"/>
    <w:rPr>
      <w:rFonts w:ascii="Segoe UI" w:hAnsi="Segoe UI"/>
      <w:sz w:val="22"/>
      <w:szCs w:val="24"/>
      <w:lang w:val="en-US" w:eastAsia="en-US"/>
    </w:rPr>
  </w:style>
  <w:style w:type="paragraph" w:customStyle="1" w:styleId="xmsonormal">
    <w:name w:val="x_msonormal"/>
    <w:basedOn w:val="Norml"/>
    <w:rsid w:val="00561DF9"/>
    <w:pPr>
      <w:spacing w:line="240" w:lineRule="auto"/>
    </w:pPr>
    <w:rPr>
      <w:rFonts w:ascii="Calibri" w:eastAsiaTheme="minorHAnsi" w:hAnsi="Calibri" w:cs="Calibri"/>
      <w:sz w:val="22"/>
      <w:szCs w:val="22"/>
      <w:lang w:val="hu-HU" w:eastAsia="hu-HU"/>
    </w:rPr>
  </w:style>
  <w:style w:type="paragraph" w:customStyle="1" w:styleId="xmsolistparagraph">
    <w:name w:val="x_msolistparagraph"/>
    <w:basedOn w:val="Norml"/>
    <w:rsid w:val="00561DF9"/>
    <w:pPr>
      <w:spacing w:line="240" w:lineRule="auto"/>
      <w:ind w:left="720"/>
    </w:pPr>
    <w:rPr>
      <w:rFonts w:ascii="Calibri" w:eastAsiaTheme="minorHAnsi" w:hAnsi="Calibri" w:cs="Calibri"/>
      <w:sz w:val="22"/>
      <w:szCs w:val="22"/>
      <w:lang w:val="hu-HU" w:eastAsia="hu-HU"/>
    </w:rPr>
  </w:style>
  <w:style w:type="paragraph" w:styleId="Vltozat">
    <w:name w:val="Revision"/>
    <w:hidden/>
    <w:uiPriority w:val="62"/>
    <w:unhideWhenUsed/>
    <w:rsid w:val="004A1FE0"/>
    <w:rPr>
      <w:rFonts w:ascii="Arial" w:hAnsi="Arial"/>
      <w:szCs w:val="24"/>
      <w:lang w:eastAsia="en-US"/>
    </w:rPr>
  </w:style>
  <w:style w:type="character" w:styleId="Jegyzethivatkozs">
    <w:name w:val="annotation reference"/>
    <w:basedOn w:val="Bekezdsalapbettpusa"/>
    <w:rsid w:val="002A72ED"/>
    <w:rPr>
      <w:sz w:val="16"/>
      <w:szCs w:val="16"/>
    </w:rPr>
  </w:style>
  <w:style w:type="paragraph" w:styleId="Jegyzetszveg">
    <w:name w:val="annotation text"/>
    <w:basedOn w:val="Norml"/>
    <w:link w:val="JegyzetszvegChar"/>
    <w:rsid w:val="002A72ED"/>
    <w:pPr>
      <w:spacing w:line="240" w:lineRule="auto"/>
    </w:pPr>
    <w:rPr>
      <w:szCs w:val="20"/>
    </w:rPr>
  </w:style>
  <w:style w:type="character" w:customStyle="1" w:styleId="JegyzetszvegChar">
    <w:name w:val="Jegyzetszöveg Char"/>
    <w:basedOn w:val="Bekezdsalapbettpusa"/>
    <w:link w:val="Jegyzetszveg"/>
    <w:rsid w:val="002A72ED"/>
    <w:rPr>
      <w:rFonts w:ascii="Arial" w:hAnsi="Arial"/>
      <w:lang w:eastAsia="en-US"/>
    </w:rPr>
  </w:style>
  <w:style w:type="paragraph" w:styleId="Megjegyzstrgya">
    <w:name w:val="annotation subject"/>
    <w:basedOn w:val="Jegyzetszveg"/>
    <w:next w:val="Jegyzetszveg"/>
    <w:link w:val="MegjegyzstrgyaChar"/>
    <w:rsid w:val="002A72ED"/>
    <w:rPr>
      <w:b/>
      <w:bCs/>
    </w:rPr>
  </w:style>
  <w:style w:type="character" w:customStyle="1" w:styleId="MegjegyzstrgyaChar">
    <w:name w:val="Megjegyzés tárgya Char"/>
    <w:basedOn w:val="JegyzetszvegChar"/>
    <w:link w:val="Megjegyzstrgya"/>
    <w:rsid w:val="002A72ED"/>
    <w:rPr>
      <w:rFonts w:ascii="Arial" w:hAnsi="Arial"/>
      <w:b/>
      <w:bCs/>
      <w:lang w:eastAsia="en-US"/>
    </w:rPr>
  </w:style>
  <w:style w:type="paragraph" w:customStyle="1" w:styleId="Topline">
    <w:name w:val="Topline"/>
    <w:basedOn w:val="Norml"/>
    <w:qFormat/>
    <w:rsid w:val="00CF3A94"/>
    <w:pPr>
      <w:spacing w:before="560" w:after="560" w:line="276" w:lineRule="auto"/>
      <w:jc w:val="both"/>
    </w:pPr>
    <w:rPr>
      <w:rFonts w:ascii="Segoe UI" w:hAnsi="Segoe UI" w:cs="Segoe UI"/>
      <w:sz w:val="22"/>
      <w:szCs w:val="22"/>
      <w:lang w:val="en-US"/>
    </w:rPr>
  </w:style>
  <w:style w:type="paragraph" w:customStyle="1" w:styleId="He04Funote">
    <w:name w:val="_He_04_Fußnote"/>
    <w:next w:val="Norml"/>
    <w:qFormat/>
    <w:rsid w:val="0009600D"/>
    <w:pPr>
      <w:tabs>
        <w:tab w:val="left" w:pos="85"/>
      </w:tabs>
      <w:spacing w:line="256" w:lineRule="auto"/>
      <w:ind w:left="85" w:hanging="85"/>
    </w:pPr>
    <w:rPr>
      <w:rFonts w:ascii="Segoe UI" w:hAnsi="Segoe UI"/>
      <w:sz w:val="1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39589">
      <w:bodyDiv w:val="1"/>
      <w:marLeft w:val="0"/>
      <w:marRight w:val="0"/>
      <w:marTop w:val="0"/>
      <w:marBottom w:val="0"/>
      <w:divBdr>
        <w:top w:val="none" w:sz="0" w:space="0" w:color="auto"/>
        <w:left w:val="none" w:sz="0" w:space="0" w:color="auto"/>
        <w:bottom w:val="none" w:sz="0" w:space="0" w:color="auto"/>
        <w:right w:val="none" w:sz="0" w:space="0" w:color="auto"/>
      </w:divBdr>
    </w:div>
    <w:div w:id="383217003">
      <w:bodyDiv w:val="1"/>
      <w:marLeft w:val="0"/>
      <w:marRight w:val="0"/>
      <w:marTop w:val="0"/>
      <w:marBottom w:val="0"/>
      <w:divBdr>
        <w:top w:val="none" w:sz="0" w:space="0" w:color="auto"/>
        <w:left w:val="none" w:sz="0" w:space="0" w:color="auto"/>
        <w:bottom w:val="none" w:sz="0" w:space="0" w:color="auto"/>
        <w:right w:val="none" w:sz="0" w:space="0" w:color="auto"/>
      </w:divBdr>
    </w:div>
    <w:div w:id="460538831">
      <w:bodyDiv w:val="1"/>
      <w:marLeft w:val="0"/>
      <w:marRight w:val="0"/>
      <w:marTop w:val="0"/>
      <w:marBottom w:val="0"/>
      <w:divBdr>
        <w:top w:val="none" w:sz="0" w:space="0" w:color="auto"/>
        <w:left w:val="none" w:sz="0" w:space="0" w:color="auto"/>
        <w:bottom w:val="none" w:sz="0" w:space="0" w:color="auto"/>
        <w:right w:val="none" w:sz="0" w:space="0" w:color="auto"/>
      </w:divBdr>
    </w:div>
    <w:div w:id="667056656">
      <w:bodyDiv w:val="1"/>
      <w:marLeft w:val="0"/>
      <w:marRight w:val="0"/>
      <w:marTop w:val="0"/>
      <w:marBottom w:val="0"/>
      <w:divBdr>
        <w:top w:val="none" w:sz="0" w:space="0" w:color="auto"/>
        <w:left w:val="none" w:sz="0" w:space="0" w:color="auto"/>
        <w:bottom w:val="none" w:sz="0" w:space="0" w:color="auto"/>
        <w:right w:val="none" w:sz="0" w:space="0" w:color="auto"/>
      </w:divBdr>
    </w:div>
    <w:div w:id="669527295">
      <w:bodyDiv w:val="1"/>
      <w:marLeft w:val="0"/>
      <w:marRight w:val="0"/>
      <w:marTop w:val="0"/>
      <w:marBottom w:val="0"/>
      <w:divBdr>
        <w:top w:val="none" w:sz="0" w:space="0" w:color="auto"/>
        <w:left w:val="none" w:sz="0" w:space="0" w:color="auto"/>
        <w:bottom w:val="none" w:sz="0" w:space="0" w:color="auto"/>
        <w:right w:val="none" w:sz="0" w:space="0" w:color="auto"/>
      </w:divBdr>
    </w:div>
    <w:div w:id="720636965">
      <w:bodyDiv w:val="1"/>
      <w:marLeft w:val="0"/>
      <w:marRight w:val="0"/>
      <w:marTop w:val="0"/>
      <w:marBottom w:val="0"/>
      <w:divBdr>
        <w:top w:val="none" w:sz="0" w:space="0" w:color="auto"/>
        <w:left w:val="none" w:sz="0" w:space="0" w:color="auto"/>
        <w:bottom w:val="none" w:sz="0" w:space="0" w:color="auto"/>
        <w:right w:val="none" w:sz="0" w:space="0" w:color="auto"/>
      </w:divBdr>
    </w:div>
    <w:div w:id="830295495">
      <w:bodyDiv w:val="1"/>
      <w:marLeft w:val="0"/>
      <w:marRight w:val="0"/>
      <w:marTop w:val="0"/>
      <w:marBottom w:val="0"/>
      <w:divBdr>
        <w:top w:val="none" w:sz="0" w:space="0" w:color="auto"/>
        <w:left w:val="none" w:sz="0" w:space="0" w:color="auto"/>
        <w:bottom w:val="none" w:sz="0" w:space="0" w:color="auto"/>
        <w:right w:val="none" w:sz="0" w:space="0" w:color="auto"/>
      </w:divBdr>
    </w:div>
    <w:div w:id="1070731496">
      <w:bodyDiv w:val="1"/>
      <w:marLeft w:val="0"/>
      <w:marRight w:val="0"/>
      <w:marTop w:val="0"/>
      <w:marBottom w:val="0"/>
      <w:divBdr>
        <w:top w:val="none" w:sz="0" w:space="0" w:color="auto"/>
        <w:left w:val="none" w:sz="0" w:space="0" w:color="auto"/>
        <w:bottom w:val="none" w:sz="0" w:space="0" w:color="auto"/>
        <w:right w:val="none" w:sz="0" w:space="0" w:color="auto"/>
      </w:divBdr>
    </w:div>
    <w:div w:id="1109399832">
      <w:bodyDiv w:val="1"/>
      <w:marLeft w:val="0"/>
      <w:marRight w:val="0"/>
      <w:marTop w:val="0"/>
      <w:marBottom w:val="0"/>
      <w:divBdr>
        <w:top w:val="none" w:sz="0" w:space="0" w:color="auto"/>
        <w:left w:val="none" w:sz="0" w:space="0" w:color="auto"/>
        <w:bottom w:val="none" w:sz="0" w:space="0" w:color="auto"/>
        <w:right w:val="none" w:sz="0" w:space="0" w:color="auto"/>
      </w:divBdr>
      <w:divsChild>
        <w:div w:id="1188519511">
          <w:marLeft w:val="0"/>
          <w:marRight w:val="0"/>
          <w:marTop w:val="0"/>
          <w:marBottom w:val="0"/>
          <w:divBdr>
            <w:top w:val="none" w:sz="0" w:space="0" w:color="auto"/>
            <w:left w:val="none" w:sz="0" w:space="0" w:color="auto"/>
            <w:bottom w:val="none" w:sz="0" w:space="0" w:color="auto"/>
            <w:right w:val="none" w:sz="0" w:space="0" w:color="auto"/>
          </w:divBdr>
        </w:div>
        <w:div w:id="1365978767">
          <w:marLeft w:val="0"/>
          <w:marRight w:val="0"/>
          <w:marTop w:val="0"/>
          <w:marBottom w:val="0"/>
          <w:divBdr>
            <w:top w:val="none" w:sz="0" w:space="0" w:color="auto"/>
            <w:left w:val="none" w:sz="0" w:space="0" w:color="auto"/>
            <w:bottom w:val="none" w:sz="0" w:space="0" w:color="auto"/>
            <w:right w:val="none" w:sz="0" w:space="0" w:color="auto"/>
          </w:divBdr>
        </w:div>
      </w:divsChild>
    </w:div>
    <w:div w:id="1301305938">
      <w:bodyDiv w:val="1"/>
      <w:marLeft w:val="0"/>
      <w:marRight w:val="0"/>
      <w:marTop w:val="0"/>
      <w:marBottom w:val="0"/>
      <w:divBdr>
        <w:top w:val="none" w:sz="0" w:space="0" w:color="auto"/>
        <w:left w:val="none" w:sz="0" w:space="0" w:color="auto"/>
        <w:bottom w:val="none" w:sz="0" w:space="0" w:color="auto"/>
        <w:right w:val="none" w:sz="0" w:space="0" w:color="auto"/>
      </w:divBdr>
    </w:div>
    <w:div w:id="1328821452">
      <w:bodyDiv w:val="1"/>
      <w:marLeft w:val="0"/>
      <w:marRight w:val="0"/>
      <w:marTop w:val="0"/>
      <w:marBottom w:val="0"/>
      <w:divBdr>
        <w:top w:val="none" w:sz="0" w:space="0" w:color="auto"/>
        <w:left w:val="none" w:sz="0" w:space="0" w:color="auto"/>
        <w:bottom w:val="none" w:sz="0" w:space="0" w:color="auto"/>
        <w:right w:val="none" w:sz="0" w:space="0" w:color="auto"/>
      </w:divBdr>
    </w:div>
    <w:div w:id="1646425018">
      <w:bodyDiv w:val="1"/>
      <w:marLeft w:val="0"/>
      <w:marRight w:val="0"/>
      <w:marTop w:val="0"/>
      <w:marBottom w:val="0"/>
      <w:divBdr>
        <w:top w:val="none" w:sz="0" w:space="0" w:color="auto"/>
        <w:left w:val="none" w:sz="0" w:space="0" w:color="auto"/>
        <w:bottom w:val="none" w:sz="0" w:space="0" w:color="auto"/>
        <w:right w:val="none" w:sz="0" w:space="0" w:color="auto"/>
      </w:divBdr>
    </w:div>
    <w:div w:id="1823614533">
      <w:bodyDiv w:val="1"/>
      <w:marLeft w:val="0"/>
      <w:marRight w:val="0"/>
      <w:marTop w:val="0"/>
      <w:marBottom w:val="0"/>
      <w:divBdr>
        <w:top w:val="none" w:sz="0" w:space="0" w:color="auto"/>
        <w:left w:val="none" w:sz="0" w:space="0" w:color="auto"/>
        <w:bottom w:val="none" w:sz="0" w:space="0" w:color="auto"/>
        <w:right w:val="none" w:sz="0" w:space="0" w:color="auto"/>
      </w:divBdr>
      <w:divsChild>
        <w:div w:id="109207681">
          <w:marLeft w:val="0"/>
          <w:marRight w:val="0"/>
          <w:marTop w:val="0"/>
          <w:marBottom w:val="0"/>
          <w:divBdr>
            <w:top w:val="none" w:sz="0" w:space="0" w:color="auto"/>
            <w:left w:val="none" w:sz="0" w:space="0" w:color="auto"/>
            <w:bottom w:val="none" w:sz="0" w:space="0" w:color="auto"/>
            <w:right w:val="none" w:sz="0" w:space="0" w:color="auto"/>
          </w:divBdr>
        </w:div>
        <w:div w:id="348527801">
          <w:marLeft w:val="0"/>
          <w:marRight w:val="0"/>
          <w:marTop w:val="0"/>
          <w:marBottom w:val="0"/>
          <w:divBdr>
            <w:top w:val="none" w:sz="0" w:space="0" w:color="auto"/>
            <w:left w:val="none" w:sz="0" w:space="0" w:color="auto"/>
            <w:bottom w:val="none" w:sz="0" w:space="0" w:color="auto"/>
            <w:right w:val="none" w:sz="0" w:space="0" w:color="auto"/>
          </w:divBdr>
        </w:div>
      </w:divsChild>
    </w:div>
    <w:div w:id="21281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lalati.kommunikacio@henke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44EC-5D38-45B1-8C30-37D615D1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Template>
  <TotalTime>0</TotalTime>
  <Pages>10</Pages>
  <Words>3313</Words>
  <Characters>22867</Characters>
  <Application>Microsoft Office Word</Application>
  <DocSecurity>0</DocSecurity>
  <Lines>190</Lines>
  <Paragraphs>52</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26128</CharactersWithSpaces>
  <SharedDoc>false</SharedDoc>
  <HLinks>
    <vt:vector size="12" baseType="variant">
      <vt:variant>
        <vt:i4>3080280</vt:i4>
      </vt:variant>
      <vt:variant>
        <vt:i4>3</vt:i4>
      </vt:variant>
      <vt:variant>
        <vt:i4>0</vt:i4>
      </vt:variant>
      <vt:variant>
        <vt:i4>5</vt:i4>
      </vt:variant>
      <vt:variant>
        <vt:lpwstr>mailto:vallalati.kommunikacio@henkel.com</vt:lpwstr>
      </vt:variant>
      <vt:variant>
        <vt:lpwstr/>
      </vt:variant>
      <vt:variant>
        <vt:i4>1245274</vt:i4>
      </vt:variant>
      <vt:variant>
        <vt:i4>0</vt:i4>
      </vt:variant>
      <vt:variant>
        <vt:i4>0</vt:i4>
      </vt:variant>
      <vt:variant>
        <vt:i4>5</vt:i4>
      </vt:variant>
      <vt:variant>
        <vt:lpwstr>http://www.henkel.hu/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147</cp:revision>
  <cp:lastPrinted>2016-11-16T17:11:00Z</cp:lastPrinted>
  <dcterms:created xsi:type="dcterms:W3CDTF">2025-03-11T10:07:00Z</dcterms:created>
  <dcterms:modified xsi:type="dcterms:W3CDTF">2025-03-12T13:00:00Z</dcterms:modified>
</cp:coreProperties>
</file>