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51650" w:rsidR="00E63BFB" w:rsidRDefault="00E51650" w14:paraId="3433F80A" w14:textId="055EA9A1">
      <w:pPr>
        <w:pStyle w:val="MonthDayYear"/>
        <w:rPr>
          <w:lang w:val="fr-FR"/>
        </w:rPr>
      </w:pPr>
      <w:r w:rsidRPr="00E51650">
        <w:rPr>
          <w:lang w:val="fr-FR"/>
        </w:rPr>
        <w:t>11 ma</w:t>
      </w:r>
      <w:r w:rsidR="00A0461A">
        <w:rPr>
          <w:lang w:val="fr-FR"/>
        </w:rPr>
        <w:t>art</w:t>
      </w:r>
      <w:r w:rsidRPr="00E51650">
        <w:rPr>
          <w:lang w:val="fr-FR"/>
        </w:rPr>
        <w:t xml:space="preserve"> 2025</w:t>
      </w:r>
    </w:p>
    <w:p w:rsidRPr="00E51650" w:rsidR="00E63BFB" w:rsidRDefault="00E51650" w14:paraId="48BF614A" w14:textId="337FAD76">
      <w:pPr>
        <w:pStyle w:val="P68B1DB1-Topline1"/>
        <w:rPr>
          <w:lang w:val="fr-FR"/>
        </w:rPr>
      </w:pPr>
      <w:r w:rsidRPr="00E51650">
        <w:rPr>
          <w:lang w:val="fr-FR"/>
        </w:rPr>
        <w:t xml:space="preserve"> </w:t>
      </w:r>
      <w:r w:rsidR="00945404">
        <w:rPr>
          <w:lang w:val="fr-FR"/>
        </w:rPr>
        <w:t>Duurzaamheidsverslag 2024</w:t>
      </w:r>
      <w:r w:rsidRPr="00E51650">
        <w:rPr>
          <w:lang w:val="fr-FR"/>
        </w:rPr>
        <w:t xml:space="preserve"> </w:t>
      </w:r>
    </w:p>
    <w:p w:rsidRPr="00E51650" w:rsidR="00E63BFB" w:rsidRDefault="00A6190C" w14:paraId="71041C90" w14:textId="7AE8FECB">
      <w:pPr>
        <w:rPr>
          <w:rStyle w:val="Headline"/>
          <w:lang w:val="fr-FR"/>
        </w:rPr>
      </w:pPr>
      <w:r w:rsidRPr="00A6190C">
        <w:rPr>
          <w:rStyle w:val="Headline"/>
          <w:lang w:val="fr-FR"/>
        </w:rPr>
        <w:t>Henkel boekt verdere vooruitgang op alle gebieden van zijn duurzaamheidsstrategie</w:t>
      </w:r>
    </w:p>
    <w:p w:rsidRPr="00683DE6" w:rsidR="00225B0F" w:rsidP="00683DE6" w:rsidRDefault="00225B0F" w14:paraId="2F1E737F" w14:textId="2E422CF1">
      <w:pPr>
        <w:pStyle w:val="P68B1DB1-Paragrafoelenco2"/>
        <w:ind w:left="0"/>
        <w:rPr>
          <w:lang w:val="fr-FR"/>
        </w:rPr>
      </w:pPr>
      <w:bookmarkStart w:name="_Hlk191036371" w:id="0"/>
    </w:p>
    <w:p w:rsidR="00225B0F" w:rsidP="00225B0F" w:rsidRDefault="00225B0F" w14:paraId="1F519A74" w14:textId="77777777">
      <w:pPr>
        <w:pStyle w:val="P68B1DB1-Paragrafoelenco2"/>
        <w:numPr>
          <w:ilvl w:val="0"/>
          <w:numId w:val="1"/>
        </w:numPr>
        <w:ind w:left="567"/>
        <w:rPr>
          <w:i/>
          <w:lang w:val="fr-FR"/>
        </w:rPr>
      </w:pPr>
      <w:r w:rsidRPr="00225B0F">
        <w:rPr>
          <w:i/>
          <w:lang w:val="fr-FR"/>
        </w:rPr>
        <w:t>Klimaatactie: vermindering van CO</w:t>
      </w:r>
      <w:r w:rsidRPr="00225B0F">
        <w:rPr>
          <w:i/>
          <w:vertAlign w:val="subscript"/>
          <w:lang w:val="fr-FR"/>
        </w:rPr>
        <w:t>2</w:t>
      </w:r>
      <w:r w:rsidRPr="00225B0F">
        <w:rPr>
          <w:i/>
          <w:lang w:val="fr-FR"/>
        </w:rPr>
        <w:t>-uitstoot bij productie per ton product met 64 procent (basisjaar: 2017)</w:t>
      </w:r>
    </w:p>
    <w:p w:rsidR="001C32D1" w:rsidP="001C32D1" w:rsidRDefault="00225B0F" w14:paraId="09DA1006" w14:textId="77777777">
      <w:pPr>
        <w:pStyle w:val="P68B1DB1-Paragrafoelenco2"/>
        <w:numPr>
          <w:ilvl w:val="0"/>
          <w:numId w:val="1"/>
        </w:numPr>
        <w:ind w:left="567"/>
        <w:rPr>
          <w:i/>
          <w:lang w:val="fr-FR"/>
        </w:rPr>
      </w:pPr>
      <w:r w:rsidRPr="00225B0F">
        <w:rPr>
          <w:i/>
          <w:lang w:val="fr-FR"/>
        </w:rPr>
        <w:t>Circulaire economie: gebruik van gerecycle</w:t>
      </w:r>
      <w:r>
        <w:rPr>
          <w:i/>
          <w:lang w:val="fr-FR"/>
        </w:rPr>
        <w:t>er</w:t>
      </w:r>
      <w:r w:rsidRPr="00225B0F">
        <w:rPr>
          <w:i/>
          <w:lang w:val="fr-FR"/>
        </w:rPr>
        <w:t>d plastic in verpakkingen van consumptiegoederen stijgt naar 25 procent</w:t>
      </w:r>
    </w:p>
    <w:p w:rsidR="001C32D1" w:rsidP="001C32D1" w:rsidRDefault="00225B0F" w14:paraId="1A4A28AC" w14:textId="77777777">
      <w:pPr>
        <w:pStyle w:val="P68B1DB1-Paragrafoelenco2"/>
        <w:numPr>
          <w:ilvl w:val="0"/>
          <w:numId w:val="1"/>
        </w:numPr>
        <w:ind w:left="567"/>
        <w:rPr>
          <w:i/>
          <w:lang w:val="fr-FR"/>
        </w:rPr>
      </w:pPr>
      <w:r w:rsidRPr="001C32D1">
        <w:rPr>
          <w:i/>
          <w:lang w:val="fr-FR"/>
        </w:rPr>
        <w:t>Gelijke kansen: aanzienlijk meer werknemers nemen ouderschapsverlof op in 2024; aandeel vrouwen in management stijgt naar 42 procent</w:t>
      </w:r>
    </w:p>
    <w:p w:rsidR="001C32D1" w:rsidP="001C32D1" w:rsidRDefault="00225B0F" w14:paraId="7D7695B3" w14:textId="77777777">
      <w:pPr>
        <w:pStyle w:val="P68B1DB1-Paragrafoelenco2"/>
        <w:numPr>
          <w:ilvl w:val="0"/>
          <w:numId w:val="1"/>
        </w:numPr>
        <w:ind w:left="567"/>
        <w:rPr>
          <w:i/>
          <w:lang w:val="fr-FR"/>
        </w:rPr>
      </w:pPr>
      <w:r w:rsidRPr="001C32D1">
        <w:rPr>
          <w:i/>
          <w:lang w:val="fr-FR"/>
        </w:rPr>
        <w:t xml:space="preserve">Eerlijke arbeidsomstandigheden: nieuwe aanvullende beoordeling geïntroduceerd om wereldwijd leefbare lonen te garanderen </w:t>
      </w:r>
    </w:p>
    <w:p w:rsidRPr="001C32D1" w:rsidR="00225B0F" w:rsidP="001C32D1" w:rsidRDefault="00225B0F" w14:paraId="289683B8" w14:textId="624ADA86">
      <w:pPr>
        <w:pStyle w:val="P68B1DB1-Paragrafoelenco2"/>
        <w:numPr>
          <w:ilvl w:val="0"/>
          <w:numId w:val="1"/>
        </w:numPr>
        <w:ind w:left="567"/>
        <w:rPr>
          <w:i/>
          <w:lang w:val="fr-FR"/>
        </w:rPr>
      </w:pPr>
      <w:r w:rsidRPr="001C32D1">
        <w:rPr>
          <w:i/>
          <w:lang w:val="fr-FR"/>
        </w:rPr>
        <w:t>Governance: eerste duurzaamheidsverslag waarin alle inhoudelijke eisen van de European Sustainability Reporting Standards (ESRS) worden toegepast</w:t>
      </w:r>
    </w:p>
    <w:bookmarkEnd w:id="0"/>
    <w:p w:rsidRPr="00E51650" w:rsidR="00E63BFB" w:rsidRDefault="00E63BFB" w14:paraId="0A4A57D8" w14:textId="77777777">
      <w:pPr>
        <w:rPr>
          <w:b/>
          <w:lang w:val="fr-FR"/>
        </w:rPr>
      </w:pPr>
    </w:p>
    <w:p w:rsidRPr="00E51650" w:rsidR="00E63BFB" w:rsidRDefault="00E63BFB" w14:paraId="6118A201" w14:textId="77777777">
      <w:pPr>
        <w:pStyle w:val="Lijstalinea"/>
        <w:ind w:hanging="360"/>
        <w:jc w:val="left"/>
        <w:rPr>
          <w:lang w:val="fr-FR"/>
        </w:rPr>
      </w:pPr>
    </w:p>
    <w:p w:rsidRPr="009501C8" w:rsidR="009501C8" w:rsidP="009501C8" w:rsidRDefault="009501C8" w14:paraId="4E0D58AF" w14:textId="5A46DCC9">
      <w:pPr>
        <w:rPr>
          <w:rFonts w:cs="Segoe UI"/>
          <w:lang w:val="fr-FR"/>
        </w:rPr>
      </w:pPr>
      <w:r w:rsidRPr="009501C8">
        <w:rPr>
          <w:rFonts w:cs="Segoe UI"/>
          <w:lang w:val="fr-FR"/>
        </w:rPr>
        <w:t xml:space="preserve">Düsseldorf, Duitsland - Henkel heeft vandaag zijn duurzaamheidsverslag voor 2024 gepubliceerd. Het bedrijf heeft verdere vooruitgang geboekt, vooral op het gebied van klimaatbescherming en circulaire economie, maar ook in sociale kwesties. Henkel rapporteert dit jaar al </w:t>
      </w:r>
      <w:r w:rsidR="00C4602C">
        <w:rPr>
          <w:rFonts w:cs="Segoe UI"/>
          <w:lang w:val="fr-FR"/>
        </w:rPr>
        <w:t>uit eigen beweging</w:t>
      </w:r>
      <w:r w:rsidRPr="009501C8">
        <w:rPr>
          <w:rFonts w:cs="Segoe UI"/>
          <w:lang w:val="fr-FR"/>
        </w:rPr>
        <w:t xml:space="preserve"> in lijn met de inhoudelijke vereisten van de nieuwe Corporate Sustainability Reporting Directive (CSRD) van de Europese Unie en haar European Sustainability Reporting Standards (ESRS).</w:t>
      </w:r>
    </w:p>
    <w:p w:rsidRPr="009501C8" w:rsidR="009501C8" w:rsidP="009501C8" w:rsidRDefault="009501C8" w14:paraId="71101CCB" w14:textId="77777777">
      <w:pPr>
        <w:rPr>
          <w:rFonts w:cs="Segoe UI"/>
          <w:lang w:val="fr-FR"/>
        </w:rPr>
      </w:pPr>
      <w:r w:rsidRPr="009501C8">
        <w:rPr>
          <w:rFonts w:cs="Segoe UI"/>
          <w:lang w:val="fr-FR"/>
        </w:rPr>
        <w:t xml:space="preserve"> </w:t>
      </w:r>
    </w:p>
    <w:p w:rsidR="009501C8" w:rsidP="009501C8" w:rsidRDefault="009501C8" w14:paraId="122D952E" w14:textId="3278A54A">
      <w:pPr>
        <w:rPr>
          <w:rFonts w:cs="Segoe UI"/>
          <w:lang w:val="fr-FR"/>
        </w:rPr>
      </w:pPr>
      <w:r w:rsidRPr="009501C8">
        <w:rPr>
          <w:rFonts w:cs="Segoe UI"/>
          <w:lang w:val="fr-FR"/>
        </w:rPr>
        <w:t xml:space="preserve">“We hebben het afgelopen jaar grote vooruitgang geboekt en tastbare verbeteringen op het gebied van duurzaamheid gerealiseerd - op alle gebieden van onze duurzaamheidsstrategie”, zegt Carsten Knobel, CEO van Henkel. “Zelfs in uitdagende tijden houden we vast aan onze fundamentele waarden: door middel van onze producten, processen en bijdrage aan de samenleving zetten we ons in voor een duurzamere wereld. Dit wordt ook weerspiegeld in onze </w:t>
      </w:r>
      <w:r w:rsidRPr="009501C8">
        <w:rPr>
          <w:rFonts w:cs="Segoe UI"/>
          <w:lang w:val="fr-FR"/>
        </w:rPr>
        <w:t>net</w:t>
      </w:r>
      <w:r w:rsidR="00D41824">
        <w:rPr>
          <w:rFonts w:cs="Segoe UI"/>
          <w:lang w:val="fr-FR"/>
        </w:rPr>
        <w:t>to</w:t>
      </w:r>
      <w:r w:rsidRPr="009501C8">
        <w:rPr>
          <w:rFonts w:cs="Segoe UI"/>
          <w:lang w:val="fr-FR"/>
        </w:rPr>
        <w:t xml:space="preserve">-nul </w:t>
      </w:r>
      <w:r w:rsidR="00D41824">
        <w:rPr>
          <w:rFonts w:cs="Segoe UI"/>
          <w:lang w:val="fr-FR"/>
        </w:rPr>
        <w:t>stappenplan</w:t>
      </w:r>
      <w:r w:rsidRPr="009501C8">
        <w:rPr>
          <w:rFonts w:cs="Segoe UI"/>
          <w:lang w:val="fr-FR"/>
        </w:rPr>
        <w:t xml:space="preserve"> die erop gericht is om onze uitstoot van broeikasgassen tegen 2045 met 90 procent te verminderen.” </w:t>
      </w:r>
    </w:p>
    <w:p w:rsidRPr="009501C8" w:rsidR="00D41824" w:rsidP="009501C8" w:rsidRDefault="00D41824" w14:paraId="4E7B2293" w14:textId="77777777">
      <w:pPr>
        <w:rPr>
          <w:rFonts w:cs="Segoe UI"/>
          <w:lang w:val="fr-FR"/>
        </w:rPr>
      </w:pPr>
    </w:p>
    <w:p w:rsidR="00C23A45" w:rsidRDefault="00C23A45" w14:paraId="2DAA7C12" w14:textId="741254D3">
      <w:pPr>
        <w:pStyle w:val="P68B1DB1-Normale3"/>
        <w:rPr>
          <w:lang w:val="fr-FR"/>
        </w:rPr>
      </w:pPr>
      <w:r w:rsidRPr="00C23A45">
        <w:rPr>
          <w:lang w:val="fr-FR"/>
        </w:rPr>
        <w:t>“Ik ben trots op onze vooruitgang op het gebied van belangrijke duurzaamheidsinitiatieven”, zegt Sylvie Nicol, Executive Vice President Human Resources, Infrastructure and Sustainability. “In 2024 hebben we bijvoorbeeld het aandeel gerecycle</w:t>
      </w:r>
      <w:r w:rsidR="00962022">
        <w:rPr>
          <w:lang w:val="fr-FR"/>
        </w:rPr>
        <w:t>er</w:t>
      </w:r>
      <w:r w:rsidRPr="00C23A45">
        <w:rPr>
          <w:lang w:val="fr-FR"/>
        </w:rPr>
        <w:t xml:space="preserve">d plastic in onze verpakkingen voor consumptiegoederen verhoogd naar 25 procent. En we hebben wereldwijd een </w:t>
      </w:r>
      <w:r w:rsidR="00962022">
        <w:rPr>
          <w:lang w:val="fr-FR"/>
        </w:rPr>
        <w:t>gender</w:t>
      </w:r>
      <w:r w:rsidRPr="00C23A45">
        <w:rPr>
          <w:lang w:val="fr-FR"/>
        </w:rPr>
        <w:t>neutraal ouderschapsverlof van ten minste acht weken met volledige doorbetaling geïntroduceerd - wat uitstekend is ontvangen. Daarnaast hebben we het eerste duurzaamheidsverslag geïmplementeerd in overeenstemming met de inhoudelijke eisen van het nieuwe ESRS, waardoor ook onze interne processen verder zijn verbeterd.”</w:t>
      </w:r>
    </w:p>
    <w:p w:rsidRPr="00E51650" w:rsidR="00E63BFB" w:rsidRDefault="00E51650" w14:paraId="28489CD9" w14:textId="52309AAB">
      <w:pPr>
        <w:pStyle w:val="P68B1DB1-Normale3"/>
        <w:rPr>
          <w:lang w:val="fr-FR"/>
        </w:rPr>
      </w:pPr>
      <w:r w:rsidRPr="00E51650">
        <w:rPr>
          <w:lang w:val="fr-FR"/>
        </w:rPr>
        <w:t xml:space="preserve"> </w:t>
      </w:r>
    </w:p>
    <w:p w:rsidRPr="00F2077B" w:rsidR="00F2077B" w:rsidP="00F2077B" w:rsidRDefault="00F2077B" w14:paraId="69275D98" w14:textId="77777777">
      <w:pPr>
        <w:pStyle w:val="P68B1DB1-Normale4"/>
        <w:spacing w:after="120"/>
        <w:rPr>
          <w:lang w:val="fr-FR"/>
        </w:rPr>
      </w:pPr>
      <w:r w:rsidRPr="00F2077B">
        <w:rPr>
          <w:lang w:val="fr-FR"/>
        </w:rPr>
        <w:t>Nieuwe doelstellingen voor klimaatbescherming</w:t>
      </w:r>
    </w:p>
    <w:p w:rsidRPr="00F2077B" w:rsidR="00F2077B" w:rsidP="00F2077B" w:rsidRDefault="00F2077B" w14:paraId="263E88EE" w14:textId="77777777">
      <w:pPr>
        <w:rPr>
          <w:rFonts w:cs="Segoe UI"/>
          <w:lang w:val="fr-FR"/>
        </w:rPr>
      </w:pPr>
      <w:r w:rsidRPr="00F2077B">
        <w:rPr>
          <w:rFonts w:cs="Segoe UI"/>
          <w:lang w:val="fr-FR"/>
        </w:rPr>
        <w:t>Eind vorig jaar had Henkel de CO</w:t>
      </w:r>
      <w:r w:rsidRPr="00F2077B">
        <w:rPr>
          <w:rFonts w:cs="Segoe UI"/>
          <w:vertAlign w:val="subscript"/>
          <w:lang w:val="fr-FR"/>
        </w:rPr>
        <w:t>2</w:t>
      </w:r>
      <w:r w:rsidRPr="00F2077B">
        <w:rPr>
          <w:rFonts w:cs="Segoe UI"/>
          <w:lang w:val="fr-FR"/>
        </w:rPr>
        <w:t>-uitstoot in zijn productie per ton product met 64 procent verminderd ten opzichte van het basisjaar 2017 en de energie die wordt ingekocht uit hernieuwbare bronnen verhoogd tot 47 procent.</w:t>
      </w:r>
    </w:p>
    <w:p w:rsidRPr="00F2077B" w:rsidR="00F2077B" w:rsidP="00F2077B" w:rsidRDefault="00F2077B" w14:paraId="4817DDD7" w14:textId="51D36152">
      <w:pPr>
        <w:rPr>
          <w:rFonts w:cs="Segoe UI"/>
          <w:lang w:val="fr-FR"/>
        </w:rPr>
      </w:pPr>
      <w:r w:rsidRPr="00F2077B">
        <w:rPr>
          <w:rFonts w:cs="Segoe UI"/>
          <w:lang w:val="fr-FR"/>
        </w:rPr>
        <w:t xml:space="preserve">Henkel </w:t>
      </w:r>
      <w:r w:rsidR="00852B1E">
        <w:rPr>
          <w:rFonts w:cs="Segoe UI"/>
          <w:lang w:val="fr-FR"/>
        </w:rPr>
        <w:t>bepaalde</w:t>
      </w:r>
      <w:r w:rsidRPr="00F2077B">
        <w:rPr>
          <w:rFonts w:cs="Segoe UI"/>
          <w:lang w:val="fr-FR"/>
        </w:rPr>
        <w:t xml:space="preserve"> vorig jaar ook Netto</w:t>
      </w:r>
      <w:r w:rsidR="003D22F2">
        <w:rPr>
          <w:rFonts w:cs="Segoe UI"/>
          <w:lang w:val="fr-FR"/>
        </w:rPr>
        <w:t>-</w:t>
      </w:r>
      <w:r w:rsidRPr="00F2077B">
        <w:rPr>
          <w:rFonts w:cs="Segoe UI"/>
          <w:lang w:val="fr-FR"/>
        </w:rPr>
        <w:t xml:space="preserve">Nul-doelstellingen, die een groter deel van de waardeketen bestrijken dan </w:t>
      </w:r>
      <w:r w:rsidR="003D22F2">
        <w:rPr>
          <w:rFonts w:cs="Segoe UI"/>
          <w:lang w:val="fr-FR"/>
        </w:rPr>
        <w:t>eerdere</w:t>
      </w:r>
      <w:r w:rsidRPr="00F2077B">
        <w:rPr>
          <w:rFonts w:cs="Segoe UI"/>
          <w:lang w:val="fr-FR"/>
        </w:rPr>
        <w:t xml:space="preserve"> klimaatdoelstellingen. Tegen 2045 wil Henkel zijn absolute scope 1, 2 en 3 uitstoot van broeikasgassen met 90 procent verminderen. Als klimaatdoelen voor de korte termijn is Henkel van plan om zijn absolute scope 1 en 2 broeikasgasemissies met 42 procent en zijn absolute scope 3 broeikasgasemissies met 30 procent te verminderen tegen 2030 (in vergelijking met 2021). De nieuwe doelstellingen zijn gevalideerd door het Science Based Targets Initiative (SBTi), een klimaatveranderingsorganisatie die bedrijven ondersteunt bij het vaststellen van broeikasgasreductiedoelstellingen die in lijn zijn met het Klimaatakkoord van Parijs. Tegen het einde van 2024 had Henkel zijn scope 1, 2 en 3 broeikasgasemissies met 20 procent verminderd (in vergelijking met 2021). </w:t>
      </w:r>
    </w:p>
    <w:p w:rsidR="00E63BFB" w:rsidP="00F2077B" w:rsidRDefault="00F2077B" w14:paraId="145FA0B5" w14:textId="56A6509A">
      <w:pPr>
        <w:rPr>
          <w:rFonts w:cs="Segoe UI"/>
          <w:lang w:val="fr-FR"/>
        </w:rPr>
      </w:pPr>
      <w:r w:rsidRPr="00F2077B">
        <w:rPr>
          <w:rFonts w:cs="Segoe UI"/>
          <w:lang w:val="fr-FR"/>
        </w:rPr>
        <w:t>Om de waardeketen verder koolstofvrij te maken en de CO</w:t>
      </w:r>
      <w:r w:rsidRPr="00956A09">
        <w:rPr>
          <w:rFonts w:cs="Segoe UI"/>
          <w:vertAlign w:val="subscript"/>
          <w:lang w:val="fr-FR"/>
        </w:rPr>
        <w:t>2</w:t>
      </w:r>
      <w:r w:rsidRPr="00F2077B">
        <w:rPr>
          <w:rFonts w:cs="Segoe UI"/>
          <w:lang w:val="fr-FR"/>
        </w:rPr>
        <w:t>-uitstoot in de toeleveringsketen (scope 3) beter vast te leggen, versnelde Henkel vorig jaar zijn engagementprogramma voor zijn wereldwijde leveranciers. Het verzamelt emissiegegevens en definieert specifieke maatregelen om de uitstoot te verminderen.</w:t>
      </w:r>
    </w:p>
    <w:p w:rsidR="009D21F5" w:rsidP="00F2077B" w:rsidRDefault="009D21F5" w14:paraId="1E8CDD24" w14:textId="77777777">
      <w:pPr>
        <w:rPr>
          <w:rFonts w:cs="Segoe UI"/>
          <w:lang w:val="fr-FR"/>
        </w:rPr>
      </w:pPr>
    </w:p>
    <w:p w:rsidRPr="009D21F5" w:rsidR="009D21F5" w:rsidP="009D21F5" w:rsidRDefault="009D21F5" w14:paraId="6DFA4CF2" w14:textId="77777777">
      <w:pPr>
        <w:rPr>
          <w:rFonts w:cs="Segoe UI"/>
          <w:b/>
          <w:bCs/>
          <w:lang w:val="fr-FR"/>
        </w:rPr>
      </w:pPr>
      <w:r w:rsidRPr="009D21F5">
        <w:rPr>
          <w:rFonts w:cs="Segoe UI"/>
          <w:b/>
          <w:bCs/>
          <w:lang w:val="fr-FR"/>
        </w:rPr>
        <w:t>Duurzame verpakkingsoplossingen</w:t>
      </w:r>
    </w:p>
    <w:p w:rsidRPr="009D21F5" w:rsidR="009D21F5" w:rsidP="009D21F5" w:rsidRDefault="009D21F5" w14:paraId="3666C9F0" w14:textId="77A085E7">
      <w:pPr>
        <w:rPr>
          <w:rFonts w:cs="Segoe UI"/>
          <w:lang w:val="fr-FR"/>
        </w:rPr>
      </w:pPr>
      <w:r w:rsidRPr="009D21F5">
        <w:rPr>
          <w:rFonts w:cs="Segoe UI"/>
          <w:lang w:val="fr-FR"/>
        </w:rPr>
        <w:t>Henkel heeft het aandeel gerecycle</w:t>
      </w:r>
      <w:r>
        <w:rPr>
          <w:rFonts w:cs="Segoe UI"/>
          <w:lang w:val="fr-FR"/>
        </w:rPr>
        <w:t>er</w:t>
      </w:r>
      <w:r w:rsidRPr="009D21F5">
        <w:rPr>
          <w:rFonts w:cs="Segoe UI"/>
          <w:lang w:val="fr-FR"/>
        </w:rPr>
        <w:t xml:space="preserve">d plastic in zijn verpakkingen voor consumptiegoederen verder verhoogd naar 25 procent. Tegen het einde van dit jaar verwacht het bedrijf 30 procent te bereiken. </w:t>
      </w:r>
    </w:p>
    <w:p w:rsidRPr="009D21F5" w:rsidR="009D21F5" w:rsidP="009D21F5" w:rsidRDefault="009D21F5" w14:paraId="205DD6EE" w14:textId="46AB6636">
      <w:pPr>
        <w:rPr>
          <w:rFonts w:cs="Segoe UI"/>
          <w:lang w:val="fr-FR"/>
        </w:rPr>
      </w:pPr>
      <w:r w:rsidRPr="009D21F5">
        <w:rPr>
          <w:rFonts w:cs="Segoe UI"/>
          <w:lang w:val="fr-FR"/>
        </w:rPr>
        <w:t>Twee voorbeelden onderstrepen deze vooruitgang: In Europa heeft Henkel het aandeel gerecycle</w:t>
      </w:r>
      <w:r w:rsidR="002E7066">
        <w:rPr>
          <w:rFonts w:cs="Segoe UI"/>
          <w:lang w:val="fr-FR"/>
        </w:rPr>
        <w:t>er</w:t>
      </w:r>
      <w:r w:rsidRPr="009D21F5">
        <w:rPr>
          <w:rFonts w:cs="Segoe UI"/>
          <w:lang w:val="fr-FR"/>
        </w:rPr>
        <w:t>d plastic in verpakkingen voor vloeibare wasmiddelen en haarverzorging verhoogd naar minstens 50 procent. Dit omvat merken als Persil, Weißer Riese, Spee en Gliss. In Noord-</w:t>
      </w:r>
      <w:r w:rsidRPr="009D21F5">
        <w:rPr>
          <w:rFonts w:cs="Segoe UI"/>
          <w:lang w:val="fr-FR"/>
        </w:rPr>
        <w:t>Amerika heeft het bedrijf een nieuwe verpakking geïntroduceerd voor zijn vloeibare handzeep Dial, die nu gemaakt is van 100 procent gerecycle</w:t>
      </w:r>
      <w:r w:rsidR="002E7066">
        <w:rPr>
          <w:rFonts w:cs="Segoe UI"/>
          <w:lang w:val="fr-FR"/>
        </w:rPr>
        <w:t>er</w:t>
      </w:r>
      <w:r w:rsidRPr="009D21F5">
        <w:rPr>
          <w:rFonts w:cs="Segoe UI"/>
          <w:lang w:val="fr-FR"/>
        </w:rPr>
        <w:t xml:space="preserve">d plastic. </w:t>
      </w:r>
    </w:p>
    <w:p w:rsidRPr="009D21F5" w:rsidR="009D21F5" w:rsidP="009D21F5" w:rsidRDefault="009D21F5" w14:paraId="4B0B1AAA" w14:textId="7EABCCFD">
      <w:pPr>
        <w:rPr>
          <w:rFonts w:cs="Segoe UI"/>
          <w:lang w:val="fr-FR"/>
        </w:rPr>
      </w:pPr>
      <w:r w:rsidRPr="009D21F5">
        <w:rPr>
          <w:rFonts w:cs="Segoe UI"/>
          <w:lang w:val="fr-FR"/>
        </w:rPr>
        <w:t xml:space="preserve">Henkel streeft er ook naar om alle consumentenverpakkingen te ontwerpen voor recycling. Eind 2024 </w:t>
      </w:r>
      <w:r w:rsidR="00E42448">
        <w:rPr>
          <w:rFonts w:cs="Segoe UI"/>
          <w:lang w:val="fr-FR"/>
        </w:rPr>
        <w:t xml:space="preserve">was dit het geval voor </w:t>
      </w:r>
      <w:r w:rsidRPr="009D21F5">
        <w:rPr>
          <w:rFonts w:cs="Segoe UI"/>
          <w:lang w:val="fr-FR"/>
        </w:rPr>
        <w:t xml:space="preserve">89 procent. </w:t>
      </w:r>
    </w:p>
    <w:p w:rsidR="009D21F5" w:rsidP="009D21F5" w:rsidRDefault="009D21F5" w14:paraId="03E6DE22" w14:textId="73DD9DE0">
      <w:pPr>
        <w:rPr>
          <w:rFonts w:cs="Segoe UI"/>
          <w:lang w:val="fr-FR"/>
        </w:rPr>
      </w:pPr>
      <w:r w:rsidRPr="009D21F5">
        <w:rPr>
          <w:rFonts w:cs="Segoe UI"/>
          <w:lang w:val="fr-FR"/>
        </w:rPr>
        <w:t xml:space="preserve">Met de lijminnovaties van de </w:t>
      </w:r>
      <w:r w:rsidR="00A14796">
        <w:rPr>
          <w:rFonts w:cs="Segoe UI"/>
          <w:lang w:val="fr-FR"/>
        </w:rPr>
        <w:t>divisie</w:t>
      </w:r>
      <w:r w:rsidRPr="009D21F5">
        <w:rPr>
          <w:rFonts w:cs="Segoe UI"/>
          <w:lang w:val="fr-FR"/>
        </w:rPr>
        <w:t xml:space="preserve"> Adhesive Technologies zet Henkel nieuwe standaarden voor duurzamere verpakkingen. Zo bestaat een nieuwe smeltlijm van het merk Technomelt, die onder andere wordt gebruikt voor voedselverpakkingen, voor minstens 49 procent uit biogebaseerde grondstoffen. Tegelijkertijd is er aanzienlijk minder energie nodig voor klanten tijdens de applicatiefase van het product.</w:t>
      </w:r>
    </w:p>
    <w:p w:rsidR="006326FD" w:rsidP="009D21F5" w:rsidRDefault="006326FD" w14:paraId="7FBDC5E1" w14:textId="77777777">
      <w:pPr>
        <w:rPr>
          <w:rFonts w:cs="Segoe UI"/>
          <w:lang w:val="fr-FR"/>
        </w:rPr>
      </w:pPr>
    </w:p>
    <w:p w:rsidRPr="006326FD" w:rsidR="006326FD" w:rsidP="006326FD" w:rsidRDefault="006326FD" w14:paraId="65A5DC42" w14:textId="77777777">
      <w:pPr>
        <w:rPr>
          <w:rFonts w:cs="Segoe UI"/>
          <w:b/>
          <w:bCs/>
          <w:lang w:val="fr-FR"/>
        </w:rPr>
      </w:pPr>
      <w:r w:rsidRPr="006326FD">
        <w:rPr>
          <w:rFonts w:cs="Segoe UI"/>
          <w:b/>
          <w:bCs/>
          <w:lang w:val="fr-FR"/>
        </w:rPr>
        <w:t>Gelijke kansen en eerlijke arbeidsomstandigheden</w:t>
      </w:r>
    </w:p>
    <w:p w:rsidRPr="006326FD" w:rsidR="006326FD" w:rsidP="006326FD" w:rsidRDefault="006326FD" w14:paraId="26FFC0BF" w14:textId="35168C2C">
      <w:pPr>
        <w:rPr>
          <w:rFonts w:cs="Segoe UI"/>
          <w:lang w:val="fr-FR"/>
        </w:rPr>
      </w:pPr>
      <w:r w:rsidRPr="006326FD">
        <w:rPr>
          <w:rFonts w:cs="Segoe UI"/>
          <w:lang w:val="fr-FR"/>
        </w:rPr>
        <w:t xml:space="preserve">Een mijlpaal op het gebied van diversiteit en gelijkheid is het </w:t>
      </w:r>
      <w:r>
        <w:rPr>
          <w:rFonts w:cs="Segoe UI"/>
          <w:lang w:val="fr-FR"/>
        </w:rPr>
        <w:t>gender</w:t>
      </w:r>
      <w:r w:rsidRPr="006326FD">
        <w:rPr>
          <w:rFonts w:cs="Segoe UI"/>
          <w:lang w:val="fr-FR"/>
        </w:rPr>
        <w:t>neutrale ouderschapsverlofprogramma dat het bedrijf heeft geïntroduceerd voor alle 47.000 werknemers wereldwijd. Het garandeert minimaal acht weken volledig betaald ouderschapsverlof en geldt voor alle gezinssamenstellingen, inclusief adoptie- of pleegkinderen, LGBTQ+ stellen en alleenstaande ouders. De respons op het aanbod was zeer positief; wereldwijd namen ongeveer 30 procent meer werknemers ouderschapsverlof op dan in het voorgaande jaar.</w:t>
      </w:r>
    </w:p>
    <w:p w:rsidRPr="006326FD" w:rsidR="006326FD" w:rsidP="006326FD" w:rsidRDefault="006326FD" w14:paraId="3C922106" w14:textId="77777777">
      <w:pPr>
        <w:rPr>
          <w:rFonts w:cs="Segoe UI"/>
          <w:lang w:val="fr-FR"/>
        </w:rPr>
      </w:pPr>
      <w:r w:rsidRPr="006326FD">
        <w:rPr>
          <w:rFonts w:cs="Segoe UI"/>
          <w:lang w:val="fr-FR"/>
        </w:rPr>
        <w:t xml:space="preserve">Bovendien kon Henkel het percentage vrouwen in het management verhogen tot 42 procent. </w:t>
      </w:r>
    </w:p>
    <w:p w:rsidR="006326FD" w:rsidP="006326FD" w:rsidRDefault="006326FD" w14:paraId="489F3B82" w14:textId="12A03335">
      <w:pPr>
        <w:rPr>
          <w:rFonts w:cs="Segoe UI"/>
          <w:lang w:val="fr-FR"/>
        </w:rPr>
      </w:pPr>
      <w:r w:rsidRPr="006326FD">
        <w:rPr>
          <w:rFonts w:cs="Segoe UI"/>
          <w:lang w:val="fr-FR"/>
        </w:rPr>
        <w:t xml:space="preserve">Als onderdeel van het streven naar eerlijke arbeidsomstandigheden heeft het bedrijf een extra jaarlijkse beoordeling geïntroduceerd om ervoor te zorgen dat de beloning van Henkel-medewerkers wereldwijd consequent in lijn blijft met </w:t>
      </w:r>
      <w:r w:rsidR="0087743E">
        <w:rPr>
          <w:rFonts w:cs="Segoe UI"/>
          <w:lang w:val="fr-FR"/>
        </w:rPr>
        <w:t xml:space="preserve">benchmarks voor de lokale levensstandaard. </w:t>
      </w:r>
    </w:p>
    <w:p w:rsidR="00255143" w:rsidP="006326FD" w:rsidRDefault="00255143" w14:paraId="4E782877" w14:textId="77777777">
      <w:pPr>
        <w:rPr>
          <w:rFonts w:cs="Segoe UI"/>
          <w:lang w:val="fr-FR"/>
        </w:rPr>
      </w:pPr>
    </w:p>
    <w:p w:rsidRPr="00023950" w:rsidR="00255143" w:rsidP="00255143" w:rsidRDefault="00255143" w14:paraId="7A34AFE1" w14:textId="77777777">
      <w:pPr>
        <w:rPr>
          <w:rFonts w:cs="Segoe UI"/>
          <w:b/>
          <w:bCs/>
          <w:lang w:val="fr-FR"/>
        </w:rPr>
      </w:pPr>
      <w:r w:rsidRPr="00023950">
        <w:rPr>
          <w:rFonts w:cs="Segoe UI"/>
          <w:b/>
          <w:bCs/>
          <w:lang w:val="fr-FR"/>
        </w:rPr>
        <w:t>Externe erkenning voor duurzaamheidsprestaties</w:t>
      </w:r>
    </w:p>
    <w:p w:rsidR="00255143" w:rsidP="00255143" w:rsidRDefault="00255143" w14:paraId="2CC3C293" w14:textId="70E2A72C">
      <w:pPr>
        <w:rPr>
          <w:rFonts w:cs="Segoe UI"/>
          <w:lang w:val="fr-FR"/>
        </w:rPr>
      </w:pPr>
      <w:r w:rsidRPr="00255143">
        <w:rPr>
          <w:rFonts w:cs="Segoe UI"/>
          <w:lang w:val="fr-FR"/>
        </w:rPr>
        <w:t xml:space="preserve">Externe, onafhankelijke ratingbureaus hebben Henkels vooruitgang op het gebied van duurzaamheid opnieuw erkend. Onder andere het ESG-beoordelingsbureau EcoVadis heeft Henkel de Gouden Medaille toegekend. Hiermee behoort Henkel tot de top vijf van de beoordeelde bedrijven. Daarnaast werd Henkel door Morningstar Sustainalytics erkend als een Top-Rated Company voor zijn duurzaamheidsprestaties. En het bedrijf ontving nog een onderscheiding van Corporate Knights in </w:t>
      </w:r>
      <w:r w:rsidR="004D029A">
        <w:rPr>
          <w:rFonts w:cs="Segoe UI"/>
          <w:lang w:val="fr-FR"/>
        </w:rPr>
        <w:t xml:space="preserve">de </w:t>
      </w:r>
      <w:r w:rsidRPr="00255143">
        <w:rPr>
          <w:rFonts w:cs="Segoe UI"/>
          <w:lang w:val="fr-FR"/>
        </w:rPr>
        <w:t>2025 Global 100 Most Sustainable Corporations in the World ranglijst. Henkel werd ook geëerd met de Sustainable Future Award 2024 door het F.A.Z. Institute en Cision Duitsland voor zijn jarenlange geloofwaardige duurzaamheidscommunicatie.</w:t>
      </w:r>
    </w:p>
    <w:p w:rsidR="00EA7854" w:rsidP="00F2077B" w:rsidRDefault="00EA7854" w14:paraId="7DF21F0D" w14:textId="77777777">
      <w:pPr>
        <w:rPr>
          <w:rFonts w:cs="Segoe UI"/>
          <w:lang w:val="fr-FR"/>
        </w:rPr>
      </w:pPr>
    </w:p>
    <w:p w:rsidR="00F96F57" w:rsidP="00F2077B" w:rsidRDefault="00F96F57" w14:paraId="1DECAA0A" w14:textId="1BF6A181">
      <w:pPr>
        <w:rPr>
          <w:rFonts w:cs="Segoe UI"/>
          <w:lang w:val="fr-FR"/>
        </w:rPr>
      </w:pPr>
      <w:r w:rsidRPr="0C226CAA" w:rsidR="00F96F57">
        <w:rPr>
          <w:rFonts w:cs="Segoe UI"/>
          <w:lang w:val="fr-FR"/>
        </w:rPr>
        <w:t>DIT PERSBERICHT IS EEN VERTALING VAN DE ORIGINELE, ENGELSE VERSIE.</w:t>
      </w:r>
    </w:p>
    <w:p w:rsidR="00187949" w:rsidP="00187949" w:rsidRDefault="00187949" w14:paraId="54396D7F" w14:textId="50FAADC8">
      <w:pPr>
        <w:rPr>
          <w:rFonts w:ascii="Helvetica" w:hAnsi="Helvetica" w:cs="Helvetica" w:eastAsiaTheme="minorEastAsia"/>
          <w:b/>
          <w:bCs/>
          <w:sz w:val="18"/>
          <w:szCs w:val="18"/>
          <w:lang w:val="nl-NL"/>
        </w:rPr>
      </w:pPr>
    </w:p>
    <w:p w:rsidR="00B431F1" w:rsidP="005C5ABA" w:rsidRDefault="00B431F1" w14:paraId="390B765C" w14:textId="77777777">
      <w:pPr>
        <w:autoSpaceDE w:val="0"/>
        <w:autoSpaceDN w:val="0"/>
        <w:adjustRightInd w:val="0"/>
        <w:ind w:right="-445"/>
        <w:rPr>
          <w:rFonts w:ascii="Helvetica" w:hAnsi="Helvetica" w:cs="Segoe UI"/>
          <w:b/>
          <w:bCs/>
          <w:sz w:val="18"/>
          <w:szCs w:val="18"/>
          <w:lang w:val="fr-FR"/>
        </w:rPr>
      </w:pPr>
    </w:p>
    <w:p w:rsidR="00B431F1" w:rsidP="005C5ABA" w:rsidRDefault="00B431F1" w14:paraId="33A0672A" w14:textId="77777777">
      <w:pPr>
        <w:autoSpaceDE w:val="0"/>
        <w:autoSpaceDN w:val="0"/>
        <w:adjustRightInd w:val="0"/>
        <w:ind w:right="-445"/>
        <w:rPr>
          <w:rFonts w:ascii="Helvetica" w:hAnsi="Helvetica" w:cs="Segoe UI"/>
          <w:b/>
          <w:bCs/>
          <w:sz w:val="18"/>
          <w:szCs w:val="18"/>
          <w:lang w:val="fr-FR"/>
        </w:rPr>
      </w:pPr>
    </w:p>
    <w:p w:rsidRPr="005C5ABA" w:rsidR="007F0091" w:rsidP="005C5ABA" w:rsidRDefault="007F0091" w14:paraId="4234DF22" w14:textId="07C88B9B">
      <w:pPr>
        <w:autoSpaceDE w:val="0"/>
        <w:autoSpaceDN w:val="0"/>
        <w:adjustRightInd w:val="0"/>
        <w:ind w:right="-445"/>
        <w:rPr>
          <w:rFonts w:ascii="Helvetica" w:hAnsi="Helvetica" w:cs="Segoe UI"/>
          <w:b/>
          <w:bCs/>
          <w:sz w:val="18"/>
          <w:szCs w:val="18"/>
          <w:lang w:val="fr-FR"/>
        </w:rPr>
      </w:pPr>
      <w:r w:rsidRPr="005C5ABA">
        <w:rPr>
          <w:rFonts w:ascii="Helvetica" w:hAnsi="Helvetica" w:cs="Segoe UI"/>
          <w:b/>
          <w:bCs/>
          <w:sz w:val="18"/>
          <w:szCs w:val="18"/>
          <w:lang w:val="fr-FR"/>
        </w:rPr>
        <w:t xml:space="preserve">Over Henkel </w:t>
      </w:r>
    </w:p>
    <w:p w:rsidR="00B431F1" w:rsidP="007F0091" w:rsidRDefault="007F0091" w14:paraId="70580678" w14:textId="77777777">
      <w:pPr>
        <w:autoSpaceDE w:val="0"/>
        <w:autoSpaceDN w:val="0"/>
        <w:adjustRightInd w:val="0"/>
        <w:ind w:right="-445"/>
        <w:rPr>
          <w:rFonts w:ascii="Helvetica" w:hAnsi="Helvetica" w:cs="Segoe UI"/>
          <w:sz w:val="18"/>
          <w:szCs w:val="18"/>
          <w:lang w:val="fr-FR"/>
        </w:rPr>
      </w:pPr>
      <w:r w:rsidRPr="005C5ABA">
        <w:rPr>
          <w:rFonts w:ascii="Helvetica" w:hAnsi="Helvetica" w:cs="Segoe UI"/>
          <w:sz w:val="18"/>
          <w:szCs w:val="18"/>
          <w:lang w:val="fr-FR"/>
        </w:rPr>
        <w:t>Met zijn merken, innovaties en technologieën bekleedt Henkel wereldwijd een leidende marktpositie in de industriële en consumentenmarkt. De business unit Adhesive Technologies is wereldleider op de markt van kleefstoffen, dichtingsmiddelen en functionele coatings. Met Consumer Brands bekleedt het bedrijf leidende posities, vooral in wasmiddelen &amp; huishoudelijke verzorging en haarverzorging in vele markten en categorieën over de hele wereld. De drie sterkste merken van het bedrijf zijn Loctite, Persil en Schwarzkopf. In het boekjaar 2024 rapporteerde Henkel een omzet van meer dan 21,6 miljard euro en een aangepast bedrijfsresultaat van ongeveer 3,1 miljard euro. De preferente aandelen van Henkel staan genoteerd in de Duitse aandelenindex DAX. Duurzaamheid heeft een lange traditie bij Henkel en het bedrijf heeft een duidelijke duurzaamheidsstrategie met specifieke doelstellingen. Henkel werd opgericht in 1876 en heeft vandaag een divers team van ongeveer 47.000 mensen wereldwijd - verenigd door een sterke bedrijfscultuur, gedeelde waarden en een gemeenschappelijk doel: “</w:t>
      </w:r>
      <w:r w:rsidRPr="00B431F1" w:rsidR="00B431F1">
        <w:rPr>
          <w:rFonts w:ascii="Helvetica" w:hAnsi="Helvetica" w:cs="Segoe UI"/>
          <w:i/>
          <w:iCs/>
          <w:color w:val="000000"/>
          <w:sz w:val="18"/>
          <w:szCs w:val="18"/>
          <w:lang w:val="en-US"/>
        </w:rPr>
        <w:t>Pioneers at heart for the good of generations</w:t>
      </w:r>
      <w:r w:rsidRPr="00B431F1">
        <w:rPr>
          <w:rFonts w:ascii="Helvetica" w:hAnsi="Helvetica" w:cs="Segoe UI"/>
          <w:sz w:val="18"/>
          <w:szCs w:val="18"/>
          <w:lang w:val="fr-FR"/>
        </w:rPr>
        <w:t>.”</w:t>
      </w:r>
      <w:r w:rsidRPr="005C5ABA">
        <w:rPr>
          <w:rFonts w:ascii="Helvetica" w:hAnsi="Helvetica" w:cs="Segoe UI"/>
          <w:sz w:val="18"/>
          <w:szCs w:val="18"/>
          <w:lang w:val="fr-FR"/>
        </w:rPr>
        <w:t xml:space="preserve"> </w:t>
      </w:r>
    </w:p>
    <w:p w:rsidRPr="005C5ABA" w:rsidR="007F0091" w:rsidP="007F0091" w:rsidRDefault="007F0091" w14:paraId="0160E90E" w14:textId="538354C6">
      <w:pPr>
        <w:autoSpaceDE w:val="0"/>
        <w:autoSpaceDN w:val="0"/>
        <w:adjustRightInd w:val="0"/>
        <w:ind w:right="-445"/>
        <w:rPr>
          <w:rFonts w:ascii="Helvetica" w:hAnsi="Helvetica" w:cs="Segoe UI"/>
          <w:sz w:val="18"/>
          <w:szCs w:val="18"/>
          <w:lang w:val="fr-FR"/>
        </w:rPr>
      </w:pPr>
      <w:r w:rsidRPr="005C5ABA">
        <w:rPr>
          <w:rFonts w:ascii="Helvetica" w:hAnsi="Helvetica" w:cs="Segoe UI"/>
          <w:sz w:val="18"/>
          <w:szCs w:val="18"/>
          <w:lang w:val="fr-FR"/>
        </w:rPr>
        <w:t xml:space="preserve">Meer informatie op www.henkel.com </w:t>
      </w:r>
    </w:p>
    <w:p w:rsidRPr="007F0091" w:rsidR="007F0091" w:rsidP="007F0091" w:rsidRDefault="007F0091" w14:paraId="7DD97F6C" w14:textId="77777777">
      <w:pPr>
        <w:rPr>
          <w:rFonts w:cs="Segoe UI"/>
          <w:lang w:val="fr-FR"/>
        </w:rPr>
      </w:pPr>
    </w:p>
    <w:p w:rsidRPr="00E51650" w:rsidR="007F0091" w:rsidP="007F0091" w:rsidRDefault="007F0091" w14:paraId="16927DCD" w14:textId="1BFA3B10">
      <w:pPr>
        <w:rPr>
          <w:rFonts w:cs="Segoe UI"/>
          <w:lang w:val="fr-FR"/>
        </w:rPr>
      </w:pPr>
      <w:r w:rsidRPr="007F0091">
        <w:rPr>
          <w:rFonts w:cs="Segoe UI"/>
          <w:lang w:val="fr-FR"/>
        </w:rPr>
        <w:t>Fotomateriaal is beschikbaar op www.henkel.com/press</w:t>
      </w:r>
    </w:p>
    <w:p w:rsidRPr="00E51650" w:rsidR="00E63BFB" w:rsidRDefault="00E63BFB" w14:paraId="33A4F554" w14:textId="767F9FD9">
      <w:pPr>
        <w:pStyle w:val="P68B1DB1-Normale4"/>
        <w:spacing w:after="120"/>
        <w:rPr>
          <w:lang w:val="fr-FR"/>
        </w:rPr>
      </w:pPr>
    </w:p>
    <w:p w:rsidRPr="00F96F57" w:rsidR="00E63BFB" w:rsidP="00F96F57" w:rsidRDefault="00E63BFB" w14:paraId="55BDF556" w14:textId="57A77F25">
      <w:pPr>
        <w:pStyle w:val="P68B1DB1-Normale3"/>
        <w:spacing w:after="120"/>
        <w:rPr>
          <w:lang w:val="fr-FR"/>
        </w:rPr>
      </w:pPr>
    </w:p>
    <w:sectPr w:rsidRPr="00F96F57" w:rsidR="00E63BFB">
      <w:headerReference w:type="even" r:id="rId10"/>
      <w:footerReference w:type="default" r:id="rId11"/>
      <w:headerReference w:type="first" r:id="rId12"/>
      <w:footerReference w:type="first" r:id="rId13"/>
      <w:pgSz w:w="11907" w:h="16840" w:orient="portrait"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55BE" w:rsidRDefault="00C855BE" w14:paraId="4D86B6D5" w14:textId="77777777">
      <w:pPr>
        <w:spacing w:line="240" w:lineRule="auto"/>
      </w:pPr>
      <w:r>
        <w:separator/>
      </w:r>
    </w:p>
  </w:endnote>
  <w:endnote w:type="continuationSeparator" w:id="0">
    <w:p w:rsidR="00C855BE" w:rsidRDefault="00C855BE" w14:paraId="3F2970F4" w14:textId="77777777">
      <w:pPr>
        <w:spacing w:line="240" w:lineRule="auto"/>
      </w:pPr>
      <w:r>
        <w:continuationSeparator/>
      </w:r>
    </w:p>
  </w:endnote>
  <w:endnote w:type="continuationNotice" w:id="1">
    <w:p w:rsidR="00C855BE" w:rsidRDefault="00C855BE" w14:paraId="0F2D67B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altName w:val="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3BFB" w:rsidRDefault="00E51650" w14:paraId="613F78E4" w14:textId="2A330897">
    <w:pPr>
      <w:pStyle w:val="Voettekst"/>
      <w:tabs>
        <w:tab w:val="clear" w:pos="7083"/>
        <w:tab w:val="clear" w:pos="8640"/>
        <w:tab w:val="right" w:pos="9071"/>
      </w:tabs>
      <w:jc w:val="both"/>
    </w:pPr>
    <w:r>
      <w:t>Henkel AG &amp; Co. KGaA</w:t>
    </w:r>
    <w:r>
      <w:tab/>
    </w:r>
    <w:r>
      <w:t xml:space="preserve"> </w:t>
    </w:r>
    <w:r>
      <w:fldChar w:fldCharType="begin"/>
    </w:r>
    <w:r>
      <w:instrText xml:space="preserve"> PAGE  \* Arabic  \* MERGEFORMAT </w:instrText>
    </w:r>
    <w:r>
      <w:fldChar w:fldCharType="separate"/>
    </w:r>
    <w:r>
      <w:rPr>
        <w:noProof/>
      </w:rPr>
      <w:t>2</w:t>
    </w:r>
    <w:r>
      <w:fldChar w:fldCharType="end"/>
    </w:r>
    <w:r>
      <w:t>/</w:t>
    </w:r>
    <w:r>
      <w:fldChar w:fldCharType="begin"/>
    </w:r>
    <w:r>
      <w:instrText> NUMPAGES  \* Arabic  \* MERGEFORMAT </w:instrText>
    </w:r>
    <w:r>
      <w:fldChar w:fldCharType="separate"/>
    </w:r>
    <w:r>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3BFB" w:rsidRDefault="00E51650" w14:paraId="7AE76B1F" w14:textId="22BFA273">
    <w:pPr>
      <w:pStyle w:val="Voettekst"/>
    </w:pPr>
    <w:r>
      <w:t xml:space="preserve"> </w:t>
    </w:r>
    <w:r>
      <w:fldChar w:fldCharType="begin"/>
    </w:r>
    <w:r>
      <w:instrText xml:space="preserve"> PAGE  \* Arabic  \* MERGEFORMAT </w:instrText>
    </w:r>
    <w:r>
      <w:fldChar w:fldCharType="separate"/>
    </w:r>
    <w:r>
      <w:rPr>
        <w:noProof/>
      </w:rPr>
      <w:t>1</w:t>
    </w:r>
    <w:r>
      <w:fldChar w:fldCharType="end"/>
    </w:r>
    <w:r>
      <w:t>/</w:t>
    </w:r>
    <w:r>
      <w:fldChar w:fldCharType="begin"/>
    </w:r>
    <w:r>
      <w:instrText> NUMPAGES  \* Arabic  \* MERGEFORMAT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55BE" w:rsidRDefault="00C855BE" w14:paraId="33818CDD" w14:textId="77777777">
      <w:pPr>
        <w:spacing w:line="240" w:lineRule="auto"/>
      </w:pPr>
      <w:r>
        <w:separator/>
      </w:r>
    </w:p>
  </w:footnote>
  <w:footnote w:type="continuationSeparator" w:id="0">
    <w:p w:rsidR="00C855BE" w:rsidRDefault="00C855BE" w14:paraId="55CA4B41" w14:textId="77777777">
      <w:pPr>
        <w:spacing w:line="240" w:lineRule="auto"/>
      </w:pPr>
      <w:r>
        <w:continuationSeparator/>
      </w:r>
    </w:p>
  </w:footnote>
  <w:footnote w:type="continuationNotice" w:id="1">
    <w:p w:rsidR="00C855BE" w:rsidRDefault="00C855BE" w14:paraId="786F409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3BFB" w:rsidRDefault="00E63BFB" w14:paraId="3A3C9CE7" w14:textId="77777777">
    <w:pPr>
      <w:pStyle w:val="Koptekst"/>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63BFB" w:rsidRDefault="00E51650" w14:paraId="383F6FC1" w14:textId="74D41D7B">
    <w:pPr>
      <w:pStyle w:val="Koptekst"/>
    </w:pPr>
    <w:r>
      <w:rPr>
        <w:noProof/>
      </w:rPr>
      <w:drawing>
        <wp:anchor distT="0" distB="0" distL="114300" distR="114300" simplePos="0" relativeHeight="251658241" behindDoc="0" locked="1" layoutInCell="1" allowOverlap="1" wp14:anchorId="71275BCD" wp14:editId="0DF9AEF4">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0" locked="0" layoutInCell="1" allowOverlap="1" wp14:anchorId="3EB97446" wp14:editId="6BAE6CA8">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w14:anchorId="3378D078">
            <v:group id="Gruppieren 2" style="position:absolute;margin-left:14.2pt;margin-top:297.7pt;width:14.15pt;height:297.65pt;z-index:251659264;mso-position-horizontal-relative:page;mso-position-vertical-relative:page" coordsize="283,5953" coordorigin=",5954" o:spid="_x0000_s1026" w14:anchorId="136F27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00A0461A">
      <w:t>Persbericht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7B0F56"/>
    <w:multiLevelType w:val="hybridMultilevel"/>
    <w:tmpl w:val="0E88DF6E"/>
    <w:lvl w:ilvl="0" w:tplc="36002C28">
      <w:start w:val="1"/>
      <w:numFmt w:val="bullet"/>
      <w:lvlText w:val=""/>
      <w:lvlJc w:val="left"/>
      <w:pPr>
        <w:ind w:left="1440" w:hanging="360"/>
      </w:pPr>
      <w:rPr>
        <w:rFonts w:hint="default" w:ascii="Wingdings" w:hAnsi="Wingdings"/>
        <w:color w:val="E1000F"/>
        <w:sz w:val="24"/>
        <w:szCs w:val="24"/>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num w:numId="1" w16cid:durableId="25470461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FB"/>
    <w:rsid w:val="00023950"/>
    <w:rsid w:val="000D6B1B"/>
    <w:rsid w:val="000E45E6"/>
    <w:rsid w:val="00187949"/>
    <w:rsid w:val="001C32D1"/>
    <w:rsid w:val="001D0B39"/>
    <w:rsid w:val="0021605E"/>
    <w:rsid w:val="00225B0F"/>
    <w:rsid w:val="00255143"/>
    <w:rsid w:val="002E4331"/>
    <w:rsid w:val="002E7066"/>
    <w:rsid w:val="003517EA"/>
    <w:rsid w:val="0036149C"/>
    <w:rsid w:val="003D22F2"/>
    <w:rsid w:val="003F2AA0"/>
    <w:rsid w:val="00484E33"/>
    <w:rsid w:val="004A2FA1"/>
    <w:rsid w:val="004D029A"/>
    <w:rsid w:val="004E707B"/>
    <w:rsid w:val="00560FB8"/>
    <w:rsid w:val="0056477E"/>
    <w:rsid w:val="0057302C"/>
    <w:rsid w:val="00595822"/>
    <w:rsid w:val="005C5ABA"/>
    <w:rsid w:val="00630863"/>
    <w:rsid w:val="006326FD"/>
    <w:rsid w:val="0067317D"/>
    <w:rsid w:val="00683DE6"/>
    <w:rsid w:val="006E01D9"/>
    <w:rsid w:val="00721F27"/>
    <w:rsid w:val="00781F8C"/>
    <w:rsid w:val="007F0091"/>
    <w:rsid w:val="00802D48"/>
    <w:rsid w:val="00852B1E"/>
    <w:rsid w:val="0087743E"/>
    <w:rsid w:val="008D0C89"/>
    <w:rsid w:val="008F2BF4"/>
    <w:rsid w:val="00911F81"/>
    <w:rsid w:val="00945404"/>
    <w:rsid w:val="009501C8"/>
    <w:rsid w:val="00956A09"/>
    <w:rsid w:val="00962022"/>
    <w:rsid w:val="009A728E"/>
    <w:rsid w:val="009D21F5"/>
    <w:rsid w:val="00A0461A"/>
    <w:rsid w:val="00A055A4"/>
    <w:rsid w:val="00A14796"/>
    <w:rsid w:val="00A6190C"/>
    <w:rsid w:val="00B24530"/>
    <w:rsid w:val="00B431F1"/>
    <w:rsid w:val="00B87D1A"/>
    <w:rsid w:val="00C0211D"/>
    <w:rsid w:val="00C23A45"/>
    <w:rsid w:val="00C41A85"/>
    <w:rsid w:val="00C4602C"/>
    <w:rsid w:val="00C728C6"/>
    <w:rsid w:val="00C855BE"/>
    <w:rsid w:val="00D41824"/>
    <w:rsid w:val="00D666D4"/>
    <w:rsid w:val="00D84AD3"/>
    <w:rsid w:val="00D96FAE"/>
    <w:rsid w:val="00E42448"/>
    <w:rsid w:val="00E43DFB"/>
    <w:rsid w:val="00E51650"/>
    <w:rsid w:val="00E63BFB"/>
    <w:rsid w:val="00EA1C68"/>
    <w:rsid w:val="00EA7854"/>
    <w:rsid w:val="00EB761F"/>
    <w:rsid w:val="00EE0576"/>
    <w:rsid w:val="00F2077B"/>
    <w:rsid w:val="00F616D7"/>
    <w:rsid w:val="00F96F57"/>
    <w:rsid w:val="00FC5767"/>
    <w:rsid w:val="00FD7A68"/>
    <w:rsid w:val="0C226CA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01FF7"/>
  <w15:chartTrackingRefBased/>
  <w15:docId w15:val="{67148DF2-1B86-4191-8370-D3931887EB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630863"/>
    <w:pPr>
      <w:spacing w:after="0" w:line="276" w:lineRule="auto"/>
      <w:jc w:val="both"/>
    </w:pPr>
    <w:rPr>
      <w:rFonts w:ascii="Segoe UI" w:hAnsi="Segoe UI" w:eastAsia="Times New Roman" w:cs="Times New Roman"/>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rsid w:val="00630863"/>
    <w:pPr>
      <w:tabs>
        <w:tab w:val="left" w:pos="2607"/>
        <w:tab w:val="center" w:pos="4320"/>
        <w:tab w:val="right" w:pos="9356"/>
      </w:tabs>
      <w:spacing w:before="1440" w:line="100" w:lineRule="atLeast"/>
      <w:jc w:val="right"/>
    </w:pPr>
    <w:rPr>
      <w:rFonts w:cs="Segoe UI"/>
      <w:b/>
      <w:color w:val="3E3C3C"/>
      <w:sz w:val="40"/>
    </w:rPr>
  </w:style>
  <w:style w:type="character" w:styleId="KoptekstChar" w:customStyle="1">
    <w:name w:val="Koptekst Char"/>
    <w:basedOn w:val="Standaardalinea-lettertype"/>
    <w:link w:val="Koptekst"/>
    <w:rsid w:val="00630863"/>
    <w:rPr>
      <w:rFonts w:ascii="Segoe UI" w:hAnsi="Segoe UI" w:eastAsia="Times New Roman" w:cs="Segoe UI"/>
      <w:b/>
      <w:color w:val="3E3C3C"/>
      <w:sz w:val="40"/>
    </w:rPr>
  </w:style>
  <w:style w:type="paragraph" w:styleId="Voettekst">
    <w:name w:val="footer"/>
    <w:basedOn w:val="Standaard"/>
    <w:link w:val="VoettekstChar"/>
    <w:uiPriority w:val="99"/>
    <w:rsid w:val="00630863"/>
    <w:pPr>
      <w:tabs>
        <w:tab w:val="right" w:pos="7083"/>
        <w:tab w:val="right" w:pos="8640"/>
      </w:tabs>
      <w:spacing w:line="180" w:lineRule="atLeast"/>
      <w:jc w:val="right"/>
    </w:pPr>
    <w:rPr>
      <w:sz w:val="12"/>
    </w:rPr>
  </w:style>
  <w:style w:type="character" w:styleId="VoettekstChar" w:customStyle="1">
    <w:name w:val="Voettekst Char"/>
    <w:basedOn w:val="Standaardalinea-lettertype"/>
    <w:link w:val="Voettekst"/>
    <w:uiPriority w:val="99"/>
    <w:rsid w:val="00630863"/>
    <w:rPr>
      <w:rFonts w:ascii="Segoe UI" w:hAnsi="Segoe UI" w:eastAsia="Times New Roman" w:cs="Times New Roman"/>
      <w:sz w:val="12"/>
    </w:rPr>
  </w:style>
  <w:style w:type="character" w:styleId="Hyperlink">
    <w:name w:val="Hyperlink"/>
    <w:rsid w:val="00630863"/>
    <w:rPr>
      <w:rFonts w:ascii="Segoe UI" w:hAnsi="Segoe UI"/>
      <w:color w:val="0000FF"/>
      <w:sz w:val="18"/>
      <w:u w:val="single"/>
    </w:rPr>
  </w:style>
  <w:style w:type="character" w:styleId="Headline" w:customStyle="1">
    <w:name w:val="Headline"/>
    <w:basedOn w:val="Standaardalinea-lettertype"/>
    <w:rsid w:val="00630863"/>
    <w:rPr>
      <w:b/>
      <w:sz w:val="32"/>
    </w:rPr>
  </w:style>
  <w:style w:type="paragraph" w:styleId="MonthDayYear" w:customStyle="1">
    <w:name w:val="Month Day Year"/>
    <w:basedOn w:val="Standaard"/>
    <w:rsid w:val="00630863"/>
    <w:pPr>
      <w:spacing w:before="120"/>
      <w:ind w:right="-1"/>
      <w:jc w:val="right"/>
    </w:pPr>
  </w:style>
  <w:style w:type="paragraph" w:styleId="Topline" w:customStyle="1">
    <w:name w:val="Topline"/>
    <w:basedOn w:val="Standaard"/>
    <w:qFormat/>
    <w:rsid w:val="00630863"/>
    <w:pPr>
      <w:spacing w:before="560" w:after="560"/>
    </w:pPr>
    <w:rPr>
      <w:rFonts w:cs="Segoe UI"/>
    </w:rPr>
  </w:style>
  <w:style w:type="character" w:styleId="AboutandContactBody" w:customStyle="1">
    <w:name w:val="About and Contact Body"/>
    <w:basedOn w:val="Standaardalinea-lettertype"/>
    <w:rsid w:val="00630863"/>
    <w:rPr>
      <w:rFonts w:ascii="Segoe UI" w:hAnsi="Segoe UI"/>
      <w:sz w:val="18"/>
    </w:rPr>
  </w:style>
  <w:style w:type="character" w:styleId="AboutandContactHeadline" w:customStyle="1">
    <w:name w:val="About and Contact Headline"/>
    <w:basedOn w:val="Standaardalinea-lettertype"/>
    <w:rsid w:val="00630863"/>
    <w:rPr>
      <w:rFonts w:ascii="Segoe UI" w:hAnsi="Segoe UI"/>
      <w:b/>
      <w:sz w:val="18"/>
    </w:rPr>
  </w:style>
  <w:style w:type="paragraph" w:styleId="Lijstalinea">
    <w:name w:val="List Paragraph"/>
    <w:basedOn w:val="Standaard"/>
    <w:uiPriority w:val="63"/>
    <w:qFormat/>
    <w:rsid w:val="00630863"/>
    <w:pPr>
      <w:ind w:left="720"/>
      <w:contextualSpacing/>
    </w:pPr>
  </w:style>
  <w:style w:type="paragraph" w:styleId="P68B1DB1-Topline1" w:customStyle="1">
    <w:name w:val="P68B1DB1-Topline1"/>
    <w:basedOn w:val="Topline"/>
    <w:rPr>
      <w:b/>
    </w:rPr>
  </w:style>
  <w:style w:type="paragraph" w:styleId="P68B1DB1-Paragrafoelenco2" w:customStyle="1">
    <w:name w:val="P68B1DB1-Paragrafoelenco2"/>
    <w:basedOn w:val="Lijstalinea"/>
    <w:rPr>
      <w:b/>
    </w:rPr>
  </w:style>
  <w:style w:type="paragraph" w:styleId="P68B1DB1-Normale3" w:customStyle="1">
    <w:name w:val="P68B1DB1-Normale3"/>
    <w:basedOn w:val="Standaard"/>
    <w:rPr>
      <w:rFonts w:cs="Segoe UI"/>
    </w:rPr>
  </w:style>
  <w:style w:type="paragraph" w:styleId="P68B1DB1-Normale4" w:customStyle="1">
    <w:name w:val="P68B1DB1-Normale4"/>
    <w:basedOn w:val="Standaard"/>
    <w:rPr>
      <w:rFonts w:cs="Segoe UI"/>
      <w:b/>
    </w:rPr>
  </w:style>
  <w:style w:type="character" w:styleId="Onopgelostemelding">
    <w:name w:val="Unresolved Mention"/>
    <w:basedOn w:val="Standaardalinea-lettertype"/>
    <w:uiPriority w:val="99"/>
    <w:semiHidden/>
    <w:unhideWhenUsed/>
    <w:rsid w:val="00484E33"/>
    <w:rPr>
      <w:color w:val="605E5C"/>
      <w:shd w:val="clear" w:color="auto" w:fill="E1DFDD"/>
    </w:rPr>
  </w:style>
  <w:style w:type="paragraph" w:styleId="Normaalweb">
    <w:name w:val="Normal (Web)"/>
    <w:basedOn w:val="Standaard"/>
    <w:uiPriority w:val="99"/>
    <w:unhideWhenUsed/>
    <w:rsid w:val="00B87D1A"/>
    <w:pPr>
      <w:spacing w:before="100" w:beforeAutospacing="1" w:after="100" w:afterAutospacing="1" w:line="240" w:lineRule="auto"/>
      <w:jc w:val="left"/>
    </w:pPr>
    <w:rPr>
      <w:rFonts w:ascii="Times New Roman" w:hAnsi="Times New Roman"/>
      <w:sz w:val="24"/>
      <w:szCs w:val="24"/>
      <w:lang w:val="fr-FR" w:eastAsia="fr-FR"/>
    </w:rPr>
  </w:style>
  <w:style w:type="character" w:styleId="GevolgdeHyperlink">
    <w:name w:val="FollowedHyperlink"/>
    <w:basedOn w:val="Standaardalinea-lettertype"/>
    <w:uiPriority w:val="99"/>
    <w:semiHidden/>
    <w:unhideWhenUsed/>
    <w:rsid w:val="006E0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7C06ABF919934194025F2A817F9CB3" ma:contentTypeVersion="18" ma:contentTypeDescription="Crée un document." ma:contentTypeScope="" ma:versionID="efebf33fb7cb7a197ac3da5f8e8f937b">
  <xsd:schema xmlns:xsd="http://www.w3.org/2001/XMLSchema" xmlns:xs="http://www.w3.org/2001/XMLSchema" xmlns:p="http://schemas.microsoft.com/office/2006/metadata/properties" xmlns:ns2="47370a21-ef28-4bfa-b6fa-b7ba01fe31a0" xmlns:ns3="d90ad36a-495d-4b65-ad2b-8d8fcfe6fb0e" targetNamespace="http://schemas.microsoft.com/office/2006/metadata/properties" ma:root="true" ma:fieldsID="fa5083136309eb41438474bb04227c17" ns2:_="" ns3:_="">
    <xsd:import namespace="47370a21-ef28-4bfa-b6fa-b7ba01fe31a0"/>
    <xsd:import namespace="d90ad36a-495d-4b65-ad2b-8d8fcfe6fb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70a21-ef28-4bfa-b6fa-b7ba01fe31a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6b333f64-370a-4e03-8428-1030ecc09ea6}" ma:internalName="TaxCatchAll" ma:showField="CatchAllData" ma:web="47370a21-ef28-4bfa-b6fa-b7ba01fe31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0ad36a-495d-4b65-ad2b-8d8fcfe6fb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f81b74b8-96b6-418f-a71c-ac67f742fa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370a21-ef28-4bfa-b6fa-b7ba01fe31a0" xsi:nil="true"/>
    <lcf76f155ced4ddcb4097134ff3c332f xmlns="d90ad36a-495d-4b65-ad2b-8d8fcfe6fb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AB0E7D-D261-4476-8455-6FC9724937B2}">
  <ds:schemaRefs>
    <ds:schemaRef ds:uri="http://schemas.microsoft.com/sharepoint/v3/contenttype/forms"/>
  </ds:schemaRefs>
</ds:datastoreItem>
</file>

<file path=customXml/itemProps2.xml><?xml version="1.0" encoding="utf-8"?>
<ds:datastoreItem xmlns:ds="http://schemas.openxmlformats.org/officeDocument/2006/customXml" ds:itemID="{7E9F76F4-B1B5-46A8-8FA7-7021AC8D2C90}"/>
</file>

<file path=customXml/itemProps3.xml><?xml version="1.0" encoding="utf-8"?>
<ds:datastoreItem xmlns:ds="http://schemas.openxmlformats.org/officeDocument/2006/customXml" ds:itemID="{46105411-0192-4C40-9A05-DB14FE74015C}">
  <ds:schemaRefs>
    <ds:schemaRef ds:uri="http://schemas.microsoft.com/office/2006/metadata/properties"/>
    <ds:schemaRef ds:uri="http://schemas.microsoft.com/office/infopath/2007/PartnerControls"/>
    <ds:schemaRef ds:uri="47370a21-ef28-4bfa-b6fa-b7ba01fe31a0"/>
    <ds:schemaRef ds:uri="d90ad36a-495d-4b65-ad2b-8d8fcfe6fb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Spertini</dc:creator>
  <cp:keywords/>
  <dc:description/>
  <cp:lastModifiedBy>Els Bruyninckx</cp:lastModifiedBy>
  <cp:revision>6</cp:revision>
  <cp:lastPrinted>2025-03-11T12:50:00Z</cp:lastPrinted>
  <dcterms:created xsi:type="dcterms:W3CDTF">2025-03-12T09:30:00Z</dcterms:created>
  <dcterms:modified xsi:type="dcterms:W3CDTF">2025-03-12T10:52:46Z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0x010100A37C06ABF919934194025F2A817F9CB3</vt:lpwstr>
  </property>
  <property fmtid="{D5CDD505-2E9C-101B-9397-08002B2CF9AE}" pid="3" name="MediaServiceImageTags">
    <vt:lpwstr/>
  </property>
</Properties>
</file>