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7C4F" w14:textId="36624FF5" w:rsidR="00B422EC" w:rsidRPr="00673119" w:rsidRDefault="00C2347E" w:rsidP="4C31A228">
      <w:pPr>
        <w:pStyle w:val="MonthDayYear"/>
        <w:tabs>
          <w:tab w:val="left" w:pos="2469"/>
          <w:tab w:val="right" w:pos="9086"/>
        </w:tabs>
        <w:rPr>
          <w:lang w:val="pl-PL"/>
        </w:rPr>
      </w:pPr>
      <w:r w:rsidRPr="7D5A668B">
        <w:rPr>
          <w:lang w:val="pl-PL"/>
        </w:rPr>
        <w:t>1</w:t>
      </w:r>
      <w:r w:rsidR="178D625B" w:rsidRPr="7D5A668B">
        <w:rPr>
          <w:lang w:val="pl-PL"/>
        </w:rPr>
        <w:t>1</w:t>
      </w:r>
      <w:r w:rsidR="0878060A" w:rsidRPr="7D5A668B">
        <w:rPr>
          <w:lang w:val="pl-PL"/>
        </w:rPr>
        <w:t xml:space="preserve"> </w:t>
      </w:r>
      <w:r w:rsidR="1C2E905C" w:rsidRPr="7D5A668B">
        <w:rPr>
          <w:lang w:val="pl-PL"/>
        </w:rPr>
        <w:t xml:space="preserve">marca </w:t>
      </w:r>
      <w:r w:rsidR="0AD9E675" w:rsidRPr="7D5A668B">
        <w:rPr>
          <w:lang w:val="pl-PL"/>
        </w:rPr>
        <w:t>20</w:t>
      </w:r>
      <w:r w:rsidR="7B04B394" w:rsidRPr="7D5A668B">
        <w:rPr>
          <w:lang w:val="pl-PL"/>
        </w:rPr>
        <w:t>2</w:t>
      </w:r>
      <w:r w:rsidR="21A6E3DC" w:rsidRPr="7D5A668B">
        <w:rPr>
          <w:lang w:val="pl-PL"/>
        </w:rPr>
        <w:t>5</w:t>
      </w:r>
      <w:r w:rsidR="6377148D" w:rsidRPr="7D5A668B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3BE264EE" w14:textId="3D2C4424" w:rsidR="0107F9B8" w:rsidRDefault="0107F9B8" w:rsidP="7D5A668B">
      <w:pPr>
        <w:rPr>
          <w:rStyle w:val="Headline"/>
          <w:sz w:val="22"/>
          <w:szCs w:val="22"/>
          <w:lang w:val="pl-PL"/>
        </w:rPr>
      </w:pPr>
      <w:r w:rsidRPr="7D5A668B">
        <w:rPr>
          <w:rStyle w:val="Headline"/>
          <w:b w:val="0"/>
          <w:bCs w:val="0"/>
          <w:sz w:val="22"/>
          <w:szCs w:val="22"/>
          <w:lang w:val="pl-PL"/>
        </w:rPr>
        <w:t>Henkel prezentuje wyniki roczne za 2024 rok</w:t>
      </w:r>
    </w:p>
    <w:p w14:paraId="4C40951A" w14:textId="77777777" w:rsidR="00FE1833" w:rsidRDefault="00FE1833" w:rsidP="7D5A668B">
      <w:pPr>
        <w:rPr>
          <w:rStyle w:val="Headline"/>
          <w:sz w:val="22"/>
          <w:szCs w:val="22"/>
          <w:lang w:val="pl-PL"/>
        </w:rPr>
      </w:pPr>
      <w:bookmarkStart w:id="0" w:name="_Hlk138170390"/>
      <w:bookmarkEnd w:id="0"/>
    </w:p>
    <w:p w14:paraId="254511CD" w14:textId="5361C2BD" w:rsidR="38D8318A" w:rsidRDefault="38D8318A" w:rsidP="7D5A668B">
      <w:pPr>
        <w:rPr>
          <w:rStyle w:val="Headline"/>
          <w:lang w:val="pl-PL"/>
        </w:rPr>
      </w:pPr>
      <w:r w:rsidRPr="7D5A668B">
        <w:rPr>
          <w:rStyle w:val="Headline"/>
          <w:lang w:val="pl-PL"/>
        </w:rPr>
        <w:t xml:space="preserve">Bardzo dobre wyniki za 2024 rok dowodzą sukcesu Strategii </w:t>
      </w:r>
      <w:r w:rsidR="00033320">
        <w:rPr>
          <w:rStyle w:val="Headline"/>
          <w:lang w:val="pl-PL"/>
        </w:rPr>
        <w:t>Ukierunkowanego</w:t>
      </w:r>
      <w:r w:rsidR="00033320" w:rsidRPr="7D5A668B">
        <w:rPr>
          <w:rStyle w:val="Headline"/>
          <w:lang w:val="pl-PL"/>
        </w:rPr>
        <w:t xml:space="preserve"> </w:t>
      </w:r>
      <w:r w:rsidRPr="7D5A668B">
        <w:rPr>
          <w:rStyle w:val="Headline"/>
          <w:lang w:val="pl-PL"/>
        </w:rPr>
        <w:t>Wzrostu</w:t>
      </w:r>
    </w:p>
    <w:p w14:paraId="409BDC32" w14:textId="37F44B3F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71C93333" w14:textId="571CA944" w:rsidR="00AC4183" w:rsidRPr="00876DD3" w:rsidRDefault="00552667" w:rsidP="7D5A668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 xml:space="preserve">Dobre </w:t>
      </w:r>
      <w:r w:rsidR="6605D6A7" w:rsidRPr="7C5C98B0">
        <w:rPr>
          <w:rFonts w:ascii="Segoe UI" w:eastAsia="Segoe UI" w:hAnsi="Segoe UI" w:cs="Segoe UI"/>
          <w:b/>
          <w:bCs/>
          <w:lang w:val="pl"/>
        </w:rPr>
        <w:t>wyniki działalności w roku obrotowym 2024:</w:t>
      </w:r>
    </w:p>
    <w:p w14:paraId="62AE4424" w14:textId="46CD1532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D5A668B">
        <w:rPr>
          <w:rFonts w:ascii="Segoe UI" w:eastAsia="Segoe UI" w:hAnsi="Segoe UI" w:cs="Segoe UI"/>
          <w:b/>
          <w:bCs/>
          <w:lang w:val="pl"/>
        </w:rPr>
        <w:t>Przychody ze sprzedaży: 21,6 mld euro, wzrost organiczny na poziomie 2,6%</w:t>
      </w:r>
    </w:p>
    <w:p w14:paraId="4D3A6A1C" w14:textId="7E98788B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>Zysk z działalności operacyjnej (EBIT)*: 3,1 mld euro, znaczący wzrost o 20,9%</w:t>
      </w:r>
    </w:p>
    <w:p w14:paraId="7E7BE887" w14:textId="5C3F57E7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 xml:space="preserve">Marża EBIT*: 14,3%, </w:t>
      </w:r>
      <w:r w:rsidR="005E7CB2" w:rsidRPr="7C5C98B0">
        <w:rPr>
          <w:rFonts w:ascii="Segoe UI" w:eastAsia="Segoe UI" w:hAnsi="Segoe UI" w:cs="Segoe UI"/>
          <w:b/>
          <w:bCs/>
          <w:lang w:val="pl"/>
        </w:rPr>
        <w:t xml:space="preserve">mocna </w:t>
      </w:r>
      <w:r w:rsidRPr="7C5C98B0">
        <w:rPr>
          <w:rFonts w:ascii="Segoe UI" w:eastAsia="Segoe UI" w:hAnsi="Segoe UI" w:cs="Segoe UI"/>
          <w:b/>
          <w:bCs/>
          <w:lang w:val="pl"/>
        </w:rPr>
        <w:t>poprawa o 240 punktów bazowych</w:t>
      </w:r>
    </w:p>
    <w:p w14:paraId="7C2C16EF" w14:textId="43D0AB96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>Zysk na akcję uprzywilejowaną (EPS)*</w:t>
      </w:r>
      <w:r w:rsidR="0063762D" w:rsidRPr="7C5C98B0">
        <w:rPr>
          <w:rFonts w:ascii="Segoe UI" w:eastAsia="Segoe UI" w:hAnsi="Segoe UI" w:cs="Segoe UI"/>
          <w:b/>
          <w:bCs/>
          <w:lang w:val="pl"/>
        </w:rPr>
        <w:t xml:space="preserve">: istotny wzrost, do </w:t>
      </w:r>
      <w:r w:rsidRPr="7C5C98B0">
        <w:rPr>
          <w:rFonts w:ascii="Segoe UI" w:eastAsia="Segoe UI" w:hAnsi="Segoe UI" w:cs="Segoe UI"/>
          <w:b/>
          <w:bCs/>
          <w:lang w:val="pl"/>
        </w:rPr>
        <w:t xml:space="preserve">5,36 euro, </w:t>
      </w:r>
      <w:r w:rsidR="00875F88" w:rsidRPr="7C5C98B0">
        <w:rPr>
          <w:rFonts w:ascii="Segoe UI" w:eastAsia="Segoe UI" w:hAnsi="Segoe UI" w:cs="Segoe UI"/>
          <w:b/>
          <w:bCs/>
          <w:lang w:val="pl"/>
        </w:rPr>
        <w:t xml:space="preserve">czyli </w:t>
      </w:r>
      <w:r w:rsidRPr="7C5C98B0">
        <w:rPr>
          <w:rFonts w:ascii="Segoe UI" w:eastAsia="Segoe UI" w:hAnsi="Segoe UI" w:cs="Segoe UI"/>
          <w:b/>
          <w:bCs/>
          <w:lang w:val="pl"/>
        </w:rPr>
        <w:t xml:space="preserve">+25,1% przy założeniu </w:t>
      </w:r>
      <w:r w:rsidR="00875F88" w:rsidRPr="7C5C98B0">
        <w:rPr>
          <w:rFonts w:ascii="Segoe UI" w:eastAsia="Segoe UI" w:hAnsi="Segoe UI" w:cs="Segoe UI"/>
          <w:b/>
          <w:bCs/>
          <w:lang w:val="pl"/>
        </w:rPr>
        <w:t xml:space="preserve">niezmienionych kursów wymiany walut </w:t>
      </w:r>
    </w:p>
    <w:p w14:paraId="089023DF" w14:textId="54D8F4DB" w:rsidR="006A5343" w:rsidRPr="00A36941" w:rsidRDefault="6605D6A7" w:rsidP="00875F88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 xml:space="preserve">Wolne przepływy pieniężne na </w:t>
      </w:r>
      <w:r w:rsidR="006A5343" w:rsidRPr="7C5C98B0">
        <w:rPr>
          <w:rFonts w:ascii="Segoe UI" w:eastAsia="Segoe UI" w:hAnsi="Segoe UI" w:cs="Segoe UI"/>
          <w:b/>
          <w:bCs/>
          <w:lang w:val="pl"/>
        </w:rPr>
        <w:t xml:space="preserve">wysokim </w:t>
      </w:r>
      <w:r w:rsidRPr="7C5C98B0">
        <w:rPr>
          <w:rFonts w:ascii="Segoe UI" w:eastAsia="Segoe UI" w:hAnsi="Segoe UI" w:cs="Segoe UI"/>
          <w:b/>
          <w:bCs/>
          <w:lang w:val="pl"/>
        </w:rPr>
        <w:t>poziomie 2,4 mld euro</w:t>
      </w:r>
    </w:p>
    <w:p w14:paraId="28FCA58A" w14:textId="4F70811E" w:rsidR="00AC4183" w:rsidRPr="00876DD3" w:rsidRDefault="6605D6A7" w:rsidP="7D5A668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D5A668B">
        <w:rPr>
          <w:rFonts w:ascii="Segoe UI" w:eastAsia="Segoe UI" w:hAnsi="Segoe UI" w:cs="Segoe UI"/>
          <w:b/>
          <w:bCs/>
          <w:lang w:val="pl"/>
        </w:rPr>
        <w:t>Proponowan</w:t>
      </w:r>
      <w:r w:rsidR="3B0F1066" w:rsidRPr="7D5A668B">
        <w:rPr>
          <w:rFonts w:ascii="Segoe UI" w:eastAsia="Segoe UI" w:hAnsi="Segoe UI" w:cs="Segoe UI"/>
          <w:b/>
          <w:bCs/>
          <w:lang w:val="pl"/>
        </w:rPr>
        <w:t>y</w:t>
      </w:r>
      <w:r w:rsidRPr="7D5A668B">
        <w:rPr>
          <w:rFonts w:ascii="Segoe UI" w:eastAsia="Segoe UI" w:hAnsi="Segoe UI" w:cs="Segoe UI"/>
          <w:b/>
          <w:bCs/>
          <w:lang w:val="pl"/>
        </w:rPr>
        <w:t xml:space="preserve"> dwucyfrow</w:t>
      </w:r>
      <w:r w:rsidR="25086F92" w:rsidRPr="7D5A668B">
        <w:rPr>
          <w:rFonts w:ascii="Segoe UI" w:eastAsia="Segoe UI" w:hAnsi="Segoe UI" w:cs="Segoe UI"/>
          <w:b/>
          <w:bCs/>
          <w:lang w:val="pl"/>
        </w:rPr>
        <w:t>y wzrost</w:t>
      </w:r>
      <w:r w:rsidRPr="7D5A668B">
        <w:rPr>
          <w:rFonts w:ascii="Segoe UI" w:eastAsia="Segoe UI" w:hAnsi="Segoe UI" w:cs="Segoe UI"/>
          <w:b/>
          <w:bCs/>
          <w:lang w:val="pl"/>
        </w:rPr>
        <w:t xml:space="preserve"> dywidendy: 2,04 euro na akcję uprzywilejowaną (+10,3%)</w:t>
      </w:r>
    </w:p>
    <w:p w14:paraId="61F7B1A4" w14:textId="41204934" w:rsidR="00AC4183" w:rsidRPr="00876DD3" w:rsidRDefault="6605D6A7" w:rsidP="7D5A668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D5A668B">
        <w:rPr>
          <w:rFonts w:ascii="Segoe UI" w:eastAsia="Segoe UI" w:hAnsi="Segoe UI" w:cs="Segoe UI"/>
          <w:b/>
          <w:bCs/>
          <w:lang w:val="pl"/>
        </w:rPr>
        <w:t>Zatwierdzony nowy program skupu akcji o wartości do 1 mld euro</w:t>
      </w:r>
    </w:p>
    <w:p w14:paraId="2B3174D8" w14:textId="505BD8D4" w:rsidR="00AC4183" w:rsidRPr="00876DD3" w:rsidRDefault="6605D6A7" w:rsidP="7D5A668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D5A668B">
        <w:rPr>
          <w:rFonts w:ascii="Segoe UI" w:eastAsia="Segoe UI" w:hAnsi="Segoe UI" w:cs="Segoe UI"/>
          <w:b/>
          <w:bCs/>
          <w:lang w:val="pl"/>
        </w:rPr>
        <w:t xml:space="preserve">Dalsze postępy w realizacji </w:t>
      </w:r>
      <w:r w:rsidR="00033320">
        <w:rPr>
          <w:rFonts w:ascii="Segoe UI" w:eastAsia="Segoe UI" w:hAnsi="Segoe UI" w:cs="Segoe UI"/>
          <w:b/>
          <w:bCs/>
          <w:lang w:val="pl"/>
        </w:rPr>
        <w:t>S</w:t>
      </w:r>
      <w:r w:rsidR="00033320" w:rsidRPr="7D5A668B">
        <w:rPr>
          <w:rFonts w:ascii="Segoe UI" w:eastAsia="Segoe UI" w:hAnsi="Segoe UI" w:cs="Segoe UI"/>
          <w:b/>
          <w:bCs/>
          <w:lang w:val="pl"/>
        </w:rPr>
        <w:t xml:space="preserve">trategii </w:t>
      </w:r>
      <w:r w:rsidR="00033320">
        <w:rPr>
          <w:rFonts w:ascii="Segoe UI" w:eastAsia="Segoe UI" w:hAnsi="Segoe UI" w:cs="Segoe UI"/>
          <w:b/>
          <w:bCs/>
          <w:lang w:val="pl"/>
        </w:rPr>
        <w:t>U</w:t>
      </w:r>
      <w:r w:rsidR="00033320" w:rsidRPr="7D5A668B">
        <w:rPr>
          <w:rFonts w:ascii="Segoe UI" w:eastAsia="Segoe UI" w:hAnsi="Segoe UI" w:cs="Segoe UI"/>
          <w:b/>
          <w:bCs/>
          <w:lang w:val="pl"/>
        </w:rPr>
        <w:t xml:space="preserve">kierunkowanego </w:t>
      </w:r>
      <w:r w:rsidR="00033320">
        <w:rPr>
          <w:rFonts w:ascii="Segoe UI" w:eastAsia="Segoe UI" w:hAnsi="Segoe UI" w:cs="Segoe UI"/>
          <w:b/>
          <w:bCs/>
          <w:lang w:val="pl"/>
        </w:rPr>
        <w:t>W</w:t>
      </w:r>
      <w:r w:rsidR="00033320" w:rsidRPr="7D5A668B">
        <w:rPr>
          <w:rFonts w:ascii="Segoe UI" w:eastAsia="Segoe UI" w:hAnsi="Segoe UI" w:cs="Segoe UI"/>
          <w:b/>
          <w:bCs/>
          <w:lang w:val="pl"/>
        </w:rPr>
        <w:t>zrostu</w:t>
      </w:r>
      <w:r w:rsidRPr="7D5A668B">
        <w:rPr>
          <w:rFonts w:ascii="Segoe UI" w:eastAsia="Segoe UI" w:hAnsi="Segoe UI" w:cs="Segoe UI"/>
          <w:b/>
          <w:bCs/>
          <w:lang w:val="pl"/>
        </w:rPr>
        <w:t>:</w:t>
      </w:r>
    </w:p>
    <w:p w14:paraId="1169E2E1" w14:textId="2E554CE5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D5A668B">
        <w:rPr>
          <w:rFonts w:ascii="Segoe UI" w:eastAsia="Segoe UI" w:hAnsi="Segoe UI" w:cs="Segoe UI"/>
          <w:b/>
          <w:bCs/>
          <w:lang w:val="pl"/>
        </w:rPr>
        <w:t xml:space="preserve">Consumer </w:t>
      </w:r>
      <w:proofErr w:type="spellStart"/>
      <w:r w:rsidRPr="7D5A668B">
        <w:rPr>
          <w:rFonts w:ascii="Segoe UI" w:eastAsia="Segoe UI" w:hAnsi="Segoe UI" w:cs="Segoe UI"/>
          <w:b/>
          <w:bCs/>
          <w:lang w:val="pl"/>
        </w:rPr>
        <w:t>Brands</w:t>
      </w:r>
      <w:proofErr w:type="spellEnd"/>
      <w:r w:rsidRPr="7D5A668B">
        <w:rPr>
          <w:rFonts w:ascii="Segoe UI" w:eastAsia="Segoe UI" w:hAnsi="Segoe UI" w:cs="Segoe UI"/>
          <w:b/>
          <w:bCs/>
          <w:lang w:val="pl"/>
        </w:rPr>
        <w:t xml:space="preserve">: Integracja szybsza niż planowano, działania w zakresie portfolio zakończone, </w:t>
      </w:r>
      <w:r w:rsidR="79BC109B" w:rsidRPr="7D5A668B">
        <w:rPr>
          <w:rFonts w:ascii="Segoe UI" w:eastAsia="Segoe UI" w:hAnsi="Segoe UI" w:cs="Segoe UI"/>
          <w:b/>
          <w:bCs/>
          <w:lang w:val="pl"/>
        </w:rPr>
        <w:t xml:space="preserve">całkowity poziom </w:t>
      </w:r>
      <w:r w:rsidRPr="7D5A668B">
        <w:rPr>
          <w:rFonts w:ascii="Segoe UI" w:eastAsia="Segoe UI" w:hAnsi="Segoe UI" w:cs="Segoe UI"/>
          <w:b/>
          <w:bCs/>
          <w:lang w:val="pl"/>
        </w:rPr>
        <w:t>oszczędności zostan</w:t>
      </w:r>
      <w:r w:rsidR="79EEB453" w:rsidRPr="7D5A668B">
        <w:rPr>
          <w:rFonts w:ascii="Segoe UI" w:eastAsia="Segoe UI" w:hAnsi="Segoe UI" w:cs="Segoe UI"/>
          <w:b/>
          <w:bCs/>
          <w:lang w:val="pl"/>
        </w:rPr>
        <w:t>ie</w:t>
      </w:r>
      <w:r w:rsidRPr="7D5A668B">
        <w:rPr>
          <w:rFonts w:ascii="Segoe UI" w:eastAsia="Segoe UI" w:hAnsi="Segoe UI" w:cs="Segoe UI"/>
          <w:b/>
          <w:bCs/>
          <w:lang w:val="pl"/>
        </w:rPr>
        <w:t xml:space="preserve"> </w:t>
      </w:r>
      <w:r w:rsidR="162B8799" w:rsidRPr="7D5A668B">
        <w:rPr>
          <w:rFonts w:ascii="Segoe UI" w:eastAsia="Segoe UI" w:hAnsi="Segoe UI" w:cs="Segoe UI"/>
          <w:b/>
          <w:bCs/>
          <w:lang w:val="pl"/>
        </w:rPr>
        <w:t>o</w:t>
      </w:r>
      <w:r w:rsidRPr="7D5A668B">
        <w:rPr>
          <w:rFonts w:ascii="Segoe UI" w:eastAsia="Segoe UI" w:hAnsi="Segoe UI" w:cs="Segoe UI"/>
          <w:b/>
          <w:bCs/>
          <w:lang w:val="pl"/>
        </w:rPr>
        <w:t>siągnięt</w:t>
      </w:r>
      <w:r w:rsidR="6198A2C2" w:rsidRPr="7D5A668B">
        <w:rPr>
          <w:rFonts w:ascii="Segoe UI" w:eastAsia="Segoe UI" w:hAnsi="Segoe UI" w:cs="Segoe UI"/>
          <w:b/>
          <w:bCs/>
          <w:lang w:val="pl"/>
        </w:rPr>
        <w:t>y</w:t>
      </w:r>
      <w:r w:rsidRPr="7D5A668B">
        <w:rPr>
          <w:rFonts w:ascii="Segoe UI" w:eastAsia="Segoe UI" w:hAnsi="Segoe UI" w:cs="Segoe UI"/>
          <w:b/>
          <w:bCs/>
          <w:lang w:val="pl"/>
        </w:rPr>
        <w:t xml:space="preserve"> do końca 2025 r.</w:t>
      </w:r>
    </w:p>
    <w:p w14:paraId="6CFC9260" w14:textId="7611B9C9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proofErr w:type="spellStart"/>
      <w:r w:rsidRPr="7D5A668B">
        <w:rPr>
          <w:rFonts w:ascii="Segoe UI" w:eastAsia="Segoe UI" w:hAnsi="Segoe UI" w:cs="Segoe UI"/>
          <w:b/>
          <w:bCs/>
          <w:lang w:val="pl"/>
        </w:rPr>
        <w:t>Adhesive</w:t>
      </w:r>
      <w:proofErr w:type="spellEnd"/>
      <w:r w:rsidRPr="7D5A668B">
        <w:rPr>
          <w:rFonts w:ascii="Segoe UI" w:eastAsia="Segoe UI" w:hAnsi="Segoe UI" w:cs="Segoe UI"/>
          <w:b/>
          <w:bCs/>
          <w:lang w:val="pl"/>
        </w:rPr>
        <w:t xml:space="preserve"> Technologies: Nowa struktura wdrożona w 2023 r. przynosi</w:t>
      </w:r>
      <w:r w:rsidR="298FA6FE" w:rsidRPr="7D5A668B">
        <w:rPr>
          <w:rFonts w:ascii="Segoe UI" w:eastAsia="Segoe UI" w:hAnsi="Segoe UI" w:cs="Segoe UI"/>
          <w:b/>
          <w:bCs/>
          <w:lang w:val="pl"/>
        </w:rPr>
        <w:t xml:space="preserve"> oczekiwane</w:t>
      </w:r>
      <w:r w:rsidRPr="7D5A668B">
        <w:rPr>
          <w:rFonts w:ascii="Segoe UI" w:eastAsia="Segoe UI" w:hAnsi="Segoe UI" w:cs="Segoe UI"/>
          <w:b/>
          <w:bCs/>
          <w:lang w:val="pl"/>
        </w:rPr>
        <w:t xml:space="preserve"> efekty</w:t>
      </w:r>
    </w:p>
    <w:p w14:paraId="189EE717" w14:textId="22EA1ADE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>Ambitne cele w zakresie ochrony klimatu: określon</w:t>
      </w:r>
      <w:r w:rsidR="29A1DFE8" w:rsidRPr="7C5C98B0">
        <w:rPr>
          <w:rFonts w:ascii="Segoe UI" w:eastAsia="Segoe UI" w:hAnsi="Segoe UI" w:cs="Segoe UI"/>
          <w:b/>
          <w:bCs/>
          <w:lang w:val="pl"/>
        </w:rPr>
        <w:t>o</w:t>
      </w:r>
      <w:r w:rsidRPr="7C5C98B0">
        <w:rPr>
          <w:rFonts w:ascii="Segoe UI" w:eastAsia="Segoe UI" w:hAnsi="Segoe UI" w:cs="Segoe UI"/>
          <w:b/>
          <w:bCs/>
          <w:lang w:val="pl"/>
        </w:rPr>
        <w:t xml:space="preserve"> </w:t>
      </w:r>
      <w:r w:rsidR="00165F40" w:rsidRPr="7C5C98B0">
        <w:rPr>
          <w:rFonts w:ascii="Segoe UI" w:eastAsia="Segoe UI" w:hAnsi="Segoe UI" w:cs="Segoe UI"/>
          <w:b/>
          <w:bCs/>
          <w:lang w:val="pl"/>
        </w:rPr>
        <w:t>plan działania</w:t>
      </w:r>
      <w:r w:rsidRPr="7C5C98B0">
        <w:rPr>
          <w:rFonts w:ascii="Segoe UI" w:eastAsia="Segoe UI" w:hAnsi="Segoe UI" w:cs="Segoe UI"/>
          <w:b/>
          <w:bCs/>
          <w:lang w:val="pl"/>
        </w:rPr>
        <w:t xml:space="preserve"> do osiągnięcia neutralności klimatycznej</w:t>
      </w:r>
    </w:p>
    <w:p w14:paraId="58D461B2" w14:textId="261333B4" w:rsidR="00AC4183" w:rsidRPr="00876DD3" w:rsidRDefault="6605D6A7" w:rsidP="7D5A668B">
      <w:pPr>
        <w:pStyle w:val="ListParagraph"/>
        <w:numPr>
          <w:ilvl w:val="0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>Prognoz</w:t>
      </w:r>
      <w:r w:rsidR="006F62C8" w:rsidRPr="7C5C98B0">
        <w:rPr>
          <w:rFonts w:ascii="Segoe UI" w:eastAsia="Segoe UI" w:hAnsi="Segoe UI" w:cs="Segoe UI"/>
          <w:b/>
          <w:bCs/>
          <w:lang w:val="pl"/>
        </w:rPr>
        <w:t xml:space="preserve">a wyników na </w:t>
      </w:r>
      <w:r w:rsidRPr="7C5C98B0">
        <w:rPr>
          <w:rFonts w:ascii="Segoe UI" w:eastAsia="Segoe UI" w:hAnsi="Segoe UI" w:cs="Segoe UI"/>
          <w:b/>
          <w:bCs/>
          <w:lang w:val="pl"/>
        </w:rPr>
        <w:t xml:space="preserve">rok 2025: </w:t>
      </w:r>
      <w:r w:rsidR="00962D7B" w:rsidRPr="7C5C98B0">
        <w:rPr>
          <w:rFonts w:ascii="Segoe UI" w:eastAsia="Segoe UI" w:hAnsi="Segoe UI" w:cs="Segoe UI"/>
          <w:b/>
          <w:bCs/>
          <w:lang w:val="pl"/>
        </w:rPr>
        <w:t>p</w:t>
      </w:r>
      <w:r w:rsidRPr="7C5C98B0">
        <w:rPr>
          <w:rFonts w:ascii="Segoe UI" w:eastAsia="Segoe UI" w:hAnsi="Segoe UI" w:cs="Segoe UI"/>
          <w:b/>
          <w:bCs/>
          <w:lang w:val="pl"/>
        </w:rPr>
        <w:t>rzygotowanie do dalszego wzrostu przychodów i zysków – z wolniejszym startem na początku roku i przyspieszeniem w jego trakcie</w:t>
      </w:r>
    </w:p>
    <w:p w14:paraId="677168E0" w14:textId="0D50EF86" w:rsidR="00AC4183" w:rsidRPr="00876DD3" w:rsidRDefault="00962D7B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00A36941">
        <w:rPr>
          <w:rFonts w:ascii="Segoe UI" w:eastAsia="Segoe UI" w:hAnsi="Segoe UI" w:cs="Segoe UI"/>
          <w:b/>
          <w:bCs/>
        </w:rPr>
        <w:t>Wzrost przychodów ze sprzedaży w ujęciu organicznym</w:t>
      </w:r>
      <w:r w:rsidR="6605D6A7" w:rsidRPr="7C5C98B0">
        <w:rPr>
          <w:rFonts w:ascii="Segoe UI" w:eastAsia="Segoe UI" w:hAnsi="Segoe UI" w:cs="Segoe UI"/>
          <w:b/>
          <w:bCs/>
          <w:lang w:val="pl"/>
        </w:rPr>
        <w:t>: 1,5-3,5%</w:t>
      </w:r>
    </w:p>
    <w:p w14:paraId="702FD3CE" w14:textId="6AF45B7A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D5A668B">
        <w:rPr>
          <w:rFonts w:ascii="Segoe UI" w:eastAsia="Segoe UI" w:hAnsi="Segoe UI" w:cs="Segoe UI"/>
          <w:b/>
          <w:bCs/>
          <w:lang w:val="pl"/>
        </w:rPr>
        <w:t>Marża EBIT*: 14,0-15,5%</w:t>
      </w:r>
    </w:p>
    <w:p w14:paraId="07C852E9" w14:textId="2729284F" w:rsidR="00AC4183" w:rsidRPr="00876DD3" w:rsidRDefault="6605D6A7" w:rsidP="7D5A668B">
      <w:pPr>
        <w:pStyle w:val="ListParagraph"/>
        <w:numPr>
          <w:ilvl w:val="1"/>
          <w:numId w:val="1"/>
        </w:numPr>
        <w:rPr>
          <w:rFonts w:ascii="Segoe UI" w:eastAsia="Segoe UI" w:hAnsi="Segoe UI" w:cs="Segoe UI"/>
          <w:b/>
          <w:bCs/>
          <w:lang w:val="pl"/>
        </w:rPr>
      </w:pPr>
      <w:r w:rsidRPr="7C5C98B0">
        <w:rPr>
          <w:rFonts w:ascii="Segoe UI" w:eastAsia="Segoe UI" w:hAnsi="Segoe UI" w:cs="Segoe UI"/>
          <w:b/>
          <w:bCs/>
          <w:lang w:val="pl"/>
        </w:rPr>
        <w:t xml:space="preserve">Zysk na akcję uprzywilejowaną (EPS)*: </w:t>
      </w:r>
      <w:r w:rsidR="0040105E" w:rsidRPr="7C5C98B0">
        <w:rPr>
          <w:rFonts w:ascii="Segoe UI" w:eastAsia="Segoe UI" w:hAnsi="Segoe UI" w:cs="Segoe UI"/>
          <w:b/>
          <w:bCs/>
          <w:lang w:val="pl"/>
        </w:rPr>
        <w:t>w</w:t>
      </w:r>
      <w:r w:rsidRPr="7C5C98B0">
        <w:rPr>
          <w:rFonts w:ascii="Segoe UI" w:eastAsia="Segoe UI" w:hAnsi="Segoe UI" w:cs="Segoe UI"/>
          <w:b/>
          <w:bCs/>
          <w:lang w:val="pl"/>
        </w:rPr>
        <w:t>zrost w przedziale od niskiego do wysokiego jednocyfrowego poziomu (przy stałych kursach wymiany)</w:t>
      </w:r>
    </w:p>
    <w:p w14:paraId="674F1481" w14:textId="77777777" w:rsidR="00AC4183" w:rsidRDefault="00AC4183" w:rsidP="6887BB56">
      <w:pPr>
        <w:rPr>
          <w:rFonts w:cs="Segoe UI"/>
          <w:lang w:val="pl"/>
        </w:rPr>
      </w:pPr>
    </w:p>
    <w:p w14:paraId="52D4151D" w14:textId="078067B2" w:rsidR="4C31A228" w:rsidRPr="00102324" w:rsidRDefault="003006CE" w:rsidP="7D5A668B">
      <w:pPr>
        <w:rPr>
          <w:rFonts w:cs="Segoe UI"/>
          <w:b/>
          <w:bCs/>
          <w:lang w:val="pl"/>
        </w:rPr>
      </w:pPr>
      <w:r w:rsidRPr="00102324">
        <w:rPr>
          <w:rFonts w:cs="Segoe UI"/>
          <w:b/>
          <w:bCs/>
          <w:i/>
          <w:iCs/>
          <w:lang w:val="pl"/>
        </w:rPr>
        <w:t>–</w:t>
      </w:r>
      <w:r w:rsidR="007C0085" w:rsidRPr="00102324">
        <w:rPr>
          <w:rFonts w:cs="Segoe UI"/>
          <w:b/>
          <w:bCs/>
          <w:lang w:val="pl"/>
        </w:rPr>
        <w:t xml:space="preserve"> </w:t>
      </w:r>
      <w:r w:rsidR="13E06C38" w:rsidRPr="00102324">
        <w:rPr>
          <w:rFonts w:cs="Segoe UI"/>
          <w:b/>
          <w:bCs/>
          <w:i/>
          <w:iCs/>
          <w:lang w:val="pl"/>
        </w:rPr>
        <w:t>Rok obrotowy 2024 był kolejnym okresem znaczących wyzwań i niepewności gospodarczej. Mimo to konsekwentnie rozwijaliśmy Henkla w minionym roku i osiągnęliśmy, a nawet przekroczyliśmy</w:t>
      </w:r>
      <w:r w:rsidR="002C40BB" w:rsidRPr="00102324">
        <w:rPr>
          <w:rFonts w:cs="Segoe UI"/>
          <w:b/>
          <w:bCs/>
          <w:i/>
          <w:iCs/>
          <w:lang w:val="pl"/>
        </w:rPr>
        <w:t>,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 ważne kamienie milowe. </w:t>
      </w:r>
      <w:r w:rsidR="002C40BB" w:rsidRPr="00102324">
        <w:rPr>
          <w:rFonts w:cs="Segoe UI"/>
          <w:b/>
          <w:bCs/>
          <w:i/>
          <w:iCs/>
          <w:lang w:val="pl"/>
        </w:rPr>
        <w:t>B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ardzo dobre wyniki za 2024 rok potwierdzają skuteczną realizację naszej </w:t>
      </w:r>
      <w:r w:rsidR="00033320" w:rsidRPr="00102324">
        <w:rPr>
          <w:rFonts w:cs="Segoe UI"/>
          <w:b/>
          <w:bCs/>
          <w:i/>
          <w:iCs/>
          <w:lang w:val="pl"/>
        </w:rPr>
        <w:t>S</w:t>
      </w:r>
      <w:r w:rsidR="00033320" w:rsidRPr="00102324">
        <w:rPr>
          <w:rFonts w:cs="Segoe UI"/>
          <w:b/>
          <w:bCs/>
          <w:i/>
          <w:iCs/>
          <w:lang w:val="pl"/>
        </w:rPr>
        <w:t xml:space="preserve">trategii </w:t>
      </w:r>
      <w:r w:rsidR="00033320" w:rsidRPr="00102324">
        <w:rPr>
          <w:rFonts w:cs="Segoe UI"/>
          <w:b/>
          <w:bCs/>
          <w:i/>
          <w:iCs/>
          <w:lang w:val="pl"/>
        </w:rPr>
        <w:t>U</w:t>
      </w:r>
      <w:r w:rsidR="00033320" w:rsidRPr="00102324">
        <w:rPr>
          <w:rFonts w:cs="Segoe UI"/>
          <w:b/>
          <w:bCs/>
          <w:i/>
          <w:iCs/>
          <w:lang w:val="pl"/>
        </w:rPr>
        <w:t xml:space="preserve">kierunkowanego </w:t>
      </w:r>
      <w:r w:rsidR="00033320" w:rsidRPr="00102324">
        <w:rPr>
          <w:rFonts w:cs="Segoe UI"/>
          <w:b/>
          <w:bCs/>
          <w:i/>
          <w:iCs/>
          <w:lang w:val="pl"/>
        </w:rPr>
        <w:t>W</w:t>
      </w:r>
      <w:r w:rsidR="00033320" w:rsidRPr="00102324">
        <w:rPr>
          <w:rFonts w:cs="Segoe UI"/>
          <w:b/>
          <w:bCs/>
          <w:i/>
          <w:iCs/>
          <w:lang w:val="pl"/>
        </w:rPr>
        <w:t>zrostu</w:t>
      </w:r>
      <w:r w:rsidR="13E06C38" w:rsidRPr="00102324">
        <w:rPr>
          <w:rFonts w:cs="Segoe UI"/>
          <w:b/>
          <w:bCs/>
          <w:lang w:val="pl"/>
        </w:rPr>
        <w:t xml:space="preserve">" – powiedział </w:t>
      </w:r>
      <w:proofErr w:type="spellStart"/>
      <w:r w:rsidR="13E06C38" w:rsidRPr="00102324">
        <w:rPr>
          <w:rFonts w:cs="Segoe UI"/>
          <w:b/>
          <w:bCs/>
          <w:lang w:val="pl"/>
        </w:rPr>
        <w:t>Carsten</w:t>
      </w:r>
      <w:proofErr w:type="spellEnd"/>
      <w:r w:rsidR="13E06C38" w:rsidRPr="00102324">
        <w:rPr>
          <w:rFonts w:cs="Segoe UI"/>
          <w:b/>
          <w:bCs/>
          <w:lang w:val="pl"/>
        </w:rPr>
        <w:t xml:space="preserve"> </w:t>
      </w:r>
      <w:proofErr w:type="spellStart"/>
      <w:r w:rsidR="13E06C38" w:rsidRPr="00102324">
        <w:rPr>
          <w:rFonts w:cs="Segoe UI"/>
          <w:b/>
          <w:bCs/>
          <w:lang w:val="pl"/>
        </w:rPr>
        <w:t>Knobel</w:t>
      </w:r>
      <w:proofErr w:type="spellEnd"/>
      <w:r w:rsidR="13E06C38" w:rsidRPr="00102324">
        <w:rPr>
          <w:rFonts w:cs="Segoe UI"/>
          <w:b/>
          <w:bCs/>
          <w:lang w:val="pl"/>
        </w:rPr>
        <w:t xml:space="preserve">, prezes zarządu Henkel. </w:t>
      </w:r>
      <w:r w:rsidR="00D57E39" w:rsidRPr="00102324">
        <w:rPr>
          <w:rFonts w:cs="Segoe UI"/>
          <w:b/>
          <w:bCs/>
          <w:i/>
          <w:iCs/>
          <w:lang w:val="pl"/>
        </w:rPr>
        <w:t>–</w:t>
      </w:r>
      <w:r w:rsidR="007C0085" w:rsidRPr="00102324">
        <w:rPr>
          <w:rFonts w:cs="Segoe UI"/>
          <w:b/>
          <w:bCs/>
          <w:lang w:val="pl"/>
        </w:rPr>
        <w:t xml:space="preserve"> 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W 2024 roku osiągnęliśmy dobry wzrost sprzedaży w ujęciu organicznym i znacząco poprawiliśmy rentowność – z wyjątkowym wzrostem marży o 2,4 punktu procentowego, wspartym doskonałym rozwojem marży brutto, oraz nadzwyczajnym wzrostem zysku na akcję uprzywilejowaną o 25%. Kluczowym czynnikiem poprawy wyników było ukierunkowane zwiększanie wartości naszych produktów dla klientów i konsumentów. Dodatkowo do tych świetnych wyników przyczyniły się oszczędności wynikające z integracji Consumer </w:t>
      </w:r>
      <w:proofErr w:type="spellStart"/>
      <w:r w:rsidR="13E06C38" w:rsidRPr="00102324">
        <w:rPr>
          <w:rFonts w:cs="Segoe UI"/>
          <w:b/>
          <w:bCs/>
          <w:i/>
          <w:iCs/>
          <w:lang w:val="pl"/>
        </w:rPr>
        <w:t>Brands</w:t>
      </w:r>
      <w:proofErr w:type="spellEnd"/>
      <w:r w:rsidR="13E06C38" w:rsidRPr="00102324">
        <w:rPr>
          <w:rFonts w:cs="Segoe UI"/>
          <w:b/>
          <w:bCs/>
          <w:i/>
          <w:iCs/>
          <w:lang w:val="pl"/>
        </w:rPr>
        <w:t xml:space="preserve"> oraz zapowiedziane działania optymalizujące portfolio.</w:t>
      </w:r>
    </w:p>
    <w:p w14:paraId="3AF71E97" w14:textId="4B1E3FDA" w:rsidR="4C31A228" w:rsidRPr="00102324" w:rsidRDefault="13E06C38" w:rsidP="7D5A668B">
      <w:pPr>
        <w:rPr>
          <w:b/>
          <w:bCs/>
          <w:lang w:val="pl-PL"/>
        </w:rPr>
      </w:pPr>
      <w:r w:rsidRPr="00102324">
        <w:rPr>
          <w:rFonts w:cs="Segoe UI"/>
          <w:b/>
          <w:bCs/>
          <w:lang w:val="pl"/>
        </w:rPr>
        <w:t xml:space="preserve"> </w:t>
      </w:r>
    </w:p>
    <w:p w14:paraId="01CFD993" w14:textId="369732F1" w:rsidR="4C31A228" w:rsidRPr="00102324" w:rsidRDefault="003006CE" w:rsidP="7D5A668B">
      <w:pPr>
        <w:rPr>
          <w:b/>
          <w:bCs/>
          <w:lang w:val="pl-PL"/>
        </w:rPr>
      </w:pPr>
      <w:r w:rsidRPr="00102324">
        <w:rPr>
          <w:rFonts w:cs="Segoe UI"/>
          <w:b/>
          <w:bCs/>
          <w:i/>
          <w:iCs/>
          <w:lang w:val="pl"/>
        </w:rPr>
        <w:t>–</w:t>
      </w:r>
      <w:r w:rsidR="007C0085" w:rsidRPr="00102324">
        <w:rPr>
          <w:rFonts w:cs="Segoe UI"/>
          <w:b/>
          <w:bCs/>
          <w:i/>
          <w:iCs/>
          <w:lang w:val="pl"/>
        </w:rPr>
        <w:t xml:space="preserve"> </w:t>
      </w:r>
      <w:r w:rsidR="13E06C38" w:rsidRPr="00102324">
        <w:rPr>
          <w:rFonts w:cs="Segoe UI"/>
          <w:b/>
          <w:bCs/>
          <w:i/>
          <w:iCs/>
          <w:lang w:val="pl"/>
        </w:rPr>
        <w:t>Jednocześnie bardzo ważne był</w:t>
      </w:r>
      <w:r w:rsidR="009F55D5" w:rsidRPr="00102324">
        <w:rPr>
          <w:rFonts w:cs="Segoe UI"/>
          <w:b/>
          <w:bCs/>
          <w:i/>
          <w:iCs/>
          <w:lang w:val="pl"/>
        </w:rPr>
        <w:t xml:space="preserve">o konsekwentne inwestowanie 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w </w:t>
      </w:r>
      <w:r w:rsidR="009F55D5" w:rsidRPr="00102324">
        <w:rPr>
          <w:rFonts w:cs="Segoe UI"/>
          <w:b/>
          <w:bCs/>
          <w:i/>
          <w:iCs/>
          <w:lang w:val="pl"/>
        </w:rPr>
        <w:t>nasze biznesy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 i przyszły wzrost – na przykład poprzez zwiększone działania marketingowe w segmencie konsumenckim i udane innowacje w obu jednostkach biznesowych. Chcemy, aby nasi akcjonariusze uczestniczyli w sukcesie firmy. Dlatego zaproponujemy na Walnym Zgromadzeniu Akcjonariuszy dwucyfrową podwyżkę dywidendy. Podjęliśmy również decyzję o nowym programie skupu akcji o wartości do 1 miliarda euro</w:t>
      </w:r>
      <w:r w:rsidR="13E06C38" w:rsidRPr="00102324">
        <w:rPr>
          <w:rFonts w:cs="Segoe UI"/>
          <w:b/>
          <w:bCs/>
          <w:lang w:val="pl"/>
        </w:rPr>
        <w:t xml:space="preserve"> – </w:t>
      </w:r>
      <w:r w:rsidR="00EC76E7" w:rsidRPr="00102324">
        <w:rPr>
          <w:rFonts w:cs="Segoe UI"/>
          <w:b/>
          <w:bCs/>
          <w:lang w:val="pl"/>
        </w:rPr>
        <w:t xml:space="preserve">dodaje </w:t>
      </w:r>
      <w:proofErr w:type="spellStart"/>
      <w:r w:rsidR="13E06C38" w:rsidRPr="00102324">
        <w:rPr>
          <w:rFonts w:cs="Segoe UI"/>
          <w:b/>
          <w:bCs/>
          <w:lang w:val="pl"/>
        </w:rPr>
        <w:t>Carsten</w:t>
      </w:r>
      <w:proofErr w:type="spellEnd"/>
      <w:r w:rsidR="13E06C38" w:rsidRPr="00102324">
        <w:rPr>
          <w:rFonts w:cs="Segoe UI"/>
          <w:b/>
          <w:bCs/>
          <w:lang w:val="pl"/>
        </w:rPr>
        <w:t xml:space="preserve"> </w:t>
      </w:r>
      <w:proofErr w:type="spellStart"/>
      <w:r w:rsidR="13E06C38" w:rsidRPr="00102324">
        <w:rPr>
          <w:rFonts w:cs="Segoe UI"/>
          <w:b/>
          <w:bCs/>
          <w:lang w:val="pl"/>
        </w:rPr>
        <w:t>Knobel</w:t>
      </w:r>
      <w:proofErr w:type="spellEnd"/>
      <w:r w:rsidR="13E06C38" w:rsidRPr="00102324">
        <w:rPr>
          <w:rFonts w:cs="Segoe UI"/>
          <w:b/>
          <w:bCs/>
          <w:lang w:val="pl"/>
        </w:rPr>
        <w:t>.</w:t>
      </w:r>
    </w:p>
    <w:p w14:paraId="5A64BE1C" w14:textId="51932AC0" w:rsidR="7D5A668B" w:rsidRPr="00102324" w:rsidRDefault="7D5A668B" w:rsidP="7D5A668B">
      <w:pPr>
        <w:rPr>
          <w:rFonts w:cs="Segoe UI"/>
          <w:b/>
          <w:bCs/>
          <w:lang w:val="pl"/>
        </w:rPr>
      </w:pPr>
    </w:p>
    <w:p w14:paraId="386E9816" w14:textId="4D0128D0" w:rsidR="13E06C38" w:rsidRPr="00102324" w:rsidRDefault="003006CE" w:rsidP="7D5A668B">
      <w:pPr>
        <w:rPr>
          <w:rFonts w:cs="Segoe UI"/>
          <w:b/>
          <w:bCs/>
          <w:lang w:val="pl"/>
        </w:rPr>
      </w:pPr>
      <w:r w:rsidRPr="00102324">
        <w:rPr>
          <w:rFonts w:cs="Segoe UI"/>
          <w:b/>
          <w:bCs/>
          <w:i/>
          <w:iCs/>
          <w:lang w:val="pl"/>
        </w:rPr>
        <w:t>–</w:t>
      </w:r>
      <w:r w:rsidR="007C0085" w:rsidRPr="00102324">
        <w:rPr>
          <w:rFonts w:cs="Segoe UI"/>
          <w:b/>
          <w:bCs/>
          <w:i/>
          <w:iCs/>
          <w:lang w:val="pl"/>
        </w:rPr>
        <w:t xml:space="preserve"> 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Wyniki minionego roku są wyraźnym dowodem na to, że transformacja Henkla przebiega pomyślnie i dzięki naszej strategicznej agendzie ukierunkowanego wzrostu jesteśmy na właściwej drodze, aby jak najlepiej przygotować firmę na przyszłość – podsumował </w:t>
      </w:r>
      <w:proofErr w:type="spellStart"/>
      <w:r w:rsidR="13E06C38" w:rsidRPr="00102324">
        <w:rPr>
          <w:rFonts w:cs="Segoe UI"/>
          <w:b/>
          <w:bCs/>
          <w:i/>
          <w:iCs/>
          <w:lang w:val="pl"/>
        </w:rPr>
        <w:t>Carsten</w:t>
      </w:r>
      <w:proofErr w:type="spellEnd"/>
      <w:r w:rsidR="13E06C38" w:rsidRPr="00102324">
        <w:rPr>
          <w:rFonts w:cs="Segoe UI"/>
          <w:b/>
          <w:bCs/>
          <w:i/>
          <w:iCs/>
          <w:lang w:val="pl"/>
        </w:rPr>
        <w:t xml:space="preserve"> </w:t>
      </w:r>
      <w:proofErr w:type="spellStart"/>
      <w:r w:rsidR="13E06C38" w:rsidRPr="00102324">
        <w:rPr>
          <w:rFonts w:cs="Segoe UI"/>
          <w:b/>
          <w:bCs/>
          <w:i/>
          <w:iCs/>
          <w:lang w:val="pl"/>
        </w:rPr>
        <w:t>Knobel</w:t>
      </w:r>
      <w:proofErr w:type="spellEnd"/>
      <w:r w:rsidR="13E06C38" w:rsidRPr="00102324">
        <w:rPr>
          <w:rFonts w:cs="Segoe UI"/>
          <w:b/>
          <w:bCs/>
          <w:i/>
          <w:iCs/>
          <w:lang w:val="pl"/>
        </w:rPr>
        <w:t xml:space="preserve">. </w:t>
      </w:r>
      <w:r w:rsidRPr="00102324">
        <w:rPr>
          <w:rFonts w:cs="Segoe UI"/>
          <w:b/>
          <w:bCs/>
          <w:i/>
          <w:iCs/>
          <w:lang w:val="pl"/>
        </w:rPr>
        <w:t>–</w:t>
      </w:r>
      <w:r w:rsidR="13E06C38" w:rsidRPr="00102324">
        <w:rPr>
          <w:rFonts w:cs="Segoe UI"/>
          <w:b/>
          <w:bCs/>
          <w:i/>
          <w:iCs/>
          <w:lang w:val="pl"/>
        </w:rPr>
        <w:t xml:space="preserve"> Znajduje to również odzwierciedlenie w prognozach na rok obrotowy 2025, w którym spodziewamy się dalszego wzrostu sprzedaży i zysków, pomimo wciąż wymagającego otoczenia biznesowego. Chciałbym podziękować wszystkim pracownikom Henkla za ich wybitne osiągnięcia. Dzięki ich pracy zespołowej i nadzwyczajnemu zaangażowaniu po raz kolejny z sukcesem przeprowadziliśmy naszą firmę przez wymagający rok</w:t>
      </w:r>
      <w:r w:rsidR="1DED26F8" w:rsidRPr="00102324">
        <w:rPr>
          <w:rFonts w:cs="Segoe UI"/>
          <w:b/>
          <w:bCs/>
          <w:lang w:val="pl"/>
        </w:rPr>
        <w:t xml:space="preserve"> </w:t>
      </w:r>
      <w:r w:rsidRPr="00102324">
        <w:rPr>
          <w:rFonts w:cs="Segoe UI"/>
          <w:b/>
          <w:bCs/>
          <w:i/>
          <w:iCs/>
          <w:lang w:val="pl"/>
        </w:rPr>
        <w:t>–</w:t>
      </w:r>
      <w:r w:rsidR="1DED26F8" w:rsidRPr="00102324">
        <w:rPr>
          <w:rFonts w:cs="Segoe UI"/>
          <w:b/>
          <w:bCs/>
          <w:lang w:val="pl"/>
        </w:rPr>
        <w:t xml:space="preserve"> podsumował </w:t>
      </w:r>
      <w:proofErr w:type="spellStart"/>
      <w:r w:rsidR="1DED26F8" w:rsidRPr="00102324">
        <w:rPr>
          <w:rFonts w:cs="Segoe UI"/>
          <w:b/>
          <w:bCs/>
          <w:lang w:val="pl"/>
        </w:rPr>
        <w:t>Knobel</w:t>
      </w:r>
      <w:proofErr w:type="spellEnd"/>
      <w:r w:rsidR="1DED26F8" w:rsidRPr="00102324">
        <w:rPr>
          <w:rFonts w:cs="Segoe UI"/>
          <w:b/>
          <w:bCs/>
          <w:lang w:val="pl"/>
        </w:rPr>
        <w:t>.</w:t>
      </w:r>
    </w:p>
    <w:p w14:paraId="204F7091" w14:textId="445B0154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79B2DD0C" w14:textId="3F158658" w:rsidR="36B21B9A" w:rsidRDefault="00366DE1" w:rsidP="7D5A668B">
      <w:pPr>
        <w:rPr>
          <w:rFonts w:cs="Segoe UI"/>
          <w:b/>
          <w:bCs/>
          <w:lang w:val="pl"/>
        </w:rPr>
      </w:pPr>
      <w:r>
        <w:rPr>
          <w:rFonts w:cs="Segoe UI"/>
          <w:b/>
          <w:bCs/>
          <w:lang w:val="pl"/>
        </w:rPr>
        <w:t>Prognozy na 2025 rok</w:t>
      </w:r>
    </w:p>
    <w:p w14:paraId="5E0D7E62" w14:textId="5DB1C0C6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Po umiarkowanej dynamice wzrostu w 2024 roku, przewiduje się, że globalna gospodarka ponownie odnotuje umiarkowany wzrost w 2025 roku. Zakłada się umiarkowany wzrost zarówno popytu przemysłowego, jak i konsumenckiego w kluczowych obszarach działalności Henkla związanych z dobrami konsumpcyjnymi. Ponadto, według aktualnych szacunków, </w:t>
      </w:r>
      <w:r w:rsidRPr="7D5A668B">
        <w:rPr>
          <w:rFonts w:cs="Segoe UI"/>
          <w:lang w:val="pl"/>
        </w:rPr>
        <w:lastRenderedPageBreak/>
        <w:t>globalna inflacja w roku obrotowym 2025 będzie nadal spadać w porównaniu z poprzednimi latami, a stopy procentowe również powinny ulec obniżeniu.</w:t>
      </w:r>
    </w:p>
    <w:p w14:paraId="1E194DF0" w14:textId="319BF2AE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225A8C10" w14:textId="10F36922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>W odniesieniu do cen materiałów bezpośrednich, Henkel spodziewa się wzrostu w przedziale od niskiego do średniego jednocyfrowego poziomu w porównaniu ze średnią roczną z 2024 roku. Wpływ przeliczenia sprzedaży w walutach obcych powinien być neutralny lub ujemny na poziomie niskiego jednocyfrowego procentu.</w:t>
      </w:r>
    </w:p>
    <w:p w14:paraId="44D4D9DD" w14:textId="1CD5346D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4410B54C" w14:textId="40757F39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>Ponadto oczekuje się, że zmienność i niepewność w zakresie ogólnej sytuacji makroekonomicznej i geopolitycznej pozostaną wysokie przez cały rok.</w:t>
      </w:r>
    </w:p>
    <w:p w14:paraId="3D05507A" w14:textId="47A509FC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1ADE054" w14:textId="73432509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Biorąc pod uwagę powyższe założenia, Henkel spodziewa się osiągnąć w roku obrotowym 2025 </w:t>
      </w:r>
      <w:r w:rsidRPr="7C5C98B0">
        <w:rPr>
          <w:rFonts w:cs="Segoe UI"/>
          <w:b/>
          <w:bCs/>
          <w:lang w:val="pl"/>
        </w:rPr>
        <w:t>wzrost sprzedaży w ujęciu organicznym</w:t>
      </w:r>
      <w:r w:rsidRPr="7C5C98B0">
        <w:rPr>
          <w:rFonts w:cs="Segoe UI"/>
          <w:lang w:val="pl"/>
        </w:rPr>
        <w:t xml:space="preserve"> w przedziale od 1,5% do 3,5%. Dla sektora biznesowego </w:t>
      </w:r>
      <w:proofErr w:type="spellStart"/>
      <w:r w:rsidRPr="7C5C98B0">
        <w:rPr>
          <w:rFonts w:cs="Segoe UI"/>
          <w:b/>
          <w:bCs/>
          <w:lang w:val="pl"/>
        </w:rPr>
        <w:t>Adhesive</w:t>
      </w:r>
      <w:proofErr w:type="spellEnd"/>
      <w:r w:rsidRPr="7C5C98B0">
        <w:rPr>
          <w:rFonts w:cs="Segoe UI"/>
          <w:b/>
          <w:bCs/>
          <w:lang w:val="pl"/>
        </w:rPr>
        <w:t xml:space="preserve"> Technologies</w:t>
      </w:r>
      <w:r w:rsidRPr="7C5C98B0">
        <w:rPr>
          <w:rFonts w:cs="Segoe UI"/>
          <w:lang w:val="pl"/>
        </w:rPr>
        <w:t xml:space="preserve"> oczekiwany jest wzrost organiczny między 2,0% a 4,0%, a dla </w:t>
      </w:r>
      <w:r w:rsidRPr="7C5C98B0">
        <w:rPr>
          <w:rFonts w:cs="Segoe UI"/>
          <w:b/>
          <w:bCs/>
          <w:lang w:val="pl"/>
        </w:rPr>
        <w:t xml:space="preserve">Consumer </w:t>
      </w:r>
      <w:proofErr w:type="spellStart"/>
      <w:r w:rsidRPr="7C5C98B0">
        <w:rPr>
          <w:rFonts w:cs="Segoe UI"/>
          <w:b/>
          <w:bCs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między 1,0% a 3,0%. </w:t>
      </w:r>
      <w:r w:rsidRPr="7C5C98B0">
        <w:rPr>
          <w:rFonts w:cs="Segoe UI"/>
          <w:b/>
          <w:bCs/>
          <w:lang w:val="pl"/>
        </w:rPr>
        <w:t>Skorygowana rentowność sprzedaży</w:t>
      </w:r>
      <w:r w:rsidRPr="7C5C98B0">
        <w:rPr>
          <w:rFonts w:cs="Segoe UI"/>
          <w:lang w:val="pl"/>
        </w:rPr>
        <w:t xml:space="preserve"> (skorygowana marża EBIT) powinna osiągnąć poziom 14,0-15,5%. Dla sektora </w:t>
      </w:r>
      <w:proofErr w:type="spellStart"/>
      <w:r w:rsidRPr="7C5C98B0">
        <w:rPr>
          <w:rFonts w:cs="Segoe UI"/>
          <w:lang w:val="pl"/>
        </w:rPr>
        <w:t>Adhesive</w:t>
      </w:r>
      <w:proofErr w:type="spellEnd"/>
      <w:r w:rsidRPr="7C5C98B0">
        <w:rPr>
          <w:rFonts w:cs="Segoe UI"/>
          <w:lang w:val="pl"/>
        </w:rPr>
        <w:t xml:space="preserve"> Technologies oczekiwana skorygowana rentowność sprzedaży wynosi 16,0-17,5%, a dla Consumer </w:t>
      </w:r>
      <w:proofErr w:type="spellStart"/>
      <w:r w:rsidRPr="7C5C98B0">
        <w:rPr>
          <w:rFonts w:cs="Segoe UI"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13,5-15,0%. W przypadku </w:t>
      </w:r>
      <w:r w:rsidRPr="7C5C98B0">
        <w:rPr>
          <w:rFonts w:cs="Segoe UI"/>
          <w:b/>
          <w:bCs/>
          <w:lang w:val="pl"/>
        </w:rPr>
        <w:t>skorygowanego zysku na akcję uprzywilejowaną</w:t>
      </w:r>
      <w:r w:rsidRPr="7C5C98B0">
        <w:rPr>
          <w:rFonts w:cs="Segoe UI"/>
          <w:lang w:val="pl"/>
        </w:rPr>
        <w:t xml:space="preserve"> (EPS) przy stałych kursach wymiany oczekiwany jest wzrost w przedziale od niskiego do wysokiego jednocyfrowego poziomu.</w:t>
      </w:r>
    </w:p>
    <w:p w14:paraId="7716FEC7" w14:textId="58A9C722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238DF862" w14:textId="37CFA29B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Spodziewany jest przy tym wolniejszy start roku. Jednak oczekuje się, że </w:t>
      </w:r>
      <w:r w:rsidRPr="7C5C98B0">
        <w:rPr>
          <w:rFonts w:cs="Segoe UI"/>
          <w:b/>
          <w:bCs/>
          <w:lang w:val="pl"/>
        </w:rPr>
        <w:t>organiczny wzrost sprzedaży</w:t>
      </w:r>
      <w:r w:rsidRPr="7C5C98B0">
        <w:rPr>
          <w:rFonts w:cs="Segoe UI"/>
          <w:lang w:val="pl"/>
        </w:rPr>
        <w:t xml:space="preserve"> przyspieszy w ciągu roku, prowadząc do silniejszej drugiej połowy roku obrotowego 2025 w porównaniu z pierwszą połową. Dotyczy to obu sektorów biznesowych. Przyczynami są obecnie wymagające otoczenie przemysłowe oraz spowolniony wzrost rynku i nastrojów konsumenckich na niektórych rynkach, szczególnie w Ameryce Północnej.</w:t>
      </w:r>
    </w:p>
    <w:p w14:paraId="3933E586" w14:textId="4CAD482A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3EBFE8A0" w14:textId="4CAC1AA4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W sektorze </w:t>
      </w:r>
      <w:r w:rsidRPr="7C5C98B0">
        <w:rPr>
          <w:rFonts w:cs="Segoe UI"/>
          <w:b/>
          <w:bCs/>
          <w:lang w:val="pl"/>
        </w:rPr>
        <w:t xml:space="preserve">Consumer </w:t>
      </w:r>
      <w:proofErr w:type="spellStart"/>
      <w:r w:rsidRPr="7C5C98B0">
        <w:rPr>
          <w:rFonts w:cs="Segoe UI"/>
          <w:b/>
          <w:bCs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należy wziąć pod uwagę wysoką bazę wzrostu sprzedaży </w:t>
      </w:r>
      <w:r w:rsidR="00366DE1">
        <w:rPr>
          <w:rFonts w:cs="Segoe UI"/>
          <w:lang w:val="pl"/>
        </w:rPr>
        <w:t xml:space="preserve">organicznej </w:t>
      </w:r>
      <w:r w:rsidRPr="7C5C98B0">
        <w:rPr>
          <w:rFonts w:cs="Segoe UI"/>
          <w:lang w:val="pl"/>
        </w:rPr>
        <w:t>z poprzedniego roku, szczególnie ze względu na wprowadzeni</w:t>
      </w:r>
      <w:r w:rsidR="00E64CB1" w:rsidRPr="7C5C98B0">
        <w:rPr>
          <w:rFonts w:cs="Segoe UI"/>
          <w:lang w:val="pl"/>
        </w:rPr>
        <w:t>e istotnych</w:t>
      </w:r>
      <w:r w:rsidRPr="7C5C98B0">
        <w:rPr>
          <w:rFonts w:cs="Segoe UI"/>
          <w:lang w:val="pl"/>
        </w:rPr>
        <w:t xml:space="preserve"> innowacyjnych produktów w pierwszej połowie 2024 roku. W 2025 roku wprowadzanie innowacji będzie bardziej </w:t>
      </w:r>
      <w:r w:rsidR="0024103B" w:rsidRPr="7C5C98B0">
        <w:rPr>
          <w:rFonts w:cs="Segoe UI"/>
          <w:lang w:val="pl"/>
        </w:rPr>
        <w:t xml:space="preserve">skoncentrowane w </w:t>
      </w:r>
      <w:r w:rsidRPr="7C5C98B0">
        <w:rPr>
          <w:rFonts w:cs="Segoe UI"/>
          <w:lang w:val="pl"/>
        </w:rPr>
        <w:t xml:space="preserve">drugiej połowie roku. Ponadto, jednorazowe kwestie operacyjne w naszym łańcuchu dostaw związane z finalizacją podejścia 1-1-1 oraz harmonogram promocji przyczynią się również do tego, że organiczny wzrost sprzedaży i wolumeny w pierwszym kwartale będą niższe niż w roku poprzednim. W pierwszym kwartale oczekuje się organicznego wzrostu sprzedaży między -2% a -4%, </w:t>
      </w:r>
      <w:r w:rsidR="00366DE1">
        <w:rPr>
          <w:rFonts w:cs="Segoe UI"/>
          <w:lang w:val="pl"/>
        </w:rPr>
        <w:t>przy jednoczesnym pozytywnym wpłynie cen</w:t>
      </w:r>
      <w:r w:rsidRPr="7C5C98B0">
        <w:rPr>
          <w:rFonts w:cs="Segoe UI"/>
          <w:lang w:val="pl"/>
        </w:rPr>
        <w:t>. W całym roku 2025 oczekuje się ogólnie dodatniego organicznego wzrostu sprzedaży, napędzanego zarówno przez wolumen, jak i ceny.</w:t>
      </w:r>
    </w:p>
    <w:p w14:paraId="57297CDB" w14:textId="42A8E8C1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05920779" w14:textId="2F936C8C" w:rsidR="13E06C38" w:rsidRPr="00A36941" w:rsidRDefault="00941C5D" w:rsidP="7D5A668B">
      <w:pPr>
        <w:rPr>
          <w:lang w:val="pl-PL"/>
        </w:rPr>
      </w:pPr>
      <w:r w:rsidRPr="7C5C98B0">
        <w:rPr>
          <w:rFonts w:cs="Segoe UI"/>
          <w:lang w:val="pl"/>
        </w:rPr>
        <w:lastRenderedPageBreak/>
        <w:t>W całym</w:t>
      </w:r>
      <w:r w:rsidR="13E06C38" w:rsidRPr="7C5C98B0">
        <w:rPr>
          <w:rFonts w:cs="Segoe UI"/>
          <w:lang w:val="pl"/>
        </w:rPr>
        <w:t xml:space="preserve"> 2025 </w:t>
      </w:r>
      <w:r w:rsidRPr="7C5C98B0">
        <w:rPr>
          <w:rFonts w:cs="Segoe UI"/>
          <w:lang w:val="pl"/>
        </w:rPr>
        <w:t xml:space="preserve">roku </w:t>
      </w:r>
      <w:r w:rsidR="13E06C38" w:rsidRPr="7C5C98B0">
        <w:rPr>
          <w:rFonts w:cs="Segoe UI"/>
          <w:lang w:val="pl"/>
        </w:rPr>
        <w:t>oczekuje się dalszej poprawy marży, a tym samym rentowności w porównaniu z rokiem poprzednim, zarówno dla obu sektorów biznesowych, jak i całej Grupy. Rozwój w pierwszych dwóch miesiącach roku obrotowego 2025 pokazuje, że Henkel i oba sektory biznesowe są na dobrej drodze.</w:t>
      </w:r>
    </w:p>
    <w:p w14:paraId="2965630F" w14:textId="23499D6E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DF5D1AE" w14:textId="0186DDB3" w:rsidR="3BC4F25A" w:rsidRDefault="3BC4F25A" w:rsidP="7D5A668B">
      <w:pPr>
        <w:rPr>
          <w:rFonts w:cs="Segoe UI"/>
          <w:b/>
          <w:bCs/>
          <w:lang w:val="pl"/>
        </w:rPr>
      </w:pPr>
      <w:r w:rsidRPr="7D5A668B">
        <w:rPr>
          <w:rFonts w:cs="Segoe UI"/>
          <w:b/>
          <w:bCs/>
          <w:lang w:val="pl"/>
        </w:rPr>
        <w:t xml:space="preserve">Wyniki </w:t>
      </w:r>
      <w:r w:rsidR="007C0085">
        <w:rPr>
          <w:rFonts w:cs="Segoe UI"/>
          <w:b/>
          <w:bCs/>
          <w:lang w:val="pl"/>
        </w:rPr>
        <w:t xml:space="preserve">sprzedaży i zyski Grupy </w:t>
      </w:r>
      <w:r w:rsidRPr="7D5A668B">
        <w:rPr>
          <w:rFonts w:cs="Segoe UI"/>
          <w:b/>
          <w:bCs/>
          <w:lang w:val="pl"/>
        </w:rPr>
        <w:t xml:space="preserve">w roku obrotowym </w:t>
      </w:r>
      <w:r w:rsidR="13E06C38" w:rsidRPr="7D5A668B">
        <w:rPr>
          <w:rFonts w:cs="Segoe UI"/>
          <w:b/>
          <w:bCs/>
          <w:lang w:val="pl"/>
        </w:rPr>
        <w:t>2024</w:t>
      </w:r>
    </w:p>
    <w:p w14:paraId="0B2A7F60" w14:textId="2DF3C085" w:rsidR="13E06C38" w:rsidRPr="00A36941" w:rsidRDefault="13E06C38" w:rsidP="7D5A668B">
      <w:pPr>
        <w:rPr>
          <w:lang w:val="pl-PL"/>
        </w:rPr>
      </w:pPr>
      <w:r w:rsidRPr="00102324">
        <w:rPr>
          <w:rFonts w:cs="Segoe UI"/>
          <w:b/>
          <w:bCs/>
          <w:lang w:val="pl"/>
        </w:rPr>
        <w:t>Przychody ze sprzedaży</w:t>
      </w:r>
      <w:r w:rsidRPr="7C5C98B0">
        <w:rPr>
          <w:rFonts w:cs="Segoe UI"/>
          <w:lang w:val="pl"/>
        </w:rPr>
        <w:t xml:space="preserve"> Grupy Henkel osiągnęły w roku obrotowym 2024 poziom 21 586 mln euro, co oznacza wzrost nominalny o 0,3% w porównaniu z rokiem poprzednim. Różnice kursowe miały negatywny wpływ na sprzedaż w wysokości -1,8%. Po </w:t>
      </w:r>
      <w:r w:rsidR="00366DE1">
        <w:rPr>
          <w:rFonts w:cs="Segoe UI"/>
          <w:lang w:val="pl"/>
        </w:rPr>
        <w:t>ich uwzględnieniu</w:t>
      </w:r>
      <w:r w:rsidRPr="7C5C98B0">
        <w:rPr>
          <w:rFonts w:cs="Segoe UI"/>
          <w:lang w:val="pl"/>
        </w:rPr>
        <w:t xml:space="preserve"> wzrost sprzedaży wyniósł 2,1%. Transakcje przejęć i zbycia aktywów miały nieznacznie negatywny wpływ na sprzedaż w wysokości -0,4%, co wynikało głównie ze zbycia naszej działalności w Rosji w 2023 roku. Wzrost sprzedaży w </w:t>
      </w:r>
      <w:r w:rsidRPr="7C5C98B0">
        <w:rPr>
          <w:rFonts w:cs="Segoe UI"/>
          <w:b/>
          <w:bCs/>
          <w:lang w:val="pl"/>
        </w:rPr>
        <w:t>ujęciu organicznym</w:t>
      </w:r>
      <w:r w:rsidRPr="7C5C98B0">
        <w:rPr>
          <w:rFonts w:cs="Segoe UI"/>
          <w:lang w:val="pl"/>
        </w:rPr>
        <w:t>, tj. skorygowany o różnice kursowe oraz transakcje przejęć i zbycia aktywów, wykazał dobrą dynamikę na poziomie 2,6%. Było to wynikiem zarówno dobrego rozwoju cen, jak i pozytywnej dynamiki wolumenów.</w:t>
      </w:r>
    </w:p>
    <w:p w14:paraId="58762DA1" w14:textId="37D388A2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2A1F1496" w14:textId="720155D8" w:rsidR="13E06C38" w:rsidRPr="00A36941" w:rsidRDefault="13E06C38" w:rsidP="7D5A668B">
      <w:pPr>
        <w:rPr>
          <w:lang w:val="pl-PL"/>
        </w:rPr>
      </w:pPr>
      <w:r w:rsidRPr="00366DE1">
        <w:rPr>
          <w:rFonts w:cs="Segoe UI"/>
          <w:lang w:val="pl"/>
        </w:rPr>
        <w:t>Sektor biznesowy</w:t>
      </w:r>
      <w:r w:rsidRPr="00102324">
        <w:rPr>
          <w:rFonts w:cs="Segoe UI"/>
          <w:b/>
          <w:bCs/>
          <w:lang w:val="pl"/>
        </w:rPr>
        <w:t xml:space="preserve"> </w:t>
      </w:r>
      <w:proofErr w:type="spellStart"/>
      <w:r w:rsidRPr="00102324">
        <w:rPr>
          <w:rFonts w:cs="Segoe UI"/>
          <w:b/>
          <w:bCs/>
          <w:lang w:val="pl"/>
        </w:rPr>
        <w:t>Adhesive</w:t>
      </w:r>
      <w:proofErr w:type="spellEnd"/>
      <w:r w:rsidRPr="00102324">
        <w:rPr>
          <w:rFonts w:cs="Segoe UI"/>
          <w:b/>
          <w:bCs/>
          <w:lang w:val="pl"/>
        </w:rPr>
        <w:t xml:space="preserve"> Technologies</w:t>
      </w:r>
      <w:r w:rsidRPr="7C5C98B0">
        <w:rPr>
          <w:rFonts w:cs="Segoe UI"/>
          <w:lang w:val="pl"/>
        </w:rPr>
        <w:t xml:space="preserve"> osiągnął dobry wzrost sprzedaży w </w:t>
      </w:r>
      <w:r w:rsidRPr="7C5C98B0">
        <w:rPr>
          <w:rFonts w:cs="Segoe UI"/>
          <w:b/>
          <w:bCs/>
          <w:lang w:val="pl"/>
        </w:rPr>
        <w:t>ujęciu organicznym</w:t>
      </w:r>
      <w:r w:rsidRPr="7C5C98B0">
        <w:rPr>
          <w:rFonts w:cs="Segoe UI"/>
          <w:lang w:val="pl"/>
        </w:rPr>
        <w:t xml:space="preserve"> na poziomie 2,4%, napędzany szczególnie przez obszar </w:t>
      </w:r>
      <w:proofErr w:type="spellStart"/>
      <w:r w:rsidRPr="7C5C98B0">
        <w:rPr>
          <w:rFonts w:cs="Segoe UI"/>
          <w:lang w:val="pl"/>
        </w:rPr>
        <w:t>Mobility</w:t>
      </w:r>
      <w:proofErr w:type="spellEnd"/>
      <w:r w:rsidRPr="7C5C98B0">
        <w:rPr>
          <w:rFonts w:cs="Segoe UI"/>
          <w:lang w:val="pl"/>
        </w:rPr>
        <w:t xml:space="preserve"> &amp; Electronics. Sektor Consumer </w:t>
      </w:r>
      <w:proofErr w:type="spellStart"/>
      <w:r w:rsidRPr="7C5C98B0">
        <w:rPr>
          <w:rFonts w:cs="Segoe UI"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osiągnął silny wzrost sprzedaży w </w:t>
      </w:r>
      <w:r w:rsidRPr="7C5C98B0">
        <w:rPr>
          <w:rFonts w:cs="Segoe UI"/>
          <w:b/>
          <w:bCs/>
          <w:lang w:val="pl"/>
        </w:rPr>
        <w:t>ujęciu organicznym</w:t>
      </w:r>
      <w:r w:rsidRPr="7C5C98B0">
        <w:rPr>
          <w:rFonts w:cs="Segoe UI"/>
          <w:lang w:val="pl"/>
        </w:rPr>
        <w:t xml:space="preserve"> na poziomie 3,0%, głównie dzięki obszarowi </w:t>
      </w:r>
      <w:proofErr w:type="spellStart"/>
      <w:r w:rsidRPr="7C5C98B0">
        <w:rPr>
          <w:rFonts w:cs="Segoe UI"/>
          <w:lang w:val="pl"/>
        </w:rPr>
        <w:t>Hair</w:t>
      </w:r>
      <w:proofErr w:type="spellEnd"/>
      <w:r w:rsidRPr="7C5C98B0">
        <w:rPr>
          <w:rFonts w:cs="Segoe UI"/>
          <w:lang w:val="pl"/>
        </w:rPr>
        <w:t>.</w:t>
      </w:r>
    </w:p>
    <w:p w14:paraId="69B91930" w14:textId="1A05A140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160F2077" w14:textId="707B3122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t>Skorygowany zysk operacyjny</w:t>
      </w:r>
      <w:r w:rsidRPr="7C5C98B0">
        <w:rPr>
          <w:rFonts w:cs="Segoe UI"/>
          <w:lang w:val="pl"/>
        </w:rPr>
        <w:t xml:space="preserve"> (skorygowany EBIT) wzrósł znacząco o 20,9% do 3 089 mln euro (rok poprzedni: 2 556 mln euro).</w:t>
      </w:r>
    </w:p>
    <w:p w14:paraId="172F9250" w14:textId="064399BB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316CC27C" w14:textId="5AFCEEB8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t>Skorygowana rentowność sprzedaży</w:t>
      </w:r>
      <w:r w:rsidRPr="7C5C98B0">
        <w:rPr>
          <w:rFonts w:cs="Segoe UI"/>
          <w:lang w:val="pl"/>
        </w:rPr>
        <w:t xml:space="preserve"> (skorygowana marża EBIT) w roku obrotowym 2024 była również znacząco wyższa rok do roku i wyniosła 14,3% (2023: 11,9%).</w:t>
      </w:r>
    </w:p>
    <w:p w14:paraId="252C15CB" w14:textId="194E514A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46C12CCC" w14:textId="713E31CB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t>Skorygowany zysk na akcję uprzywilejowaną</w:t>
      </w:r>
      <w:r w:rsidRPr="7C5C98B0">
        <w:rPr>
          <w:rFonts w:cs="Segoe UI"/>
          <w:lang w:val="pl"/>
        </w:rPr>
        <w:t xml:space="preserve"> wzrósł znacząco o 23,2% do 5,36 euro (rok poprzedni: 4,35 euro). Przy stałych kursach wymiany skorygowany zysk na akcję uprzywilejowaną wzrósł o 25,1%.</w:t>
      </w:r>
    </w:p>
    <w:p w14:paraId="45063212" w14:textId="55091077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1D1EE054" w14:textId="4BCE529F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Wskaźnik </w:t>
      </w:r>
      <w:r w:rsidRPr="7C5C98B0">
        <w:rPr>
          <w:rFonts w:cs="Segoe UI"/>
          <w:b/>
          <w:bCs/>
          <w:lang w:val="pl"/>
        </w:rPr>
        <w:t>kapitału obrotowego netto</w:t>
      </w:r>
      <w:r w:rsidRPr="7C5C98B0">
        <w:rPr>
          <w:rFonts w:cs="Segoe UI"/>
          <w:lang w:val="pl"/>
        </w:rPr>
        <w:t xml:space="preserve"> </w:t>
      </w:r>
      <w:r w:rsidR="007C0085">
        <w:rPr>
          <w:rFonts w:cs="Segoe UI"/>
          <w:lang w:val="pl"/>
        </w:rPr>
        <w:t xml:space="preserve">w relacji </w:t>
      </w:r>
      <w:r w:rsidRPr="7C5C98B0">
        <w:rPr>
          <w:rFonts w:cs="Segoe UI"/>
          <w:lang w:val="pl"/>
        </w:rPr>
        <w:t>do przychodów ze sprzedaży wyniósł 3,0%, co oznacza niewielki wzrost w porównaniu z rokiem poprzednim (2023: 2,6%).</w:t>
      </w:r>
    </w:p>
    <w:p w14:paraId="62C5F4B6" w14:textId="2514068C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1F6C04C9" w14:textId="3EECBD4D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t>Wolne przepływy pieniężne</w:t>
      </w:r>
      <w:r w:rsidRPr="7C5C98B0">
        <w:rPr>
          <w:rFonts w:cs="Segoe UI"/>
          <w:lang w:val="pl"/>
        </w:rPr>
        <w:t xml:space="preserve"> wyniosły 2 362 mln euro, co oznacza spadek w porównaniu z rokiem poprzednim (2023: 2 603 mln euro), na który pozytywnie wpłynęła normalizacja kapitału obrotowego netto.</w:t>
      </w:r>
    </w:p>
    <w:p w14:paraId="522D808F" w14:textId="7D32E61C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4BBE2A0E" w14:textId="738A836C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lastRenderedPageBreak/>
        <w:t>Pozycja finansowa netto</w:t>
      </w:r>
      <w:r w:rsidRPr="7C5C98B0">
        <w:rPr>
          <w:rFonts w:cs="Segoe UI"/>
          <w:lang w:val="pl"/>
        </w:rPr>
        <w:t xml:space="preserve"> wyniosła -93 mln euro i była nieznacznie niższa niż w roku poprzednim, głównie ze względu na płatności związane z przejęciami (31 grudnia 2023: 12 mln euro).</w:t>
      </w:r>
    </w:p>
    <w:p w14:paraId="1194DC03" w14:textId="0A7B7C80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20973D8D" w14:textId="0C73B223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>Zarząd, Rada Nadzorcza oraz Komitet Akcjonariuszy przedstawią Zwyczajnemu Walnemu Zgromadzeniu Akcjonariuszy</w:t>
      </w:r>
      <w:r w:rsidR="007C0085">
        <w:rPr>
          <w:rFonts w:cs="Segoe UI"/>
          <w:lang w:val="pl"/>
        </w:rPr>
        <w:t>,</w:t>
      </w:r>
      <w:r w:rsidRPr="7C5C98B0">
        <w:rPr>
          <w:rFonts w:cs="Segoe UI"/>
          <w:lang w:val="pl"/>
        </w:rPr>
        <w:t xml:space="preserve"> zwołanemu na 28 kwietnia 2025 r. </w:t>
      </w:r>
      <w:r w:rsidRPr="7C5C98B0">
        <w:rPr>
          <w:rFonts w:cs="Segoe UI"/>
          <w:b/>
          <w:bCs/>
          <w:lang w:val="pl"/>
        </w:rPr>
        <w:t>propozycję zwiększenia</w:t>
      </w:r>
      <w:r w:rsidRPr="7C5C98B0">
        <w:rPr>
          <w:rFonts w:cs="Segoe UI"/>
          <w:lang w:val="pl"/>
        </w:rPr>
        <w:t xml:space="preserve"> </w:t>
      </w:r>
      <w:r w:rsidRPr="7C5C98B0">
        <w:rPr>
          <w:rFonts w:cs="Segoe UI"/>
          <w:b/>
          <w:bCs/>
          <w:lang w:val="pl"/>
        </w:rPr>
        <w:t xml:space="preserve">dywidendy </w:t>
      </w:r>
      <w:r w:rsidRPr="7C5C98B0">
        <w:rPr>
          <w:rFonts w:cs="Segoe UI"/>
          <w:lang w:val="pl"/>
        </w:rPr>
        <w:t>o 10,3% w porównaniu z rokiem poprzednim, do kwoty 2,04 euro na akcję uprzywilejowaną i 2,02 euro na akcję zwykłą (+10,4%). Odpowiada to wskaźnikowi wypłaty na poziomie 37,9%, mieszczącemu się w docelowym przedziale 30-40%. Zwiększenie dywidendy jest możliwe dzięki bardzo dobrym wynikom finansowym w minionym roku obrotowym oraz silnej bazie finansowej Grupy Henkel.</w:t>
      </w:r>
    </w:p>
    <w:p w14:paraId="6B65137C" w14:textId="5665912A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14202A1A" w14:textId="77777777" w:rsidR="00AC6AB3" w:rsidRPr="00A36941" w:rsidRDefault="13E06C38" w:rsidP="7D5A668B">
      <w:pPr>
        <w:rPr>
          <w:rFonts w:cs="Segoe UI"/>
          <w:b/>
          <w:bCs/>
          <w:lang w:val="pl"/>
        </w:rPr>
      </w:pPr>
      <w:r w:rsidRPr="7C5C98B0">
        <w:rPr>
          <w:rFonts w:cs="Segoe UI"/>
          <w:b/>
          <w:bCs/>
          <w:lang w:val="pl"/>
        </w:rPr>
        <w:t xml:space="preserve">Wyniki sektorów biznesowych w roku obrotowym 2024 </w:t>
      </w:r>
    </w:p>
    <w:p w14:paraId="7870BEB6" w14:textId="377AA4D4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t>Przychody ze sprzedaży</w:t>
      </w:r>
      <w:r w:rsidRPr="7C5C98B0">
        <w:rPr>
          <w:rFonts w:cs="Segoe UI"/>
          <w:lang w:val="pl"/>
        </w:rPr>
        <w:t xml:space="preserve"> w sektorze </w:t>
      </w:r>
      <w:proofErr w:type="spellStart"/>
      <w:r w:rsidRPr="7C5C98B0">
        <w:rPr>
          <w:rFonts w:cs="Segoe UI"/>
          <w:b/>
          <w:bCs/>
          <w:lang w:val="pl"/>
        </w:rPr>
        <w:t>Adhesive</w:t>
      </w:r>
      <w:proofErr w:type="spellEnd"/>
      <w:r w:rsidRPr="7C5C98B0">
        <w:rPr>
          <w:rFonts w:cs="Segoe UI"/>
          <w:b/>
          <w:bCs/>
          <w:lang w:val="pl"/>
        </w:rPr>
        <w:t xml:space="preserve"> Technologies</w:t>
      </w:r>
      <w:r w:rsidRPr="7C5C98B0">
        <w:rPr>
          <w:rFonts w:cs="Segoe UI"/>
          <w:lang w:val="pl"/>
        </w:rPr>
        <w:t xml:space="preserve"> wyniosły w roku obrotowym 2024 łącznie 10 970 mln euro, co oznacza wzrost o 1,7% w </w:t>
      </w:r>
      <w:r w:rsidRPr="7C5C98B0">
        <w:rPr>
          <w:rFonts w:cs="Segoe UI"/>
          <w:b/>
          <w:bCs/>
          <w:lang w:val="pl"/>
        </w:rPr>
        <w:t>ujęciu nominalnym</w:t>
      </w:r>
      <w:r w:rsidRPr="7C5C98B0">
        <w:rPr>
          <w:rFonts w:cs="Segoe UI"/>
          <w:lang w:val="pl"/>
        </w:rPr>
        <w:t xml:space="preserve"> w porównaniu z rokiem poprzednim. Podczas gdy różnice kursowe miały negatywny wpływ w wysokości -1,8%, transakcje przejęć i zbycia aktywów zwiększyły sprzedaż o 1,1%. W ujęciu organicznym sprzedaż wzrosła o 2,4%. </w:t>
      </w:r>
      <w:r w:rsidR="007C0085">
        <w:rPr>
          <w:rFonts w:cs="Segoe UI"/>
          <w:lang w:val="pl"/>
        </w:rPr>
        <w:t>Wzrost ten</w:t>
      </w:r>
      <w:r w:rsidRPr="7C5C98B0">
        <w:rPr>
          <w:rFonts w:cs="Segoe UI"/>
          <w:lang w:val="pl"/>
        </w:rPr>
        <w:t xml:space="preserve"> był szczególnie napędzany silnym rozwojem wolumenów w drugiej połowie roku w porównaniu z rokiem poprzednim, głównie dzięki zwiększonemu popytowi na niektórych kluczowych rynkach końcowych. Ceny pozostały na stabilnym poziomie w porównaniu z rokiem poprzednim. </w:t>
      </w:r>
      <w:r w:rsidRPr="7C5C98B0">
        <w:rPr>
          <w:rFonts w:cs="Segoe UI"/>
          <w:b/>
          <w:bCs/>
          <w:lang w:val="pl"/>
        </w:rPr>
        <w:t>Skorygowany zysk operacyjny</w:t>
      </w:r>
      <w:r w:rsidRPr="7C5C98B0">
        <w:rPr>
          <w:rFonts w:cs="Segoe UI"/>
          <w:lang w:val="pl"/>
        </w:rPr>
        <w:t xml:space="preserve"> wyniósł 1 817 mln euro, odnotowując dwucyfrowy wzrost procentowy rok do roku, co stanowi nowy rekord dla tego sektora biznesowego. </w:t>
      </w:r>
      <w:r w:rsidRPr="7C5C98B0">
        <w:rPr>
          <w:rFonts w:cs="Segoe UI"/>
          <w:b/>
          <w:bCs/>
          <w:lang w:val="pl"/>
        </w:rPr>
        <w:t>Skorygowana rentowność sprzedaży</w:t>
      </w:r>
      <w:r w:rsidRPr="7C5C98B0">
        <w:rPr>
          <w:rFonts w:cs="Segoe UI"/>
          <w:lang w:val="pl"/>
        </w:rPr>
        <w:t xml:space="preserve"> wzrosła znacząco o 190 punktów bazowych do 16,6% w porównaniu z rokiem poprzednim.</w:t>
      </w:r>
    </w:p>
    <w:p w14:paraId="2DA56177" w14:textId="53BA4D0F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0CFBD26A" w14:textId="147F2A6F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b/>
          <w:bCs/>
          <w:lang w:val="pl"/>
        </w:rPr>
        <w:t>Przychody ze sprzedaży</w:t>
      </w:r>
      <w:r w:rsidRPr="7C5C98B0">
        <w:rPr>
          <w:rFonts w:cs="Segoe UI"/>
          <w:lang w:val="pl"/>
        </w:rPr>
        <w:t xml:space="preserve"> w sektorze </w:t>
      </w:r>
      <w:r w:rsidRPr="7C5C98B0">
        <w:rPr>
          <w:rFonts w:cs="Segoe UI"/>
          <w:b/>
          <w:bCs/>
          <w:lang w:val="pl"/>
        </w:rPr>
        <w:t xml:space="preserve">Consumer </w:t>
      </w:r>
      <w:proofErr w:type="spellStart"/>
      <w:r w:rsidRPr="7C5C98B0">
        <w:rPr>
          <w:rFonts w:cs="Segoe UI"/>
          <w:b/>
          <w:bCs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wyniosły w roku sprawozdawczym 10 467 mln euro, co oznacza spadek o -0,9% w </w:t>
      </w:r>
      <w:r w:rsidRPr="7C5C98B0">
        <w:rPr>
          <w:rFonts w:cs="Segoe UI"/>
          <w:b/>
          <w:bCs/>
          <w:lang w:val="pl"/>
        </w:rPr>
        <w:t>ujęciu nominalnym</w:t>
      </w:r>
      <w:r w:rsidRPr="7C5C98B0">
        <w:rPr>
          <w:rFonts w:cs="Segoe UI"/>
          <w:lang w:val="pl"/>
        </w:rPr>
        <w:t xml:space="preserve"> w porównaniu z rokiem poprzednim. Różnice kursowe obniżyły sprzedaż o -1,8%. Transakcje przejęć i zbycia aktywów miały również negatywny wpływ na sprzedaż w wysokości -2,0%, głównie w związku ze zbyciem naszej działalności w Rosji w kwietniu 2023 roku. W ujęciu organicznym sprzedaż wzrosła o 3,0%</w:t>
      </w:r>
      <w:r w:rsidR="007C0085">
        <w:rPr>
          <w:rFonts w:cs="Segoe UI"/>
          <w:lang w:val="pl"/>
        </w:rPr>
        <w:t xml:space="preserve">, napędzana przede wszystkim </w:t>
      </w:r>
      <w:r w:rsidRPr="7C5C98B0">
        <w:rPr>
          <w:rFonts w:cs="Segoe UI"/>
          <w:lang w:val="pl"/>
        </w:rPr>
        <w:t>bardzo silnym rozwojem cen</w:t>
      </w:r>
      <w:r w:rsidR="007C0085">
        <w:rPr>
          <w:rFonts w:cs="Segoe UI"/>
          <w:lang w:val="pl"/>
        </w:rPr>
        <w:t>. Jednocześnie</w:t>
      </w:r>
      <w:r w:rsidRPr="7C5C98B0">
        <w:rPr>
          <w:rFonts w:cs="Segoe UI"/>
          <w:lang w:val="pl"/>
        </w:rPr>
        <w:t xml:space="preserve"> wolumeny spadły, głównie z powodu trwających działań optymalizujących portfolio. </w:t>
      </w:r>
      <w:r w:rsidRPr="7C5C98B0">
        <w:rPr>
          <w:rFonts w:cs="Segoe UI"/>
          <w:b/>
          <w:bCs/>
          <w:lang w:val="pl"/>
        </w:rPr>
        <w:t>Skorygowany zysk operacyjny</w:t>
      </w:r>
      <w:r w:rsidRPr="7C5C98B0">
        <w:rPr>
          <w:rFonts w:cs="Segoe UI"/>
          <w:lang w:val="pl"/>
        </w:rPr>
        <w:t xml:space="preserve"> wyniósł 1 419 mln euro, znacznie powyżej poziomu z roku poprzedniego (1 115 mln euro). </w:t>
      </w:r>
      <w:r w:rsidRPr="7C5C98B0">
        <w:rPr>
          <w:rFonts w:cs="Segoe UI"/>
          <w:b/>
          <w:bCs/>
          <w:lang w:val="pl"/>
        </w:rPr>
        <w:t>Skorygowana rentowność sprzedaży</w:t>
      </w:r>
      <w:r w:rsidRPr="7C5C98B0">
        <w:rPr>
          <w:rFonts w:cs="Segoe UI"/>
          <w:lang w:val="pl"/>
        </w:rPr>
        <w:t xml:space="preserve"> osiągnęła poziom 13,6%, co oznacza znaczący wzrost o 300 punktów bazowych w porównaniu z rokiem poprzednim.</w:t>
      </w:r>
    </w:p>
    <w:p w14:paraId="73B03636" w14:textId="532E53CB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0AADF42D" w14:textId="2B5209D4" w:rsidR="13E06C38" w:rsidRDefault="13E06C38" w:rsidP="7D5A668B">
      <w:pPr>
        <w:rPr>
          <w:rFonts w:cs="Segoe UI"/>
          <w:b/>
          <w:bCs/>
          <w:lang w:val="pl"/>
        </w:rPr>
      </w:pPr>
      <w:r w:rsidRPr="7D5A668B">
        <w:rPr>
          <w:rFonts w:cs="Segoe UI"/>
          <w:b/>
          <w:bCs/>
          <w:lang w:val="pl"/>
        </w:rPr>
        <w:t>Znaczący postęp w transformacji</w:t>
      </w:r>
    </w:p>
    <w:p w14:paraId="44D7B7A3" w14:textId="1E8E492C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lastRenderedPageBreak/>
        <w:t xml:space="preserve">W ciągu ostatnich lat Henkel przeszedł głębokie zmiany w wielu obszarach i konsekwentnie realizował swoją </w:t>
      </w:r>
      <w:r w:rsidR="00842819">
        <w:rPr>
          <w:rFonts w:cs="Segoe UI"/>
          <w:lang w:val="pl"/>
        </w:rPr>
        <w:t>Strategię</w:t>
      </w:r>
      <w:r w:rsidRPr="7C5C98B0">
        <w:rPr>
          <w:rFonts w:cs="Segoe UI"/>
          <w:lang w:val="pl"/>
        </w:rPr>
        <w:t xml:space="preserve"> </w:t>
      </w:r>
      <w:r w:rsidR="00842819">
        <w:rPr>
          <w:rFonts w:cs="Segoe UI"/>
          <w:lang w:val="pl"/>
        </w:rPr>
        <w:t>U</w:t>
      </w:r>
      <w:r w:rsidR="00842819" w:rsidRPr="7C5C98B0">
        <w:rPr>
          <w:rFonts w:cs="Segoe UI"/>
          <w:lang w:val="pl"/>
        </w:rPr>
        <w:t xml:space="preserve">kierunkowanego </w:t>
      </w:r>
      <w:r w:rsidR="00842819">
        <w:rPr>
          <w:rFonts w:cs="Segoe UI"/>
          <w:lang w:val="pl"/>
        </w:rPr>
        <w:t>W</w:t>
      </w:r>
      <w:r w:rsidR="00842819" w:rsidRPr="7C5C98B0">
        <w:rPr>
          <w:rFonts w:cs="Segoe UI"/>
          <w:lang w:val="pl"/>
        </w:rPr>
        <w:t>zrostu</w:t>
      </w:r>
      <w:r w:rsidRPr="7C5C98B0">
        <w:rPr>
          <w:rFonts w:cs="Segoe UI"/>
          <w:lang w:val="pl"/>
        </w:rPr>
        <w:t xml:space="preserve">. Kluczowymi czynnikami </w:t>
      </w:r>
      <w:r w:rsidRPr="00102324">
        <w:rPr>
          <w:rFonts w:cs="Segoe UI"/>
          <w:lang w:val="pl"/>
        </w:rPr>
        <w:t xml:space="preserve">długoterminowego i zrównoważonego sukcesu </w:t>
      </w:r>
      <w:r w:rsidRPr="00842819">
        <w:rPr>
          <w:rFonts w:cs="Segoe UI"/>
          <w:lang w:val="pl"/>
        </w:rPr>
        <w:t xml:space="preserve">są gotowość i determinacja do ciągłej </w:t>
      </w:r>
      <w:r w:rsidRPr="00102324">
        <w:rPr>
          <w:rFonts w:cs="Segoe UI"/>
          <w:lang w:val="pl"/>
        </w:rPr>
        <w:t>transformacji</w:t>
      </w:r>
      <w:r w:rsidRPr="00842819">
        <w:rPr>
          <w:rFonts w:cs="Segoe UI"/>
          <w:lang w:val="pl"/>
        </w:rPr>
        <w:t>. Celem</w:t>
      </w:r>
      <w:r w:rsidRPr="7C5C98B0">
        <w:rPr>
          <w:rFonts w:cs="Segoe UI"/>
          <w:lang w:val="pl"/>
        </w:rPr>
        <w:t xml:space="preserve"> jest trwała poprawa wyników. Aby to osiągnąć, firma musi stale się zmieniać i rozwijać. I dzieje się to we wszystkich obszarach</w:t>
      </w:r>
      <w:r w:rsidR="00842819">
        <w:rPr>
          <w:rFonts w:cs="Segoe UI"/>
          <w:lang w:val="pl"/>
        </w:rPr>
        <w:t xml:space="preserve"> naszej działalności</w:t>
      </w:r>
      <w:r w:rsidRPr="7C5C98B0">
        <w:rPr>
          <w:rFonts w:cs="Segoe UI"/>
          <w:lang w:val="pl"/>
        </w:rPr>
        <w:t>.</w:t>
      </w:r>
    </w:p>
    <w:p w14:paraId="6F084469" w14:textId="1A09AEB9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44D4C598" w14:textId="7A2D9B60" w:rsidR="13E06C38" w:rsidRDefault="13E06C38" w:rsidP="7D5A668B">
      <w:pPr>
        <w:rPr>
          <w:rFonts w:cs="Segoe UI"/>
          <w:b/>
          <w:bCs/>
          <w:lang w:val="pl"/>
        </w:rPr>
      </w:pPr>
      <w:r w:rsidRPr="7D5A668B">
        <w:rPr>
          <w:rFonts w:cs="Segoe UI"/>
          <w:b/>
          <w:bCs/>
          <w:lang w:val="pl"/>
        </w:rPr>
        <w:t xml:space="preserve">Consumer </w:t>
      </w:r>
      <w:proofErr w:type="spellStart"/>
      <w:r w:rsidRPr="7D5A668B">
        <w:rPr>
          <w:rFonts w:cs="Segoe UI"/>
          <w:b/>
          <w:bCs/>
          <w:lang w:val="pl"/>
        </w:rPr>
        <w:t>Brands</w:t>
      </w:r>
      <w:proofErr w:type="spellEnd"/>
      <w:r w:rsidRPr="7D5A668B">
        <w:rPr>
          <w:rFonts w:cs="Segoe UI"/>
          <w:b/>
          <w:bCs/>
          <w:lang w:val="pl"/>
        </w:rPr>
        <w:t>: Połączenie postępuje szybciej niż planowano</w:t>
      </w:r>
    </w:p>
    <w:p w14:paraId="27F12A09" w14:textId="51B09014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Prawdopodobnie najistotniejszą zmianą w </w:t>
      </w:r>
      <w:r w:rsidR="00842819">
        <w:rPr>
          <w:rFonts w:cs="Segoe UI"/>
          <w:lang w:val="pl"/>
        </w:rPr>
        <w:t xml:space="preserve">ostatnich latach w </w:t>
      </w:r>
      <w:r w:rsidRPr="7C5C98B0">
        <w:rPr>
          <w:rFonts w:cs="Segoe UI"/>
          <w:lang w:val="pl"/>
        </w:rPr>
        <w:t xml:space="preserve">historii Henkla jest połączenie naszych działów dóbr konsumpcyjnych w </w:t>
      </w:r>
      <w:r w:rsidR="00842819">
        <w:rPr>
          <w:rFonts w:cs="Segoe UI"/>
          <w:lang w:val="pl"/>
        </w:rPr>
        <w:t xml:space="preserve">jeden </w:t>
      </w:r>
      <w:r w:rsidRPr="7C5C98B0">
        <w:rPr>
          <w:rFonts w:cs="Segoe UI"/>
          <w:lang w:val="pl"/>
        </w:rPr>
        <w:t xml:space="preserve">sektor biznesowy </w:t>
      </w:r>
      <w:r w:rsidRPr="7C5C98B0">
        <w:rPr>
          <w:rFonts w:cs="Segoe UI"/>
          <w:b/>
          <w:bCs/>
          <w:lang w:val="pl"/>
        </w:rPr>
        <w:t xml:space="preserve">Consumer </w:t>
      </w:r>
      <w:proofErr w:type="spellStart"/>
      <w:r w:rsidRPr="7C5C98B0">
        <w:rPr>
          <w:rFonts w:cs="Segoe UI"/>
          <w:b/>
          <w:bCs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, które zostało ogłoszone na początku 2022 roku. Od tego czasu wiele się wydarzyło. </w:t>
      </w:r>
      <w:r w:rsidR="00842819">
        <w:rPr>
          <w:rFonts w:cs="Segoe UI"/>
          <w:lang w:val="pl"/>
        </w:rPr>
        <w:t>Ta jednostka biznesowa</w:t>
      </w:r>
      <w:r w:rsidR="00842819" w:rsidRPr="7C5C98B0">
        <w:rPr>
          <w:rFonts w:cs="Segoe UI"/>
          <w:lang w:val="pl"/>
        </w:rPr>
        <w:t xml:space="preserve"> </w:t>
      </w:r>
      <w:r w:rsidRPr="7C5C98B0">
        <w:rPr>
          <w:rFonts w:cs="Segoe UI"/>
          <w:lang w:val="pl"/>
        </w:rPr>
        <w:t>działa w nowej strukturze od początku 2023 roku, a pozytywne efekty były widoczne już w tym samym roku. W minionym roku obrotowym 2024 stało się oczywiste, że nasza decyzja o połączeniu wcześniej oddzielnych działów dóbr konsumpcyjnych w jedną platformę była słuszna.</w:t>
      </w:r>
    </w:p>
    <w:p w14:paraId="272B2AA7" w14:textId="3A110747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0EBA23BC" w14:textId="667991CE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Integracja </w:t>
      </w:r>
      <w:r w:rsidRPr="00842819">
        <w:rPr>
          <w:rFonts w:cs="Segoe UI"/>
          <w:lang w:val="pl"/>
        </w:rPr>
        <w:t xml:space="preserve">sektora </w:t>
      </w:r>
      <w:r w:rsidRPr="00102324">
        <w:rPr>
          <w:rFonts w:cs="Segoe UI"/>
          <w:lang w:val="pl"/>
        </w:rPr>
        <w:t xml:space="preserve">Consumer </w:t>
      </w:r>
      <w:proofErr w:type="spellStart"/>
      <w:r w:rsidRPr="00102324">
        <w:rPr>
          <w:rFonts w:cs="Segoe UI"/>
          <w:lang w:val="pl"/>
        </w:rPr>
        <w:t>Brands</w:t>
      </w:r>
      <w:proofErr w:type="spellEnd"/>
      <w:r w:rsidRPr="00842819">
        <w:rPr>
          <w:rFonts w:cs="Segoe UI"/>
          <w:lang w:val="pl"/>
        </w:rPr>
        <w:t xml:space="preserve"> postępuje znacznie szybciej niż pierwotnie planowano: zarówno w zakresie integracji zespołów, </w:t>
      </w:r>
      <w:r w:rsidRPr="00102324">
        <w:rPr>
          <w:rFonts w:cs="Segoe UI"/>
          <w:lang w:val="pl"/>
        </w:rPr>
        <w:t>restrukturyzacji portfolio</w:t>
      </w:r>
      <w:r w:rsidRPr="00842819">
        <w:rPr>
          <w:rFonts w:cs="Segoe UI"/>
          <w:lang w:val="pl"/>
        </w:rPr>
        <w:t>,</w:t>
      </w:r>
      <w:r w:rsidRPr="7C5C98B0">
        <w:rPr>
          <w:rFonts w:cs="Segoe UI"/>
          <w:lang w:val="pl"/>
        </w:rPr>
        <w:t xml:space="preserve"> jak i osiągania synergii. Pierwsza faza integracji, która obejmowała głównie połączenie zespołów sprzedaży i marketingu, została zakończona w 2024 roku. W drugiej fazie, trwającej od 2023 roku, pełne oszczędności kosztów wynikające z usprawnienia łańcucha dostaw, tj. sieci produkcyjnych i łańcuchów dostaw, mają zostać osiągnięte do końca 2025 roku.</w:t>
      </w:r>
    </w:p>
    <w:p w14:paraId="5BA4E20C" w14:textId="5C0BB4E1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660288D4" w14:textId="1D3A22BB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Jednocześnie sektor </w:t>
      </w:r>
      <w:r w:rsidRPr="00102324">
        <w:rPr>
          <w:rFonts w:cs="Segoe UI"/>
          <w:lang w:val="pl"/>
        </w:rPr>
        <w:t xml:space="preserve">Consumer </w:t>
      </w:r>
      <w:proofErr w:type="spellStart"/>
      <w:r w:rsidRPr="00102324">
        <w:rPr>
          <w:rFonts w:cs="Segoe UI"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konsekwentnie koncentruje się na silnych markach i </w:t>
      </w:r>
      <w:proofErr w:type="spellStart"/>
      <w:r w:rsidR="00842819" w:rsidRPr="7C5C98B0">
        <w:rPr>
          <w:rFonts w:cs="Segoe UI"/>
          <w:lang w:val="pl"/>
        </w:rPr>
        <w:t>działaln</w:t>
      </w:r>
      <w:r w:rsidR="00842819">
        <w:rPr>
          <w:rFonts w:cs="Segoe UI"/>
          <w:lang w:val="pl"/>
        </w:rPr>
        <w:t>iach</w:t>
      </w:r>
      <w:proofErr w:type="spellEnd"/>
      <w:r w:rsidR="00842819" w:rsidRPr="7C5C98B0">
        <w:rPr>
          <w:rFonts w:cs="Segoe UI"/>
          <w:lang w:val="pl"/>
        </w:rPr>
        <w:t xml:space="preserve"> </w:t>
      </w:r>
      <w:r w:rsidRPr="7C5C98B0">
        <w:rPr>
          <w:rFonts w:cs="Segoe UI"/>
          <w:lang w:val="pl"/>
        </w:rPr>
        <w:t>o wysokich marżach brutto oraz wiodących pozycjach na rynkach i w kategoriach. Pozytywne efekty koncentracji na silnych markach wzrostowych i wysokomarżowych działa</w:t>
      </w:r>
      <w:r w:rsidR="00842819">
        <w:rPr>
          <w:rFonts w:cs="Segoe UI"/>
          <w:lang w:val="pl"/>
        </w:rPr>
        <w:t>niach</w:t>
      </w:r>
      <w:r w:rsidRPr="7C5C98B0">
        <w:rPr>
          <w:rFonts w:cs="Segoe UI"/>
          <w:lang w:val="pl"/>
        </w:rPr>
        <w:t xml:space="preserve"> przynoszą rezultaty: dziesięć najważniejszych marek w ramach Consumer </w:t>
      </w:r>
      <w:proofErr w:type="spellStart"/>
      <w:r w:rsidRPr="7C5C98B0">
        <w:rPr>
          <w:rFonts w:cs="Segoe UI"/>
          <w:lang w:val="pl"/>
        </w:rPr>
        <w:t>Brands</w:t>
      </w:r>
      <w:proofErr w:type="spellEnd"/>
      <w:r w:rsidRPr="7C5C98B0">
        <w:rPr>
          <w:rFonts w:cs="Segoe UI"/>
          <w:lang w:val="pl"/>
        </w:rPr>
        <w:t>, które odpowiadały za ponad połowę przychodów w 2024 roku, osiągnęło bardzo silny wzrost organiczny wraz z pozytywnym wzrostem wolumenów.</w:t>
      </w:r>
    </w:p>
    <w:p w14:paraId="3F1D1051" w14:textId="57DBF884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2B4639DF" w14:textId="10DF060E" w:rsidR="13E06C38" w:rsidRDefault="13E06C38" w:rsidP="7D5A668B">
      <w:pPr>
        <w:rPr>
          <w:rFonts w:cs="Segoe UI"/>
          <w:b/>
          <w:bCs/>
          <w:lang w:val="pl"/>
        </w:rPr>
      </w:pPr>
      <w:r w:rsidRPr="7D5A668B">
        <w:rPr>
          <w:rFonts w:cs="Segoe UI"/>
          <w:b/>
          <w:bCs/>
          <w:lang w:val="pl"/>
        </w:rPr>
        <w:t xml:space="preserve">Dalszy rozwój sektora biznesowego </w:t>
      </w:r>
      <w:proofErr w:type="spellStart"/>
      <w:r w:rsidRPr="7D5A668B">
        <w:rPr>
          <w:rFonts w:cs="Segoe UI"/>
          <w:b/>
          <w:bCs/>
          <w:lang w:val="pl"/>
        </w:rPr>
        <w:t>Adhesive</w:t>
      </w:r>
      <w:proofErr w:type="spellEnd"/>
      <w:r w:rsidRPr="7D5A668B">
        <w:rPr>
          <w:rFonts w:cs="Segoe UI"/>
          <w:b/>
          <w:bCs/>
          <w:lang w:val="pl"/>
        </w:rPr>
        <w:t xml:space="preserve"> Technologies</w:t>
      </w:r>
    </w:p>
    <w:p w14:paraId="3DDE902E" w14:textId="4025146E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Sektor biznesowy </w:t>
      </w:r>
      <w:proofErr w:type="spellStart"/>
      <w:r w:rsidRPr="7C5C98B0">
        <w:rPr>
          <w:rFonts w:cs="Segoe UI"/>
          <w:b/>
          <w:bCs/>
          <w:lang w:val="pl"/>
        </w:rPr>
        <w:t>Adhesive</w:t>
      </w:r>
      <w:proofErr w:type="spellEnd"/>
      <w:r w:rsidRPr="7C5C98B0">
        <w:rPr>
          <w:rFonts w:cs="Segoe UI"/>
          <w:b/>
          <w:bCs/>
          <w:lang w:val="pl"/>
        </w:rPr>
        <w:t xml:space="preserve"> Technologies</w:t>
      </w:r>
      <w:r w:rsidRPr="7C5C98B0">
        <w:rPr>
          <w:rFonts w:cs="Segoe UI"/>
          <w:lang w:val="pl"/>
        </w:rPr>
        <w:t xml:space="preserve"> również osiągnął znaczące postępy w roku sprawozdawczym, wykazując ogólnie dobre wyniki działalności. Ten sektor biznesowy oferuje około 20 000 produktów i rozwiązań dla ponad 100 000 klientów na całym świecie w ponad 800 segmentach przemysłu. Ta</w:t>
      </w:r>
      <w:r w:rsidR="00842819">
        <w:rPr>
          <w:rFonts w:cs="Segoe UI"/>
          <w:lang w:val="pl"/>
        </w:rPr>
        <w:t xml:space="preserve">k </w:t>
      </w:r>
      <w:proofErr w:type="spellStart"/>
      <w:r w:rsidR="00842819">
        <w:rPr>
          <w:rFonts w:cs="Segoe UI"/>
          <w:lang w:val="pl"/>
        </w:rPr>
        <w:t>szerokie</w:t>
      </w:r>
      <w:r w:rsidRPr="7C5C98B0">
        <w:rPr>
          <w:rFonts w:cs="Segoe UI"/>
          <w:lang w:val="pl"/>
        </w:rPr>
        <w:t>portfolio</w:t>
      </w:r>
      <w:proofErr w:type="spellEnd"/>
      <w:r w:rsidRPr="7C5C98B0">
        <w:rPr>
          <w:rFonts w:cs="Segoe UI"/>
          <w:lang w:val="pl"/>
        </w:rPr>
        <w:t xml:space="preserve">, w połączeniu z globalną obecnością i wiedzą specjalistyczną w zakresie rozwoju rozwiązań zorientowanych na klienta, czyni Henkla wyjątkowym na rynku i pozwala firmie dalej rozszerzać swoją wiodącą pozycję rynkową na świecie. Poprzez trzy obszary biznesowe – </w:t>
      </w:r>
      <w:proofErr w:type="spellStart"/>
      <w:r w:rsidRPr="7C5C98B0">
        <w:rPr>
          <w:rFonts w:cs="Segoe UI"/>
          <w:lang w:val="pl"/>
        </w:rPr>
        <w:t>Mobility</w:t>
      </w:r>
      <w:proofErr w:type="spellEnd"/>
      <w:r w:rsidRPr="7C5C98B0">
        <w:rPr>
          <w:rFonts w:cs="Segoe UI"/>
          <w:lang w:val="pl"/>
        </w:rPr>
        <w:t xml:space="preserve"> &amp; Electronics</w:t>
      </w:r>
      <w:r w:rsidR="00466E8F">
        <w:rPr>
          <w:rFonts w:cs="Segoe UI"/>
          <w:lang w:val="pl"/>
        </w:rPr>
        <w:t xml:space="preserve"> </w:t>
      </w:r>
      <w:r w:rsidR="00466E8F" w:rsidRPr="00C67DD1">
        <w:rPr>
          <w:lang w:val="pl-PL"/>
        </w:rPr>
        <w:t>(produkty dla branży mobilności i branży elektronicznej),</w:t>
      </w:r>
      <w:r w:rsidRPr="7C5C98B0">
        <w:rPr>
          <w:rFonts w:cs="Segoe UI"/>
          <w:lang w:val="pl"/>
        </w:rPr>
        <w:t xml:space="preserve">, </w:t>
      </w:r>
      <w:proofErr w:type="spellStart"/>
      <w:r w:rsidRPr="7C5C98B0">
        <w:rPr>
          <w:rFonts w:cs="Segoe UI"/>
          <w:lang w:val="pl"/>
        </w:rPr>
        <w:t>Packaging</w:t>
      </w:r>
      <w:proofErr w:type="spellEnd"/>
      <w:r w:rsidRPr="7C5C98B0">
        <w:rPr>
          <w:rFonts w:cs="Segoe UI"/>
          <w:lang w:val="pl"/>
        </w:rPr>
        <w:t xml:space="preserve"> &amp; Consumer </w:t>
      </w:r>
      <w:proofErr w:type="spellStart"/>
      <w:r w:rsidRPr="7C5C98B0">
        <w:rPr>
          <w:rFonts w:cs="Segoe UI"/>
          <w:lang w:val="pl"/>
        </w:rPr>
        <w:t>Goods</w:t>
      </w:r>
      <w:proofErr w:type="spellEnd"/>
      <w:r w:rsidRPr="7C5C98B0">
        <w:rPr>
          <w:rFonts w:cs="Segoe UI"/>
          <w:lang w:val="pl"/>
        </w:rPr>
        <w:t xml:space="preserve"> </w:t>
      </w:r>
      <w:r w:rsidR="00466E8F">
        <w:rPr>
          <w:rFonts w:cs="Segoe UI"/>
          <w:lang w:val="pl"/>
        </w:rPr>
        <w:t xml:space="preserve">(obszar </w:t>
      </w:r>
      <w:r w:rsidR="00466E8F" w:rsidRPr="00102324">
        <w:rPr>
          <w:lang w:val="pl-PL"/>
        </w:rPr>
        <w:t xml:space="preserve">opakowań i dóbr </w:t>
      </w:r>
      <w:r w:rsidR="00466E8F" w:rsidRPr="00102324">
        <w:rPr>
          <w:lang w:val="pl-PL"/>
        </w:rPr>
        <w:lastRenderedPageBreak/>
        <w:t>konsumpcyjnych</w:t>
      </w:r>
      <w:r w:rsidR="00466E8F">
        <w:rPr>
          <w:lang w:val="pl-PL"/>
        </w:rPr>
        <w:t xml:space="preserve">) </w:t>
      </w:r>
      <w:r w:rsidRPr="7C5C98B0">
        <w:rPr>
          <w:rFonts w:cs="Segoe UI"/>
          <w:lang w:val="pl"/>
        </w:rPr>
        <w:t xml:space="preserve">oraz </w:t>
      </w:r>
      <w:proofErr w:type="spellStart"/>
      <w:r w:rsidRPr="7C5C98B0">
        <w:rPr>
          <w:rFonts w:cs="Segoe UI"/>
          <w:lang w:val="pl"/>
        </w:rPr>
        <w:t>Craftsman</w:t>
      </w:r>
      <w:proofErr w:type="spellEnd"/>
      <w:r w:rsidRPr="7C5C98B0">
        <w:rPr>
          <w:rFonts w:cs="Segoe UI"/>
          <w:lang w:val="pl"/>
        </w:rPr>
        <w:t>, Construction and Professional</w:t>
      </w:r>
      <w:r w:rsidR="00466E8F">
        <w:rPr>
          <w:rFonts w:cs="Segoe UI"/>
          <w:lang w:val="pl"/>
        </w:rPr>
        <w:t xml:space="preserve"> </w:t>
      </w:r>
      <w:r w:rsidR="00466E8F" w:rsidRPr="006D6C05">
        <w:rPr>
          <w:lang w:val="pl-PL"/>
        </w:rPr>
        <w:t>(produkty dla branży rzemieślniczej, budowlanej i klientów profesjonalnych)</w:t>
      </w:r>
      <w:r w:rsidR="00466E8F">
        <w:rPr>
          <w:lang w:val="pl-PL"/>
        </w:rPr>
        <w:t xml:space="preserve"> </w:t>
      </w:r>
      <w:r w:rsidRPr="7C5C98B0">
        <w:rPr>
          <w:rFonts w:cs="Segoe UI"/>
          <w:lang w:val="pl"/>
        </w:rPr>
        <w:t xml:space="preserve"> – </w:t>
      </w:r>
      <w:proofErr w:type="spellStart"/>
      <w:r w:rsidRPr="7C5C98B0">
        <w:rPr>
          <w:rFonts w:cs="Segoe UI"/>
          <w:lang w:val="pl"/>
        </w:rPr>
        <w:t>Adhesive</w:t>
      </w:r>
      <w:proofErr w:type="spellEnd"/>
      <w:r w:rsidRPr="7C5C98B0">
        <w:rPr>
          <w:rFonts w:cs="Segoe UI"/>
          <w:lang w:val="pl"/>
        </w:rPr>
        <w:t xml:space="preserve"> Technologies koncentruje się na kluczowych trendach przyszłości. Obejmują one e-mobilność i łączność, oznaczającą rosnącą wzajemną łączność systemów, a także zrównoważony rozwój.</w:t>
      </w:r>
    </w:p>
    <w:p w14:paraId="33CE61F3" w14:textId="79858121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4395719" w14:textId="33A541B9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>Uproszczona struktura obszarów biznesowych, częściowo z nowymi zespołami zarządzającymi, oraz konsekwentne skupienie się na trendach jutra ponownie przyczyniły się do pomyślnego rozwoju sektora biznesowego w wymagającym roku 2024.</w:t>
      </w:r>
    </w:p>
    <w:p w14:paraId="5BA7C198" w14:textId="4D366D4C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75AEDF7B" w14:textId="7277D70A" w:rsidR="13E06C38" w:rsidRDefault="13E06C38" w:rsidP="7D5A668B">
      <w:pPr>
        <w:rPr>
          <w:rFonts w:cs="Segoe UI"/>
          <w:b/>
          <w:bCs/>
          <w:lang w:val="pl"/>
        </w:rPr>
      </w:pPr>
      <w:r w:rsidRPr="7D5A668B">
        <w:rPr>
          <w:rFonts w:cs="Segoe UI"/>
          <w:b/>
          <w:bCs/>
          <w:lang w:val="pl"/>
        </w:rPr>
        <w:t>Dalsze postępy we wszystkich priorytetach strategicznych</w:t>
      </w:r>
    </w:p>
    <w:p w14:paraId="2F8925EE" w14:textId="698D8CFC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W wymagającym otoczeniu makroekonomicznym i geopolitycznym Henkel konsekwentnie realizował swoją strategię wzrostu w minionym roku obrotowym i osiągnął istotne postępy we wszystkich obszarach. Firma dalej rozwijała swoje portfolio biznesowe i </w:t>
      </w:r>
      <w:r w:rsidR="00466E8F" w:rsidRPr="7D5A668B">
        <w:rPr>
          <w:rFonts w:cs="Segoe UI"/>
          <w:lang w:val="pl"/>
        </w:rPr>
        <w:t>mar</w:t>
      </w:r>
      <w:r w:rsidR="00466E8F">
        <w:rPr>
          <w:rFonts w:cs="Segoe UI"/>
          <w:lang w:val="pl"/>
        </w:rPr>
        <w:t>ek</w:t>
      </w:r>
      <w:r w:rsidRPr="7D5A668B">
        <w:rPr>
          <w:rFonts w:cs="Segoe UI"/>
          <w:lang w:val="pl"/>
        </w:rPr>
        <w:t>, wzmacniała przewagę konkurencyjną w obszarach innowacji, zrównoważonego rozwoju i cyfryzacji, optymalizowała modele operacyjne i umacniała kulturę korporacyjną.</w:t>
      </w:r>
    </w:p>
    <w:p w14:paraId="36FD218F" w14:textId="37E21447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1714C270" w14:textId="30863DB5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W ramach </w:t>
      </w:r>
      <w:r w:rsidRPr="00102324">
        <w:rPr>
          <w:rFonts w:cs="Segoe UI"/>
          <w:b/>
          <w:bCs/>
          <w:lang w:val="pl"/>
        </w:rPr>
        <w:t>aktywnego zarządzania portfolio</w:t>
      </w:r>
      <w:r w:rsidRPr="7D5A668B">
        <w:rPr>
          <w:rFonts w:cs="Segoe UI"/>
          <w:lang w:val="pl"/>
        </w:rPr>
        <w:t xml:space="preserve"> Henkel </w:t>
      </w:r>
      <w:r w:rsidR="00466E8F">
        <w:rPr>
          <w:rFonts w:cs="Segoe UI"/>
          <w:lang w:val="pl-PL"/>
        </w:rPr>
        <w:t>podejmował</w:t>
      </w:r>
      <w:r w:rsidR="00466E8F" w:rsidRPr="00102324">
        <w:rPr>
          <w:rFonts w:cs="Segoe UI"/>
          <w:lang w:val="pl-PL"/>
        </w:rPr>
        <w:t xml:space="preserve"> decyzje o zakończeniu działalności lub zbyciu aktywów, a także realizując przejęcia</w:t>
      </w:r>
      <w:r w:rsidRPr="7D5A668B">
        <w:rPr>
          <w:rFonts w:cs="Segoe UI"/>
          <w:lang w:val="pl"/>
        </w:rPr>
        <w:t xml:space="preserve">. </w:t>
      </w:r>
      <w:r w:rsidR="00466E8F" w:rsidRPr="00102324">
        <w:rPr>
          <w:rFonts w:cs="Segoe UI"/>
          <w:lang w:val="pl-PL"/>
        </w:rPr>
        <w:t>Sprzedaż działalności związanej z markami detalicznymi w Ameryce Północnej na początku tego roku stanowiła zakończenie realizacji działań związanych z optymalizacją portfolio.</w:t>
      </w:r>
      <w:r w:rsidRPr="7D5A668B">
        <w:rPr>
          <w:rFonts w:cs="Segoe UI"/>
          <w:lang w:val="pl"/>
        </w:rPr>
        <w:t xml:space="preserve">Zostały one ogłoszone wraz z rozpoczęciem procesu łączenia wcześniej oddzielnych działów konsumenckich. Działalność w zakresie marek własnych detalistów została </w:t>
      </w:r>
      <w:r w:rsidR="00466E8F" w:rsidRPr="00466E8F">
        <w:rPr>
          <w:rFonts w:cs="Segoe UI"/>
          <w:lang w:val="pl"/>
        </w:rPr>
        <w:t xml:space="preserve">uznana za działalność niezwiązaną z podstawową działalnością </w:t>
      </w:r>
      <w:r w:rsidRPr="7D5A668B">
        <w:rPr>
          <w:rFonts w:cs="Segoe UI"/>
          <w:lang w:val="pl"/>
        </w:rPr>
        <w:t xml:space="preserve">w ramach sektora Consumer </w:t>
      </w:r>
      <w:proofErr w:type="spellStart"/>
      <w:r w:rsidRPr="7D5A668B">
        <w:rPr>
          <w:rFonts w:cs="Segoe UI"/>
          <w:lang w:val="pl"/>
        </w:rPr>
        <w:t>Brands</w:t>
      </w:r>
      <w:proofErr w:type="spellEnd"/>
      <w:r w:rsidRPr="7D5A668B">
        <w:rPr>
          <w:rFonts w:cs="Segoe UI"/>
          <w:lang w:val="pl"/>
        </w:rPr>
        <w:t xml:space="preserve">, ponieważ potencjał wykorzystania synergii i przyszłe strategiczne dopasowanie do zintegrowanej platformy Consumer </w:t>
      </w:r>
      <w:proofErr w:type="spellStart"/>
      <w:r w:rsidRPr="7D5A668B">
        <w:rPr>
          <w:rFonts w:cs="Segoe UI"/>
          <w:lang w:val="pl"/>
        </w:rPr>
        <w:t>Brands</w:t>
      </w:r>
      <w:proofErr w:type="spellEnd"/>
      <w:r w:rsidRPr="7D5A668B">
        <w:rPr>
          <w:rFonts w:cs="Segoe UI"/>
          <w:lang w:val="pl"/>
        </w:rPr>
        <w:t xml:space="preserve"> są ograniczone. Włączając tę transakcję, Henkel zbył lub zaprzestał działalności marek i aktywów reprezentujących łączną sprzedaż nieco powyżej 1 miliarda euro od początku 2022 roku.</w:t>
      </w:r>
    </w:p>
    <w:p w14:paraId="47DF681A" w14:textId="220D34F5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76977241" w14:textId="53B4BB09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Aktywne zarządzanie portfolio obejmuje również wzmacnianie i rozszerzanie </w:t>
      </w:r>
      <w:r w:rsidR="00185F86" w:rsidRPr="7C5C98B0">
        <w:rPr>
          <w:rFonts w:cs="Segoe UI"/>
          <w:lang w:val="pl"/>
        </w:rPr>
        <w:t xml:space="preserve">oferty </w:t>
      </w:r>
      <w:r w:rsidRPr="7C5C98B0">
        <w:rPr>
          <w:rFonts w:cs="Segoe UI"/>
          <w:lang w:val="pl"/>
        </w:rPr>
        <w:t xml:space="preserve">poprzez </w:t>
      </w:r>
      <w:r w:rsidRPr="00102324">
        <w:rPr>
          <w:rFonts w:cs="Segoe UI"/>
          <w:b/>
          <w:bCs/>
          <w:lang w:val="pl"/>
        </w:rPr>
        <w:t>przejęcia</w:t>
      </w:r>
      <w:r w:rsidRPr="7C5C98B0">
        <w:rPr>
          <w:rFonts w:cs="Segoe UI"/>
          <w:lang w:val="pl"/>
        </w:rPr>
        <w:t xml:space="preserve">: Na początku 2024 roku Henkel przejął znaną markę produktów do pielęgnacji włosów Vidal </w:t>
      </w:r>
      <w:proofErr w:type="spellStart"/>
      <w:r w:rsidRPr="7C5C98B0">
        <w:rPr>
          <w:rFonts w:cs="Segoe UI"/>
          <w:lang w:val="pl"/>
        </w:rPr>
        <w:t>Sassoon</w:t>
      </w:r>
      <w:proofErr w:type="spellEnd"/>
      <w:r w:rsidRPr="7C5C98B0">
        <w:rPr>
          <w:rFonts w:cs="Segoe UI"/>
          <w:lang w:val="pl"/>
        </w:rPr>
        <w:t xml:space="preserve"> w Chinach. To przejęcie doskonale uzupełnia lokalne portfolio Consumer </w:t>
      </w:r>
      <w:proofErr w:type="spellStart"/>
      <w:r w:rsidRPr="7C5C98B0">
        <w:rPr>
          <w:rFonts w:cs="Segoe UI"/>
          <w:lang w:val="pl"/>
        </w:rPr>
        <w:t>Brands</w:t>
      </w:r>
      <w:proofErr w:type="spellEnd"/>
      <w:r w:rsidRPr="7C5C98B0">
        <w:rPr>
          <w:rFonts w:cs="Segoe UI"/>
          <w:lang w:val="pl"/>
        </w:rPr>
        <w:t xml:space="preserve"> w Chinach, obejmując segment </w:t>
      </w:r>
      <w:proofErr w:type="spellStart"/>
      <w:r w:rsidRPr="7C5C98B0">
        <w:rPr>
          <w:rFonts w:cs="Segoe UI"/>
          <w:lang w:val="pl"/>
        </w:rPr>
        <w:t>premium</w:t>
      </w:r>
      <w:proofErr w:type="spellEnd"/>
      <w:r w:rsidRPr="7C5C98B0">
        <w:rPr>
          <w:rFonts w:cs="Segoe UI"/>
          <w:lang w:val="pl"/>
        </w:rPr>
        <w:t xml:space="preserve"> w działalności detalicznej. Portfolio marki Vidal </w:t>
      </w:r>
      <w:proofErr w:type="spellStart"/>
      <w:r w:rsidRPr="7C5C98B0">
        <w:rPr>
          <w:rFonts w:cs="Segoe UI"/>
          <w:lang w:val="pl"/>
        </w:rPr>
        <w:t>Sassoon</w:t>
      </w:r>
      <w:proofErr w:type="spellEnd"/>
      <w:r w:rsidRPr="7C5C98B0">
        <w:rPr>
          <w:rFonts w:cs="Segoe UI"/>
          <w:lang w:val="pl"/>
        </w:rPr>
        <w:t xml:space="preserve"> służy przede wszystkim segmentowi </w:t>
      </w:r>
      <w:proofErr w:type="spellStart"/>
      <w:r w:rsidRPr="7C5C98B0">
        <w:rPr>
          <w:rFonts w:cs="Segoe UI"/>
          <w:lang w:val="pl"/>
        </w:rPr>
        <w:t>premium</w:t>
      </w:r>
      <w:proofErr w:type="spellEnd"/>
      <w:r w:rsidRPr="7C5C98B0">
        <w:rPr>
          <w:rFonts w:cs="Segoe UI"/>
          <w:lang w:val="pl"/>
        </w:rPr>
        <w:t xml:space="preserve"> w kategorii pielęgnacji włosów, oferując szampony i odżywki, ale obejmuje również produkty do stylizacji i pielęgnacji włosów.</w:t>
      </w:r>
    </w:p>
    <w:p w14:paraId="61788739" w14:textId="3F284A83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957799D" w14:textId="6A75B201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Henkel zainwestował również w przejęcia w celu rozszerzenia swojego portfolio w ramach sektora biznesowego </w:t>
      </w:r>
      <w:proofErr w:type="spellStart"/>
      <w:r w:rsidRPr="00102324">
        <w:rPr>
          <w:rFonts w:cs="Segoe UI"/>
          <w:lang w:val="pl"/>
        </w:rPr>
        <w:t>Adhesive</w:t>
      </w:r>
      <w:proofErr w:type="spellEnd"/>
      <w:r w:rsidRPr="00102324">
        <w:rPr>
          <w:rFonts w:cs="Segoe UI"/>
          <w:lang w:val="pl"/>
        </w:rPr>
        <w:t xml:space="preserve"> Technologies</w:t>
      </w:r>
      <w:r w:rsidRPr="00067CC8">
        <w:rPr>
          <w:rFonts w:cs="Segoe UI"/>
          <w:lang w:val="pl"/>
        </w:rPr>
        <w:t>,</w:t>
      </w:r>
      <w:r w:rsidRPr="7C5C98B0">
        <w:rPr>
          <w:rFonts w:cs="Segoe UI"/>
          <w:lang w:val="pl"/>
        </w:rPr>
        <w:t xml:space="preserve"> przejmując amerykańską firmę </w:t>
      </w:r>
      <w:proofErr w:type="spellStart"/>
      <w:r w:rsidRPr="7C5C98B0">
        <w:rPr>
          <w:rFonts w:cs="Segoe UI"/>
          <w:lang w:val="pl"/>
        </w:rPr>
        <w:t>Seal</w:t>
      </w:r>
      <w:proofErr w:type="spellEnd"/>
      <w:r w:rsidRPr="7C5C98B0">
        <w:rPr>
          <w:rFonts w:cs="Segoe UI"/>
          <w:lang w:val="pl"/>
        </w:rPr>
        <w:t xml:space="preserve"> for Life </w:t>
      </w:r>
      <w:proofErr w:type="spellStart"/>
      <w:r w:rsidRPr="7C5C98B0">
        <w:rPr>
          <w:rFonts w:cs="Segoe UI"/>
          <w:lang w:val="pl"/>
        </w:rPr>
        <w:t>Industries</w:t>
      </w:r>
      <w:proofErr w:type="spellEnd"/>
      <w:r w:rsidRPr="7C5C98B0">
        <w:rPr>
          <w:rFonts w:cs="Segoe UI"/>
          <w:lang w:val="pl"/>
        </w:rPr>
        <w:t xml:space="preserve">. Firma ta dostarcza powłoki ochronne i rozwiązania uszczelniające dla infrastruktury w branżach takich jak energia odnawialna, gaz i woda. To przejęcie uzupełnia zakup </w:t>
      </w:r>
      <w:proofErr w:type="spellStart"/>
      <w:r w:rsidRPr="7C5C98B0">
        <w:rPr>
          <w:rFonts w:cs="Segoe UI"/>
          <w:lang w:val="pl"/>
        </w:rPr>
        <w:t>Critica</w:t>
      </w:r>
      <w:proofErr w:type="spellEnd"/>
      <w:r w:rsidRPr="7C5C98B0">
        <w:rPr>
          <w:rFonts w:cs="Segoe UI"/>
          <w:lang w:val="pl"/>
        </w:rPr>
        <w:t xml:space="preserve"> </w:t>
      </w:r>
      <w:proofErr w:type="spellStart"/>
      <w:r w:rsidRPr="7C5C98B0">
        <w:rPr>
          <w:rFonts w:cs="Segoe UI"/>
          <w:lang w:val="pl"/>
        </w:rPr>
        <w:lastRenderedPageBreak/>
        <w:t>Infrastructure</w:t>
      </w:r>
      <w:proofErr w:type="spellEnd"/>
      <w:r w:rsidRPr="7C5C98B0">
        <w:rPr>
          <w:rFonts w:cs="Segoe UI"/>
          <w:lang w:val="pl"/>
        </w:rPr>
        <w:t xml:space="preserve"> z 2023 roku, firmy również specjalizującej się w konserwacji i naprawach infrastruktury. Dzięki tym przejęciom rozszerzyliśmy nasze dotychczasowe portfolio w atrakcyjnym i perspektywicznym segmencie konserwacji, napraw i remontów, tworząc platformę do dalszego wzrostu.</w:t>
      </w:r>
    </w:p>
    <w:p w14:paraId="53B07C0D" w14:textId="6452D70C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4770CE1C" w14:textId="28FA0692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W 2024 roku Henkel wprowadził na rynek liczne </w:t>
      </w:r>
      <w:r w:rsidRPr="00102324">
        <w:rPr>
          <w:rFonts w:cs="Segoe UI"/>
          <w:b/>
          <w:bCs/>
          <w:lang w:val="pl"/>
        </w:rPr>
        <w:t>innowacje</w:t>
      </w:r>
      <w:r w:rsidRPr="7C5C98B0">
        <w:rPr>
          <w:rFonts w:cs="Segoe UI"/>
          <w:lang w:val="pl"/>
        </w:rPr>
        <w:t xml:space="preserve">, odpowiadając na ważne trendy i tworząc wartość dla klientów i konsumentów. W sektorze </w:t>
      </w:r>
      <w:proofErr w:type="spellStart"/>
      <w:r w:rsidRPr="7C5C98B0">
        <w:rPr>
          <w:rFonts w:cs="Segoe UI"/>
          <w:b/>
          <w:bCs/>
          <w:lang w:val="pl"/>
        </w:rPr>
        <w:t>Adhesive</w:t>
      </w:r>
      <w:proofErr w:type="spellEnd"/>
      <w:r w:rsidRPr="7C5C98B0">
        <w:rPr>
          <w:rFonts w:cs="Segoe UI"/>
          <w:b/>
          <w:bCs/>
          <w:lang w:val="pl"/>
        </w:rPr>
        <w:t xml:space="preserve"> Technologies</w:t>
      </w:r>
      <w:r w:rsidRPr="7C5C98B0">
        <w:rPr>
          <w:rFonts w:cs="Segoe UI"/>
          <w:lang w:val="pl"/>
        </w:rPr>
        <w:t xml:space="preserve"> w ubiegłym roku otwarto nowoczesne centrum testowania baterii w siedzibie głównej, bezpośrednio połączone z największym globalnym centrum innowacji tego sektora, </w:t>
      </w:r>
      <w:proofErr w:type="spellStart"/>
      <w:r w:rsidRPr="7C5C98B0">
        <w:rPr>
          <w:rFonts w:cs="Segoe UI"/>
          <w:lang w:val="pl"/>
        </w:rPr>
        <w:t>Inspiration</w:t>
      </w:r>
      <w:proofErr w:type="spellEnd"/>
      <w:r w:rsidRPr="7C5C98B0">
        <w:rPr>
          <w:rFonts w:cs="Segoe UI"/>
          <w:lang w:val="pl"/>
        </w:rPr>
        <w:t xml:space="preserve"> Center </w:t>
      </w:r>
      <w:proofErr w:type="spellStart"/>
      <w:r w:rsidRPr="7C5C98B0">
        <w:rPr>
          <w:rFonts w:cs="Segoe UI"/>
          <w:lang w:val="pl"/>
        </w:rPr>
        <w:t>Düsseldorf</w:t>
      </w:r>
      <w:proofErr w:type="spellEnd"/>
      <w:r w:rsidRPr="7C5C98B0">
        <w:rPr>
          <w:rFonts w:cs="Segoe UI"/>
          <w:lang w:val="pl"/>
        </w:rPr>
        <w:t>. Dzięki temu nowemu centrum testowemu Henkel znacząco rozszerza swoje możliwości w segmencie e-mobilności i wzmacnia swoją pozycję jako wiodący partner rozwojowy i innowacyjny dla producentów samochodów i baterii.</w:t>
      </w:r>
    </w:p>
    <w:p w14:paraId="71293008" w14:textId="2513CCB1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3A02C38A" w14:textId="477CFF1A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Przykładem </w:t>
      </w:r>
      <w:r w:rsidRPr="00102324">
        <w:rPr>
          <w:rFonts w:cs="Segoe UI"/>
          <w:lang w:val="pl"/>
        </w:rPr>
        <w:t xml:space="preserve">innowacji </w:t>
      </w:r>
      <w:r w:rsidRPr="7C5C98B0">
        <w:rPr>
          <w:rFonts w:cs="Segoe UI"/>
          <w:lang w:val="pl"/>
        </w:rPr>
        <w:t xml:space="preserve">w sektorze </w:t>
      </w:r>
      <w:r w:rsidRPr="00102324">
        <w:rPr>
          <w:rFonts w:cs="Segoe UI"/>
          <w:lang w:val="pl"/>
        </w:rPr>
        <w:t xml:space="preserve">Consumer </w:t>
      </w:r>
      <w:proofErr w:type="spellStart"/>
      <w:r w:rsidRPr="00102324">
        <w:rPr>
          <w:rFonts w:cs="Segoe UI"/>
          <w:lang w:val="pl"/>
        </w:rPr>
        <w:t>Brands</w:t>
      </w:r>
      <w:proofErr w:type="spellEnd"/>
      <w:r w:rsidRPr="00067CC8">
        <w:rPr>
          <w:rFonts w:cs="Segoe UI"/>
          <w:lang w:val="pl"/>
        </w:rPr>
        <w:t xml:space="preserve"> </w:t>
      </w:r>
      <w:r w:rsidRPr="7C5C98B0">
        <w:rPr>
          <w:rFonts w:cs="Segoe UI"/>
          <w:lang w:val="pl"/>
        </w:rPr>
        <w:t xml:space="preserve">jest nowo opracowana technologia enzymatyczna dla marki </w:t>
      </w:r>
      <w:proofErr w:type="spellStart"/>
      <w:r w:rsidRPr="7C5C98B0">
        <w:rPr>
          <w:rFonts w:cs="Segoe UI"/>
          <w:lang w:val="pl"/>
        </w:rPr>
        <w:t>Perwoll</w:t>
      </w:r>
      <w:proofErr w:type="spellEnd"/>
      <w:r w:rsidRPr="7C5C98B0">
        <w:rPr>
          <w:rFonts w:cs="Segoe UI"/>
          <w:lang w:val="pl"/>
        </w:rPr>
        <w:t>, która nie tylko dba o tkaniny, ale także pomaga zachować kolory odzieży. Efekt odnowy włókien jest widoczny już po dziesięciu praniach, co sprzyja trwałości tekstyliów.</w:t>
      </w:r>
    </w:p>
    <w:p w14:paraId="52EA4087" w14:textId="5249AB6D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40371623" w14:textId="687B10C9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Ponadto Henkel jeszcze mocniej </w:t>
      </w:r>
      <w:r w:rsidR="00067CC8" w:rsidRPr="7C5C98B0">
        <w:rPr>
          <w:rFonts w:cs="Segoe UI"/>
          <w:lang w:val="pl"/>
        </w:rPr>
        <w:t>zak</w:t>
      </w:r>
      <w:r w:rsidR="00067CC8">
        <w:rPr>
          <w:rFonts w:cs="Segoe UI"/>
          <w:lang w:val="pl"/>
        </w:rPr>
        <w:t>orzenił</w:t>
      </w:r>
      <w:r w:rsidR="00067CC8" w:rsidRPr="7C5C98B0">
        <w:rPr>
          <w:rFonts w:cs="Segoe UI"/>
          <w:lang w:val="pl"/>
        </w:rPr>
        <w:t xml:space="preserve"> </w:t>
      </w:r>
      <w:r w:rsidRPr="00102324">
        <w:rPr>
          <w:rFonts w:cs="Segoe UI"/>
          <w:b/>
          <w:bCs/>
          <w:lang w:val="pl"/>
        </w:rPr>
        <w:t>zrównoważony rozwój</w:t>
      </w:r>
      <w:r w:rsidRPr="7C5C98B0">
        <w:rPr>
          <w:rFonts w:cs="Segoe UI"/>
          <w:lang w:val="pl"/>
        </w:rPr>
        <w:t xml:space="preserve"> w działalności i zintensyfikował swoje zaangażowanie w tym obszarze. W tym celu Henkel opracował mapę drogową do osiągnięcia neutralności klimatycznej, która obejmuje rozszerzone cele redukcji emisji w całym łańcuchu wartości. Firma dąży do wniesienia wiążącego wkładu w ograniczenie globalnego ocieplenia do 1,5°C, zgodnie </w:t>
      </w:r>
      <w:r w:rsidR="00067CC8" w:rsidRPr="00067CC8">
        <w:rPr>
          <w:rFonts w:cs="Segoe UI"/>
          <w:lang w:val="pl"/>
        </w:rPr>
        <w:t xml:space="preserve">z ustaleniami </w:t>
      </w:r>
      <w:r w:rsidR="00067CC8">
        <w:rPr>
          <w:rFonts w:cs="Segoe UI"/>
          <w:lang w:val="pl"/>
        </w:rPr>
        <w:t>P</w:t>
      </w:r>
      <w:r w:rsidR="00067CC8" w:rsidRPr="00067CC8">
        <w:rPr>
          <w:rFonts w:cs="Segoe UI"/>
          <w:lang w:val="pl"/>
        </w:rPr>
        <w:t xml:space="preserve">aryskiego </w:t>
      </w:r>
      <w:r w:rsidR="00067CC8">
        <w:rPr>
          <w:rFonts w:cs="Segoe UI"/>
          <w:lang w:val="pl"/>
        </w:rPr>
        <w:t>P</w:t>
      </w:r>
      <w:r w:rsidR="00067CC8" w:rsidRPr="00067CC8">
        <w:rPr>
          <w:rFonts w:cs="Segoe UI"/>
          <w:lang w:val="pl"/>
        </w:rPr>
        <w:t xml:space="preserve">orozumienia </w:t>
      </w:r>
      <w:r w:rsidR="00067CC8">
        <w:rPr>
          <w:rFonts w:cs="Segoe UI"/>
          <w:lang w:val="pl"/>
        </w:rPr>
        <w:t>K</w:t>
      </w:r>
      <w:r w:rsidR="00067CC8" w:rsidRPr="00067CC8">
        <w:rPr>
          <w:rFonts w:cs="Segoe UI"/>
          <w:lang w:val="pl"/>
        </w:rPr>
        <w:t>limatycznego</w:t>
      </w:r>
      <w:r w:rsidRPr="7C5C98B0">
        <w:rPr>
          <w:rFonts w:cs="Segoe UI"/>
          <w:lang w:val="pl"/>
        </w:rPr>
        <w:t xml:space="preserve">. </w:t>
      </w:r>
      <w:r w:rsidR="00442FC6" w:rsidRPr="7C5C98B0">
        <w:rPr>
          <w:rFonts w:cs="Segoe UI"/>
          <w:lang w:val="pl"/>
        </w:rPr>
        <w:t>Plan działania</w:t>
      </w:r>
      <w:r w:rsidRPr="7C5C98B0">
        <w:rPr>
          <w:rFonts w:cs="Segoe UI"/>
          <w:lang w:val="pl"/>
        </w:rPr>
        <w:t xml:space="preserve"> Henkla, któr</w:t>
      </w:r>
      <w:r w:rsidR="00442FC6" w:rsidRPr="7C5C98B0">
        <w:rPr>
          <w:rFonts w:cs="Segoe UI"/>
          <w:lang w:val="pl"/>
        </w:rPr>
        <w:t>y</w:t>
      </w:r>
      <w:r w:rsidRPr="7C5C98B0">
        <w:rPr>
          <w:rFonts w:cs="Segoe UI"/>
          <w:lang w:val="pl"/>
        </w:rPr>
        <w:t xml:space="preserve"> został również </w:t>
      </w:r>
      <w:proofErr w:type="spellStart"/>
      <w:r w:rsidRPr="7C5C98B0">
        <w:rPr>
          <w:rFonts w:cs="Segoe UI"/>
          <w:lang w:val="pl"/>
        </w:rPr>
        <w:t>zwalidowan</w:t>
      </w:r>
      <w:r w:rsidR="00442FC6" w:rsidRPr="7C5C98B0">
        <w:rPr>
          <w:rFonts w:cs="Segoe UI"/>
          <w:lang w:val="pl"/>
        </w:rPr>
        <w:t>y</w:t>
      </w:r>
      <w:proofErr w:type="spellEnd"/>
      <w:r w:rsidRPr="7C5C98B0">
        <w:rPr>
          <w:rFonts w:cs="Segoe UI"/>
          <w:lang w:val="pl"/>
        </w:rPr>
        <w:t xml:space="preserve"> przez inicjatywę Science </w:t>
      </w:r>
      <w:proofErr w:type="spellStart"/>
      <w:r w:rsidRPr="7C5C98B0">
        <w:rPr>
          <w:rFonts w:cs="Segoe UI"/>
          <w:lang w:val="pl"/>
        </w:rPr>
        <w:t>Based</w:t>
      </w:r>
      <w:proofErr w:type="spellEnd"/>
      <w:r w:rsidRPr="7C5C98B0">
        <w:rPr>
          <w:rFonts w:cs="Segoe UI"/>
          <w:lang w:val="pl"/>
        </w:rPr>
        <w:t xml:space="preserve"> </w:t>
      </w:r>
      <w:proofErr w:type="spellStart"/>
      <w:r w:rsidRPr="7C5C98B0">
        <w:rPr>
          <w:rFonts w:cs="Segoe UI"/>
          <w:lang w:val="pl"/>
        </w:rPr>
        <w:t>Targets</w:t>
      </w:r>
      <w:proofErr w:type="spellEnd"/>
      <w:r w:rsidRPr="7C5C98B0">
        <w:rPr>
          <w:rFonts w:cs="Segoe UI"/>
          <w:lang w:val="pl"/>
        </w:rPr>
        <w:t xml:space="preserve">, określa działania firmy zmierzające do osiągnięcia zerowej emisji gazów cieplarnianych netto do 2045 roku. Obejmuje </w:t>
      </w:r>
      <w:r w:rsidR="00067CC8">
        <w:rPr>
          <w:rFonts w:cs="Segoe UI"/>
          <w:lang w:val="pl"/>
        </w:rPr>
        <w:t>on</w:t>
      </w:r>
      <w:r w:rsidR="00067CC8" w:rsidRPr="7C5C98B0">
        <w:rPr>
          <w:rFonts w:cs="Segoe UI"/>
          <w:lang w:val="pl"/>
        </w:rPr>
        <w:t xml:space="preserve"> </w:t>
      </w:r>
      <w:r w:rsidRPr="7C5C98B0">
        <w:rPr>
          <w:rFonts w:cs="Segoe UI"/>
          <w:lang w:val="pl"/>
        </w:rPr>
        <w:t xml:space="preserve">szeroki zakres działań w całym łańcuchu wartości. Ponadto Henkel stał się pierwszą spółką notowaną w indeksie DAX, która wprowadziła neutralny płciowo urlop rodzicielski na całym świecie – z </w:t>
      </w:r>
      <w:proofErr w:type="spellStart"/>
      <w:r w:rsidRPr="7C5C98B0">
        <w:rPr>
          <w:rFonts w:cs="Segoe UI"/>
          <w:lang w:val="pl"/>
        </w:rPr>
        <w:t>pełn</w:t>
      </w:r>
      <w:r w:rsidR="00067CC8">
        <w:rPr>
          <w:rFonts w:cs="Segoe UI"/>
          <w:lang w:val="pl"/>
        </w:rPr>
        <w:t>ym</w:t>
      </w:r>
      <w:r w:rsidR="00067CC8" w:rsidRPr="7C5C98B0">
        <w:rPr>
          <w:rFonts w:cs="Segoe UI"/>
          <w:lang w:val="pl"/>
        </w:rPr>
        <w:t>wynagrodzeni</w:t>
      </w:r>
      <w:r w:rsidR="00067CC8">
        <w:rPr>
          <w:rFonts w:cs="Segoe UI"/>
          <w:lang w:val="pl"/>
        </w:rPr>
        <w:t>em</w:t>
      </w:r>
      <w:proofErr w:type="spellEnd"/>
      <w:r w:rsidRPr="7C5C98B0">
        <w:rPr>
          <w:rFonts w:cs="Segoe UI"/>
          <w:lang w:val="pl"/>
        </w:rPr>
        <w:t>. Ten krok spotkał się z bardzo pozytywnymi reakcjami zarówno pracowników, jak i opinii publicznej.</w:t>
      </w:r>
    </w:p>
    <w:p w14:paraId="0D9E909E" w14:textId="73308F26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74DF556A" w14:textId="543FDCB7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Henkel poczynił również dalsze postępy w obszarze </w:t>
      </w:r>
      <w:r w:rsidRPr="00102324">
        <w:rPr>
          <w:rFonts w:cs="Segoe UI"/>
          <w:b/>
          <w:bCs/>
          <w:lang w:val="pl"/>
        </w:rPr>
        <w:t>cyfryzacji</w:t>
      </w:r>
      <w:r w:rsidRPr="7D5A668B">
        <w:rPr>
          <w:rFonts w:cs="Segoe UI"/>
          <w:lang w:val="pl"/>
        </w:rPr>
        <w:t xml:space="preserve">. W 2024 roku kluczowym tematem był szybki rozwój Sztucznej Inteligencji (AI). W Henklu AI jest integralną częścią strategii cyfrowej od kilku lat. AI jest wykorzystywana między innymi w automatyzacji procesów, w laboratorium rozwoju klejów, w wirtualnie połączonych globalnych zakładach produkcyjnych, w autonomicznych robotach w zakładach produkcyjnych oraz w </w:t>
      </w:r>
      <w:proofErr w:type="spellStart"/>
      <w:r w:rsidRPr="7D5A668B">
        <w:rPr>
          <w:rFonts w:cs="Segoe UI"/>
          <w:lang w:val="pl"/>
        </w:rPr>
        <w:t>chatbotach</w:t>
      </w:r>
      <w:proofErr w:type="spellEnd"/>
      <w:r w:rsidRPr="7D5A668B">
        <w:rPr>
          <w:rFonts w:cs="Segoe UI"/>
          <w:lang w:val="pl"/>
        </w:rPr>
        <w:t xml:space="preserve"> na stronach internetowych marek Henkel. W 2024 roku jednostka cyfrowa Henkel dx dodatkowo zoptymalizowała swoje struktury wewnętrzne, wzmocniła kompetencje cyfrowe i wspierała kulturę otwartych innowacji. Ponadto Henkel korzysta ze strategicznych partnerstw z </w:t>
      </w:r>
      <w:r w:rsidRPr="7D5A668B">
        <w:rPr>
          <w:rFonts w:cs="Segoe UI"/>
          <w:lang w:val="pl"/>
        </w:rPr>
        <w:lastRenderedPageBreak/>
        <w:t xml:space="preserve">wiodącymi globalnymi firmami cyfrowymi, takimi jak SAP, Microsoft i Adobe. Współpraca ta umożliwia </w:t>
      </w:r>
      <w:r w:rsidR="00067CC8">
        <w:rPr>
          <w:rFonts w:cs="Segoe UI"/>
          <w:lang w:val="pl"/>
        </w:rPr>
        <w:t>firmie Henkel</w:t>
      </w:r>
      <w:r w:rsidR="00067CC8" w:rsidRPr="7D5A668B">
        <w:rPr>
          <w:rFonts w:cs="Segoe UI"/>
          <w:lang w:val="pl"/>
        </w:rPr>
        <w:t xml:space="preserve"> </w:t>
      </w:r>
      <w:r w:rsidRPr="7D5A668B">
        <w:rPr>
          <w:rFonts w:cs="Segoe UI"/>
          <w:lang w:val="pl"/>
        </w:rPr>
        <w:t xml:space="preserve">integrację najnowocześniejszych technologii w ramach swoich platform i projektów cyfrowych. Poprzez przyspieszenie innowacji cyfrowych, dopracowanie strategii platformowej i wzmocnienie współpracy </w:t>
      </w:r>
      <w:proofErr w:type="spellStart"/>
      <w:r w:rsidRPr="7D5A668B">
        <w:rPr>
          <w:rFonts w:cs="Segoe UI"/>
          <w:lang w:val="pl"/>
        </w:rPr>
        <w:t>międzyfunkcyjnej</w:t>
      </w:r>
      <w:proofErr w:type="spellEnd"/>
      <w:r w:rsidRPr="7D5A668B">
        <w:rPr>
          <w:rFonts w:cs="Segoe UI"/>
          <w:lang w:val="pl"/>
        </w:rPr>
        <w:t xml:space="preserve"> we wszystkich jednostkach biznesowych i funkcjach, Henkel znacząco poprawił efektywność IT.</w:t>
      </w:r>
    </w:p>
    <w:p w14:paraId="4BDC8F9B" w14:textId="29AB3F8A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62DD39C3" w14:textId="623B4AA2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W ramach długoterminowej strategii wzrostu Henkel stale dostosowuje swoje jednostki biznesowe do wymagań dynamicznych rynków i zmieniających się oczekiwań klientów, aby osiągnąć długoterminowy sukces </w:t>
      </w:r>
      <w:r w:rsidR="00067CC8" w:rsidRPr="00067CC8">
        <w:rPr>
          <w:rFonts w:cs="Segoe UI"/>
          <w:lang w:val="pl"/>
        </w:rPr>
        <w:t xml:space="preserve">dzięki </w:t>
      </w:r>
      <w:r w:rsidR="00067CC8" w:rsidRPr="00102324">
        <w:rPr>
          <w:rFonts w:cs="Segoe UI"/>
          <w:b/>
          <w:bCs/>
          <w:lang w:val="pl"/>
        </w:rPr>
        <w:t>gotowym na przyszłość modelom operacyjnym</w:t>
      </w:r>
      <w:r w:rsidRPr="7D5A668B">
        <w:rPr>
          <w:rFonts w:cs="Segoe UI"/>
          <w:lang w:val="pl"/>
        </w:rPr>
        <w:t>. Obejmuje to również ciągłe doskonalenie procesów biznesowych w całej firmie.</w:t>
      </w:r>
    </w:p>
    <w:p w14:paraId="71CA8A81" w14:textId="739A91F9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18552A59" w14:textId="4C074EA9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Przykładem jest utworzenie globalnego centrum technologicznego w </w:t>
      </w:r>
      <w:proofErr w:type="spellStart"/>
      <w:r w:rsidRPr="7D5A668B">
        <w:rPr>
          <w:rFonts w:cs="Segoe UI"/>
          <w:lang w:val="pl"/>
        </w:rPr>
        <w:t>Bangalore</w:t>
      </w:r>
      <w:proofErr w:type="spellEnd"/>
      <w:r w:rsidRPr="7D5A668B">
        <w:rPr>
          <w:rFonts w:cs="Segoe UI"/>
          <w:lang w:val="pl"/>
        </w:rPr>
        <w:t xml:space="preserve"> w Indiach, gdzie już ponad 500 ekspertów IT pracuje nad stworzeniem w pełni zintegrowanego wewnętrznego centrum cyfrowego. Dzięki temu Henkel zwiększa efektywność kosztową i rozwija wewnętrzne kompetencje. W kolejnych latach planowana jest dalsza rozbudowa centrum technologicznego. Henkel skonsolidował również swoją działalność venture pod jednym dachem. W związku z migracją do S/4Hana w latach 2025-2028, Henkel oceni również, jak uczynić swoje </w:t>
      </w:r>
      <w:proofErr w:type="spellStart"/>
      <w:r w:rsidRPr="7D5A668B">
        <w:rPr>
          <w:rFonts w:cs="Segoe UI"/>
          <w:lang w:val="pl"/>
        </w:rPr>
        <w:t>struktury</w:t>
      </w:r>
      <w:r w:rsidR="00067CC8">
        <w:rPr>
          <w:rFonts w:cs="Segoe UI"/>
          <w:lang w:val="pl"/>
        </w:rPr>
        <w:t>,</w:t>
      </w:r>
      <w:r w:rsidRPr="7D5A668B">
        <w:rPr>
          <w:rFonts w:cs="Segoe UI"/>
          <w:lang w:val="pl"/>
        </w:rPr>
        <w:t>procesy</w:t>
      </w:r>
      <w:proofErr w:type="spellEnd"/>
      <w:r w:rsidRPr="7D5A668B">
        <w:rPr>
          <w:rFonts w:cs="Segoe UI"/>
          <w:lang w:val="pl"/>
        </w:rPr>
        <w:t xml:space="preserve"> bardziej zwinnymi i elastycznymi. W tym kontekście rozważane jest na przykład utworzenie oddzielnych podmiotów prawnych dla dwóch istniejących jednostek biznesowych, począwszy od Niemiec, a następnie stopniowo – tam, gdzie ma to zastosowanie – w wybranych dużych krajach. Strategiczne i operacyjne zarządzanie Grupą i jej jednostkami biznesowymi pozostanie niezmienione. Ma to wspierać zarówno przyszłe potrzeby biznesowe, jak i </w:t>
      </w:r>
      <w:r w:rsidR="00067CC8">
        <w:rPr>
          <w:rFonts w:cs="Segoe UI"/>
          <w:lang w:val="pl"/>
        </w:rPr>
        <w:t>Strategie Ukierunkowanego</w:t>
      </w:r>
      <w:r w:rsidR="00067CC8" w:rsidRPr="7D5A668B">
        <w:rPr>
          <w:rFonts w:cs="Segoe UI"/>
          <w:lang w:val="pl"/>
        </w:rPr>
        <w:t xml:space="preserve"> </w:t>
      </w:r>
      <w:r w:rsidR="00067CC8">
        <w:rPr>
          <w:rFonts w:cs="Segoe UI"/>
          <w:lang w:val="pl"/>
        </w:rPr>
        <w:t>W</w:t>
      </w:r>
      <w:r w:rsidRPr="7D5A668B">
        <w:rPr>
          <w:rFonts w:cs="Segoe UI"/>
          <w:lang w:val="pl"/>
        </w:rPr>
        <w:t>zrostu Henkla.</w:t>
      </w:r>
    </w:p>
    <w:p w14:paraId="76122B17" w14:textId="685558B2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7EDB581E" w14:textId="542CB0E8" w:rsidR="13E06C38" w:rsidRPr="00A36941" w:rsidRDefault="13E06C38" w:rsidP="7D5A668B">
      <w:pPr>
        <w:rPr>
          <w:lang w:val="pl-PL"/>
        </w:rPr>
      </w:pPr>
      <w:r w:rsidRPr="7C5C98B0">
        <w:rPr>
          <w:rFonts w:cs="Segoe UI"/>
          <w:lang w:val="pl"/>
        </w:rPr>
        <w:t xml:space="preserve">Henkel wzmocnił również </w:t>
      </w:r>
      <w:r w:rsidRPr="00102324">
        <w:rPr>
          <w:rFonts w:cs="Segoe UI"/>
          <w:b/>
          <w:bCs/>
          <w:lang w:val="pl"/>
        </w:rPr>
        <w:t>kulturę firmy</w:t>
      </w:r>
      <w:r w:rsidRPr="7C5C98B0">
        <w:rPr>
          <w:rFonts w:cs="Segoe UI"/>
          <w:lang w:val="pl"/>
        </w:rPr>
        <w:t xml:space="preserve"> w minionym roku. Inicjatywa </w:t>
      </w:r>
      <w:r w:rsidR="00067CC8">
        <w:rPr>
          <w:rFonts w:cs="Segoe UI"/>
          <w:lang w:val="pl"/>
        </w:rPr>
        <w:t xml:space="preserve">przyspieszająca transformację kulturową - </w:t>
      </w:r>
      <w:proofErr w:type="spellStart"/>
      <w:r w:rsidRPr="7C5C98B0">
        <w:rPr>
          <w:rFonts w:cs="Segoe UI"/>
          <w:lang w:val="pl"/>
        </w:rPr>
        <w:t>Accelerate</w:t>
      </w:r>
      <w:proofErr w:type="spellEnd"/>
      <w:r w:rsidRPr="7C5C98B0">
        <w:rPr>
          <w:rFonts w:cs="Segoe UI"/>
          <w:lang w:val="pl"/>
        </w:rPr>
        <w:t xml:space="preserve"> </w:t>
      </w:r>
      <w:proofErr w:type="spellStart"/>
      <w:r w:rsidRPr="7C5C98B0">
        <w:rPr>
          <w:rFonts w:cs="Segoe UI"/>
          <w:lang w:val="pl"/>
        </w:rPr>
        <w:t>Cultural</w:t>
      </w:r>
      <w:proofErr w:type="spellEnd"/>
      <w:r w:rsidRPr="7C5C98B0">
        <w:rPr>
          <w:rFonts w:cs="Segoe UI"/>
          <w:lang w:val="pl"/>
        </w:rPr>
        <w:t xml:space="preserve"> </w:t>
      </w:r>
      <w:proofErr w:type="spellStart"/>
      <w:r w:rsidRPr="7C5C98B0">
        <w:rPr>
          <w:rFonts w:cs="Segoe UI"/>
          <w:lang w:val="pl"/>
        </w:rPr>
        <w:t>Transformation</w:t>
      </w:r>
      <w:proofErr w:type="spellEnd"/>
      <w:r w:rsidRPr="7C5C98B0">
        <w:rPr>
          <w:rFonts w:cs="Segoe UI"/>
          <w:lang w:val="pl"/>
        </w:rPr>
        <w:t xml:space="preserve"> (ACT), która została uruchomiona w 2023 roku, była z powodzeniem kontynuowana w organizacji</w:t>
      </w:r>
      <w:r w:rsidR="001A591E" w:rsidRPr="7C5C98B0">
        <w:rPr>
          <w:rFonts w:cs="Segoe UI"/>
          <w:lang w:val="pl"/>
        </w:rPr>
        <w:t xml:space="preserve"> na poziomie globalnym</w:t>
      </w:r>
      <w:r w:rsidRPr="7C5C98B0">
        <w:rPr>
          <w:rFonts w:cs="Segoe UI"/>
          <w:lang w:val="pl"/>
        </w:rPr>
        <w:t xml:space="preserve">. Inicjatywa ta promuje głębszy dialog i silniejsze </w:t>
      </w:r>
      <w:r w:rsidR="00824C3B" w:rsidRPr="7C5C98B0">
        <w:rPr>
          <w:rFonts w:cs="Segoe UI"/>
          <w:lang w:val="pl"/>
        </w:rPr>
        <w:t xml:space="preserve">więzi </w:t>
      </w:r>
      <w:r w:rsidRPr="7C5C98B0">
        <w:rPr>
          <w:rFonts w:cs="Segoe UI"/>
          <w:lang w:val="pl"/>
        </w:rPr>
        <w:t>w zespołach. W ubiegłym roku inicjatywa ACT koncentrowała się na dawaniu i otwartym podejściu do konstruktywnej informacji zwrotnej. Kultura współpracy jest ściśle związana z promowaniem różnorodności, równości i integracji.</w:t>
      </w:r>
    </w:p>
    <w:p w14:paraId="2CB2210E" w14:textId="6FFD0548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30160817" w14:textId="6CC056D4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Aby dalej zwiększać różnorodność, Henkel realizuje strategię opartą na trzech filarach: Po pierwsze, podnoszenie świadomości poprzez różne formaty, takie jak kampanie i wydarzenia. Po drugie, wzmacnianie </w:t>
      </w:r>
      <w:proofErr w:type="spellStart"/>
      <w:r w:rsidRPr="7D5A668B">
        <w:rPr>
          <w:rFonts w:cs="Segoe UI"/>
          <w:lang w:val="pl"/>
        </w:rPr>
        <w:t>zachowań</w:t>
      </w:r>
      <w:proofErr w:type="spellEnd"/>
      <w:r w:rsidRPr="7D5A668B">
        <w:rPr>
          <w:rFonts w:cs="Segoe UI"/>
          <w:lang w:val="pl"/>
        </w:rPr>
        <w:t xml:space="preserve"> integracyjnych poprzez programy szkoleniowe dla liderów i pracowników. Po trzecie, ciągłe doskonalenie warunków strukturalnych, takich jak oferowanie programów wspierających równowagę między życiem zawodowym a prywatnym oraz eliminowanie barier strukturalnych.</w:t>
      </w:r>
    </w:p>
    <w:p w14:paraId="2A9486DD" w14:textId="3E826233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lastRenderedPageBreak/>
        <w:t xml:space="preserve"> </w:t>
      </w:r>
    </w:p>
    <w:p w14:paraId="2EC08003" w14:textId="1BEC00A9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>Jedną z ambicji Henkla jest osiągnięcie parytetu płci na wszystkich szczeblach zarządzania do końca 2025 roku. Obecnie około 42 procent stanowisk kierowniczych w Henklu na całym świecie zajmują kobiety.</w:t>
      </w:r>
    </w:p>
    <w:p w14:paraId="5C6C7853" w14:textId="074D3B70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68F76636" w14:textId="5C2AF6D7" w:rsidR="13E06C38" w:rsidRPr="00DF5296" w:rsidRDefault="00D57E39" w:rsidP="7D5A668B">
      <w:pPr>
        <w:rPr>
          <w:b/>
          <w:bCs/>
          <w:lang w:val="pl-PL"/>
        </w:rPr>
      </w:pPr>
      <w:r w:rsidRPr="00DF5296">
        <w:rPr>
          <w:rFonts w:cs="Segoe UI"/>
          <w:b/>
          <w:bCs/>
          <w:i/>
          <w:iCs/>
          <w:lang w:val="pl"/>
        </w:rPr>
        <w:t>–</w:t>
      </w:r>
      <w:r w:rsidR="00D82CDE" w:rsidRPr="00DF5296">
        <w:rPr>
          <w:rFonts w:cs="Segoe UI"/>
          <w:b/>
          <w:bCs/>
          <w:i/>
          <w:iCs/>
          <w:lang w:val="pl"/>
        </w:rPr>
        <w:t xml:space="preserve"> </w:t>
      </w:r>
      <w:r w:rsidR="13E06C38" w:rsidRPr="00DF5296">
        <w:rPr>
          <w:rFonts w:cs="Segoe UI"/>
          <w:b/>
          <w:bCs/>
          <w:i/>
          <w:iCs/>
          <w:lang w:val="pl"/>
        </w:rPr>
        <w:t xml:space="preserve">Rok obrotowy 2024 był bardzo udanym i ważnym rokiem dla Henkla. Osiągnęliśmy nasze cele finansowe, które dwukrotnie podnosiliśmy w ciągu roku. Konsekwentnie realizowaliśmy naszą </w:t>
      </w:r>
      <w:r w:rsidR="00D82CDE" w:rsidRPr="00DF5296">
        <w:rPr>
          <w:rFonts w:cs="Segoe UI"/>
          <w:b/>
          <w:bCs/>
          <w:i/>
          <w:iCs/>
          <w:lang w:val="pl"/>
        </w:rPr>
        <w:t>S</w:t>
      </w:r>
      <w:r w:rsidR="00D82CDE" w:rsidRPr="00DF5296">
        <w:rPr>
          <w:rFonts w:cs="Segoe UI"/>
          <w:b/>
          <w:bCs/>
          <w:i/>
          <w:iCs/>
          <w:lang w:val="pl"/>
        </w:rPr>
        <w:t xml:space="preserve">trategię </w:t>
      </w:r>
      <w:r w:rsidR="00D82CDE" w:rsidRPr="00DF5296">
        <w:rPr>
          <w:rFonts w:cs="Segoe UI"/>
          <w:b/>
          <w:bCs/>
          <w:i/>
          <w:iCs/>
          <w:lang w:val="pl"/>
        </w:rPr>
        <w:t>U</w:t>
      </w:r>
      <w:r w:rsidR="00D82CDE" w:rsidRPr="00DF5296">
        <w:rPr>
          <w:rFonts w:cs="Segoe UI"/>
          <w:b/>
          <w:bCs/>
          <w:i/>
          <w:iCs/>
          <w:lang w:val="pl"/>
        </w:rPr>
        <w:t xml:space="preserve">kierunkowanego </w:t>
      </w:r>
      <w:r w:rsidR="00D82CDE" w:rsidRPr="00DF5296">
        <w:rPr>
          <w:rFonts w:cs="Segoe UI"/>
          <w:b/>
          <w:bCs/>
          <w:i/>
          <w:iCs/>
          <w:lang w:val="pl"/>
        </w:rPr>
        <w:t>W</w:t>
      </w:r>
      <w:r w:rsidR="00D82CDE" w:rsidRPr="00DF5296">
        <w:rPr>
          <w:rFonts w:cs="Segoe UI"/>
          <w:b/>
          <w:bCs/>
          <w:i/>
          <w:iCs/>
          <w:lang w:val="pl"/>
        </w:rPr>
        <w:t xml:space="preserve">zrostu </w:t>
      </w:r>
      <w:r w:rsidR="13E06C38" w:rsidRPr="00DF5296">
        <w:rPr>
          <w:rFonts w:cs="Segoe UI"/>
          <w:b/>
          <w:bCs/>
          <w:i/>
          <w:iCs/>
          <w:lang w:val="pl"/>
        </w:rPr>
        <w:t>we wszystkich wymiarach strategicznych i z determinacją oraz sukcesem kontynuowaliśmy naszą transformację. Jesteśmy na właściwej drodze, a transformacja naszej firmy przynosi wymierne rezultaty. Z jasną strategią, silnym zespołem i wyjątkową kulturą firmy jesteśmy dobrze przygotowani na przyszłość</w:t>
      </w:r>
      <w:r w:rsidR="257B562E" w:rsidRPr="00DF5296">
        <w:rPr>
          <w:rFonts w:cs="Segoe UI"/>
          <w:b/>
          <w:bCs/>
          <w:lang w:val="pl"/>
        </w:rPr>
        <w:t xml:space="preserve"> </w:t>
      </w:r>
      <w:r w:rsidR="13E06C38" w:rsidRPr="00DF5296">
        <w:rPr>
          <w:rFonts w:cs="Segoe UI"/>
          <w:b/>
          <w:bCs/>
          <w:lang w:val="pl"/>
        </w:rPr>
        <w:t xml:space="preserve">– podsumował </w:t>
      </w:r>
      <w:proofErr w:type="spellStart"/>
      <w:r w:rsidR="13E06C38" w:rsidRPr="00DF5296">
        <w:rPr>
          <w:rFonts w:cs="Segoe UI"/>
          <w:b/>
          <w:bCs/>
          <w:lang w:val="pl"/>
        </w:rPr>
        <w:t>Carsten</w:t>
      </w:r>
      <w:proofErr w:type="spellEnd"/>
      <w:r w:rsidR="13E06C38" w:rsidRPr="00DF5296">
        <w:rPr>
          <w:rFonts w:cs="Segoe UI"/>
          <w:b/>
          <w:bCs/>
          <w:lang w:val="pl"/>
        </w:rPr>
        <w:t xml:space="preserve"> </w:t>
      </w:r>
      <w:proofErr w:type="spellStart"/>
      <w:r w:rsidR="13E06C38" w:rsidRPr="00DF5296">
        <w:rPr>
          <w:rFonts w:cs="Segoe UI"/>
          <w:b/>
          <w:bCs/>
          <w:lang w:val="pl"/>
        </w:rPr>
        <w:t>Knobel</w:t>
      </w:r>
      <w:proofErr w:type="spellEnd"/>
      <w:r w:rsidR="13E06C38" w:rsidRPr="00DF5296">
        <w:rPr>
          <w:rFonts w:cs="Segoe UI"/>
          <w:b/>
          <w:bCs/>
          <w:lang w:val="pl"/>
        </w:rPr>
        <w:t>.</w:t>
      </w:r>
    </w:p>
    <w:p w14:paraId="766E32CD" w14:textId="1CF7600B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733AB374" w14:textId="6BF0F5AC" w:rsidR="13E06C38" w:rsidRDefault="13E06C38" w:rsidP="7D5A668B">
      <w:pPr>
        <w:rPr>
          <w:rFonts w:cs="Segoe UI"/>
          <w:i/>
          <w:iCs/>
          <w:lang w:val="pl"/>
        </w:rPr>
      </w:pPr>
      <w:r w:rsidRPr="7D5A668B">
        <w:rPr>
          <w:rFonts w:cs="Segoe UI"/>
          <w:i/>
          <w:iCs/>
          <w:lang w:val="pl"/>
        </w:rPr>
        <w:t>*Po uwzględnieniu kosztów i przychodów o charakterze jednorazowym oraz kosztów restrukturyzacji.</w:t>
      </w:r>
    </w:p>
    <w:p w14:paraId="40B60882" w14:textId="40FA25F0" w:rsidR="13E06C38" w:rsidRPr="00A36941" w:rsidRDefault="13E06C38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3F4A5D51" w14:textId="42F9AB61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Niniejszy dokument zawiera stwierdzenia dotyczące przyszłego rozwoju działalności, wyników finansowych i innych zdarzeń mających znaczenie dla Henkel, które mogą stanowić stwierdzenia dotyczące przyszłości. Stwierdzenia odnoszące się do przyszłości charakteryzują się użyciem słów takich, jak „oczekiwać”, „zamierzać”, „planować”, „przewidywać”, „uważać”, „szacować" i podobnych wyrażeń. Stwierdzenia te sformułowane są na podstawie aktualnych założeń i szacunków zarządu Henkel AG &amp; Co. </w:t>
      </w:r>
      <w:proofErr w:type="spellStart"/>
      <w:r w:rsidRPr="7D5A668B">
        <w:rPr>
          <w:rFonts w:cs="Segoe UI"/>
          <w:lang w:val="pl"/>
        </w:rPr>
        <w:t>KGaA</w:t>
      </w:r>
      <w:proofErr w:type="spellEnd"/>
      <w:r w:rsidRPr="7D5A668B">
        <w:rPr>
          <w:rFonts w:cs="Segoe UI"/>
          <w:lang w:val="pl"/>
        </w:rPr>
        <w:t xml:space="preserve">. Stwierdzeń dotyczących przyszłości nie należy jednak traktować jako gwarancji, że określone założenia czy oczekiwania okażą się trafne. Faktyczne przyszłe wyniki spółki Henkel AG &amp; Co. </w:t>
      </w:r>
      <w:proofErr w:type="spellStart"/>
      <w:r w:rsidRPr="7D5A668B">
        <w:rPr>
          <w:rFonts w:cs="Segoe UI"/>
          <w:lang w:val="pl"/>
        </w:rPr>
        <w:t>KGaA</w:t>
      </w:r>
      <w:proofErr w:type="spellEnd"/>
      <w:r w:rsidRPr="7D5A668B">
        <w:rPr>
          <w:rFonts w:cs="Segoe UI"/>
          <w:lang w:val="pl"/>
        </w:rPr>
        <w:t xml:space="preserve"> i jej podmiotów powiązanych uzależnione są od szeregu czynników ryzyka i niepewności, w związku z czym mogą one istotnie odbiegać (in plus lub in minus) od wyników wskazanych w stwierdzeniach dotyczących przyszłości. Na wiele z tych czynników, np. przyszłą sytuację gospodarczą czy działania konkurencji i innych uczestników rynku, Henkel nie ma wpływu, a ich dokładne przewidzenie nie jest możliwe. Henkel nie zamierza ani nie podejmuje się aktualizować stwierdzeń dotyczących przyszłości.</w:t>
      </w:r>
    </w:p>
    <w:p w14:paraId="04270826" w14:textId="12AFA063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6A587D4B" w14:textId="4BE88668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Niniejszy dokument zawiera dodatkowe wskaźniki finansowe, które nie zostały zdefiniowane wyraźnie w obowiązujących zasadach sprawozdawczości finansowej i które stanowią lub mogą stanowić alternatywne mierniki wyników. Takie dodatkowe wskaźniki finansowe nie powinny być analizowane w oderwaniu od wskaźników prezentujących aktywa netto, sytuację finansową lub wyniki działalności Henkel, które zostały przedstawione zgodnie z obowiązującymi zasadami sprawozdawczości finansowej w skonsolidowanym sprawozdaniu finansowym spółki, ani traktowane jako alternatywa dla tych wskaźników. Podobnie nazwane Alternatywne </w:t>
      </w:r>
      <w:r w:rsidRPr="7D5A668B">
        <w:rPr>
          <w:rFonts w:cs="Segoe UI"/>
          <w:lang w:val="pl"/>
        </w:rPr>
        <w:lastRenderedPageBreak/>
        <w:t>Pomiary Wyników podawane lub opisywane przez inne spółki mogą być obliczane w inny sposób.</w:t>
      </w:r>
    </w:p>
    <w:p w14:paraId="029DE615" w14:textId="59D272BD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 xml:space="preserve"> </w:t>
      </w:r>
    </w:p>
    <w:p w14:paraId="5CBADECD" w14:textId="68AE90A1" w:rsidR="7C05DB7B" w:rsidRPr="00A36941" w:rsidRDefault="7C05DB7B" w:rsidP="7D5A668B">
      <w:pPr>
        <w:rPr>
          <w:lang w:val="pl-PL"/>
        </w:rPr>
      </w:pPr>
      <w:r w:rsidRPr="7D5A668B">
        <w:rPr>
          <w:rFonts w:cs="Segoe UI"/>
          <w:lang w:val="pl"/>
        </w:rPr>
        <w:t>Niniejszy dokument ma charakter wyłącznie informacyjny i nie stanowi porady inwestycyjnej ani oferty sprzedaży lub zaproszenia do składania ofert nabycia jakichkolwiek papierów wartościowych.</w:t>
      </w:r>
    </w:p>
    <w:p w14:paraId="5B102E2F" w14:textId="63C0C134" w:rsidR="4C31A228" w:rsidRDefault="4C31A228" w:rsidP="4C31A228">
      <w:pPr>
        <w:rPr>
          <w:rFonts w:cs="Segoe UI"/>
          <w:i/>
          <w:iCs/>
          <w:lang w:val="pl"/>
        </w:rPr>
      </w:pPr>
    </w:p>
    <w:p w14:paraId="4BAEBAB0" w14:textId="418FCE0F" w:rsidR="4C31A228" w:rsidRDefault="4C31A228" w:rsidP="4C31A228">
      <w:pPr>
        <w:rPr>
          <w:rFonts w:cs="Segoe UI"/>
          <w:lang w:val="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bookmarkStart w:id="1" w:name="_Hlk192603483"/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59CC62C7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środków piorących i czystości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oraz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produktów do pielęgnacji włosów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. Trzy najsilniejsze marki to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Loctite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, Persil i Schwarzkopf. W 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202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</w:t>
      </w:r>
      <w:r w:rsidR="00D82CDE"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roku Henkel odnotował przychody ze sprzedaży na poziomie </w:t>
      </w:r>
      <w:r w:rsidR="0016718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ponad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2</w:t>
      </w:r>
      <w:r w:rsidR="00167188">
        <w:rPr>
          <w:rFonts w:eastAsia="Segoe UI" w:cs="Segoe UI"/>
          <w:color w:val="000000" w:themeColor="text1"/>
          <w:sz w:val="18"/>
          <w:szCs w:val="18"/>
          <w:lang w:val="pl-PL"/>
        </w:rPr>
        <w:t>1,6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mld euro i skorygowany zysk operacyjny w wysokości około </w:t>
      </w:r>
      <w:r w:rsidR="00167188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,1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mld euro. Akcje uprzywilejowane spółki wchodzą w skład niemieckiego indeksu giełdowego DAX. Firma posiada jasną strategię zrównoważonego rozwoju z konkretnymi celami, a idea ta ma w Henklu długą tradycję. Firma założona w 1876 zatrudnia dziś </w:t>
      </w:r>
      <w:r w:rsidR="00D82CDE">
        <w:rPr>
          <w:rFonts w:eastAsia="Segoe UI" w:cs="Segoe UI"/>
          <w:color w:val="000000" w:themeColor="text1"/>
          <w:sz w:val="18"/>
          <w:szCs w:val="18"/>
          <w:lang w:val="pl-PL"/>
        </w:rPr>
        <w:t>47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bookmarkEnd w:id="1"/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1B9E80E2" w:rsidR="00A44946" w:rsidRPr="00673119" w:rsidRDefault="0A789B3D" w:rsidP="4C31A228">
      <w:pPr>
        <w:rPr>
          <w:sz w:val="18"/>
          <w:szCs w:val="18"/>
          <w:lang w:val="pl-PL"/>
        </w:rPr>
      </w:pPr>
      <w:bookmarkStart w:id="2" w:name="_Hlk118882618"/>
      <w:r w:rsidRPr="4C31A228">
        <w:rPr>
          <w:sz w:val="18"/>
          <w:szCs w:val="18"/>
          <w:lang w:val="pl-PL"/>
        </w:rPr>
        <w:t>Dorota Strosznajder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23108B95" w:rsidRPr="4C31A228">
        <w:rPr>
          <w:sz w:val="18"/>
          <w:szCs w:val="18"/>
          <w:lang w:val="pl-PL"/>
        </w:rPr>
        <w:t>Marta Wasilak</w:t>
      </w:r>
      <w:r w:rsidR="616EDED9" w:rsidRPr="4C31A228">
        <w:rPr>
          <w:sz w:val="18"/>
          <w:szCs w:val="18"/>
          <w:lang w:val="pl-PL"/>
        </w:rPr>
        <w:t xml:space="preserve"> </w:t>
      </w:r>
    </w:p>
    <w:p w14:paraId="0BDB8261" w14:textId="23E656A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  <w:lang w:val="pl-PL"/>
        </w:rPr>
        <w:t>Henkel Polska Sp. z o.o.</w:t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00A44946" w:rsidRPr="006A5A5C">
        <w:rPr>
          <w:lang w:val="pl-PL"/>
        </w:rPr>
        <w:tab/>
      </w:r>
      <w:r w:rsidR="777D5985" w:rsidRPr="4C31A228">
        <w:rPr>
          <w:sz w:val="18"/>
          <w:szCs w:val="18"/>
        </w:rPr>
        <w:t>Burson Poland</w:t>
      </w:r>
    </w:p>
    <w:p w14:paraId="7F2589BE" w14:textId="7007594D" w:rsidR="00A44946" w:rsidRPr="001E51B6" w:rsidRDefault="0A789B3D" w:rsidP="4C31A228">
      <w:pPr>
        <w:rPr>
          <w:sz w:val="18"/>
          <w:szCs w:val="18"/>
        </w:rPr>
      </w:pPr>
      <w:r w:rsidRPr="4C31A228">
        <w:rPr>
          <w:sz w:val="18"/>
          <w:szCs w:val="18"/>
        </w:rPr>
        <w:t>tel.: (022) 565 66 65</w:t>
      </w:r>
      <w:r w:rsidR="00A44946">
        <w:tab/>
      </w:r>
      <w:r w:rsidR="00A44946">
        <w:tab/>
      </w:r>
      <w:r w:rsidR="00A44946">
        <w:tab/>
      </w:r>
      <w:r w:rsidRPr="4C31A228">
        <w:rPr>
          <w:sz w:val="18"/>
          <w:szCs w:val="18"/>
        </w:rPr>
        <w:t>tel.: +48</w:t>
      </w:r>
      <w:r w:rsidR="67F117BF" w:rsidRPr="4C31A228">
        <w:rPr>
          <w:sz w:val="18"/>
          <w:szCs w:val="18"/>
        </w:rPr>
        <w:t xml:space="preserve"> 605 120 388</w:t>
      </w:r>
    </w:p>
    <w:p w14:paraId="5E223B4D" w14:textId="68553C51" w:rsidR="00A44946" w:rsidRPr="001E51B6" w:rsidRDefault="0A789B3D" w:rsidP="4C31A228">
      <w:pPr>
        <w:rPr>
          <w:rStyle w:val="Hyperlink"/>
        </w:rPr>
      </w:pPr>
      <w:hyperlink r:id="rId12" w:history="1">
        <w:r w:rsidRPr="001E51B6">
          <w:rPr>
            <w:rStyle w:val="Hyperlink"/>
          </w:rPr>
          <w:t>dorota.strosznajder@henkel.com</w:t>
        </w:r>
      </w:hyperlink>
      <w:r w:rsidRPr="4C31A228">
        <w:rPr>
          <w:sz w:val="18"/>
          <w:szCs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2"/>
      <w:r w:rsidR="002F5028">
        <w:rPr>
          <w:rStyle w:val="Hyperlink"/>
        </w:rPr>
        <w:fldChar w:fldCharType="begin"/>
      </w:r>
      <w:r w:rsidR="002F5028">
        <w:rPr>
          <w:rStyle w:val="Hyperlink"/>
        </w:rPr>
        <w:instrText>HYPERLINK "mailto:</w:instrText>
      </w:r>
      <w:r w:rsidR="002F5028" w:rsidRPr="002F5028">
        <w:rPr>
          <w:rStyle w:val="Hyperlink"/>
        </w:rPr>
        <w:instrText>kmencina@solskipr.pl</w:instrText>
      </w:r>
      <w:r w:rsidR="002F5028">
        <w:rPr>
          <w:rStyle w:val="Hyperlink"/>
        </w:rPr>
        <w:instrText>"</w:instrText>
      </w:r>
      <w:r w:rsidR="002F5028">
        <w:rPr>
          <w:rStyle w:val="Hyperlink"/>
        </w:rPr>
      </w:r>
      <w:r w:rsidR="002F5028">
        <w:rPr>
          <w:rStyle w:val="Hyperlink"/>
        </w:rPr>
        <w:fldChar w:fldCharType="separate"/>
      </w:r>
      <w:hyperlink r:id="rId13">
        <w:r w:rsidR="121740EF" w:rsidRPr="4C31A228">
          <w:rPr>
            <w:rStyle w:val="Hyperlink"/>
          </w:rPr>
          <w:t>marta.wasilak@bursonglobal.com</w:t>
        </w:r>
      </w:hyperlink>
      <w:r w:rsidR="002F5028">
        <w:rPr>
          <w:rStyle w:val="Hyperlink"/>
        </w:rPr>
        <w:fldChar w:fldCharType="end"/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A5A5C">
        <w:rPr>
          <w:rStyle w:val="AboutandContactBody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EF901" w14:textId="77777777" w:rsidR="00031821" w:rsidRDefault="00031821">
      <w:r>
        <w:separator/>
      </w:r>
    </w:p>
  </w:endnote>
  <w:endnote w:type="continuationSeparator" w:id="0">
    <w:p w14:paraId="437B377C" w14:textId="77777777" w:rsidR="00031821" w:rsidRDefault="00031821">
      <w:r>
        <w:continuationSeparator/>
      </w:r>
    </w:p>
  </w:endnote>
  <w:endnote w:type="continuationNotice" w:id="1">
    <w:p w14:paraId="1BF0BF05" w14:textId="77777777" w:rsidR="00031821" w:rsidRDefault="0003182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4378F" w14:textId="77777777" w:rsidR="00CF6F33" w:rsidRPr="00992A11" w:rsidRDefault="0059722C" w:rsidP="00992A11">
    <w:pPr>
      <w:pStyle w:val="Footer"/>
    </w:pPr>
    <w:bookmarkStart w:id="3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17D35F" w14:textId="77777777" w:rsidR="00031821" w:rsidRDefault="00031821">
      <w:r>
        <w:separator/>
      </w:r>
    </w:p>
  </w:footnote>
  <w:footnote w:type="continuationSeparator" w:id="0">
    <w:p w14:paraId="280CC7B8" w14:textId="77777777" w:rsidR="00031821" w:rsidRDefault="00031821">
      <w:r>
        <w:continuationSeparator/>
      </w:r>
    </w:p>
  </w:footnote>
  <w:footnote w:type="continuationNotice" w:id="1">
    <w:p w14:paraId="52C326E4" w14:textId="77777777" w:rsidR="00031821" w:rsidRDefault="0003182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D3A7FF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9EA2A"/>
    <w:multiLevelType w:val="hybridMultilevel"/>
    <w:tmpl w:val="1C100376"/>
    <w:lvl w:ilvl="0" w:tplc="0D7485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49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9EB9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2F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65C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743D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A697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D66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BE3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22F4821"/>
    <w:multiLevelType w:val="multilevel"/>
    <w:tmpl w:val="D1E01C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493874">
    <w:abstractNumId w:val="0"/>
  </w:num>
  <w:num w:numId="2" w16cid:durableId="694697967">
    <w:abstractNumId w:val="2"/>
  </w:num>
  <w:num w:numId="3" w16cid:durableId="1563175876">
    <w:abstractNumId w:val="1"/>
  </w:num>
  <w:num w:numId="4" w16cid:durableId="1141115785">
    <w:abstractNumId w:val="10"/>
  </w:num>
  <w:num w:numId="5" w16cid:durableId="1658344630">
    <w:abstractNumId w:val="6"/>
  </w:num>
  <w:num w:numId="6" w16cid:durableId="2132553883">
    <w:abstractNumId w:val="4"/>
  </w:num>
  <w:num w:numId="7" w16cid:durableId="545726518">
    <w:abstractNumId w:val="8"/>
  </w:num>
  <w:num w:numId="8" w16cid:durableId="541023174">
    <w:abstractNumId w:val="9"/>
  </w:num>
  <w:num w:numId="9" w16cid:durableId="930283955">
    <w:abstractNumId w:val="5"/>
  </w:num>
  <w:num w:numId="10" w16cid:durableId="1350178876">
    <w:abstractNumId w:val="3"/>
  </w:num>
  <w:num w:numId="11" w16cid:durableId="1053173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4DA9"/>
    <w:rsid w:val="00015CB4"/>
    <w:rsid w:val="00020C93"/>
    <w:rsid w:val="00021C67"/>
    <w:rsid w:val="000254BA"/>
    <w:rsid w:val="00030150"/>
    <w:rsid w:val="00030557"/>
    <w:rsid w:val="00030F51"/>
    <w:rsid w:val="00031821"/>
    <w:rsid w:val="00033320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4E71"/>
    <w:rsid w:val="00055F54"/>
    <w:rsid w:val="000575F9"/>
    <w:rsid w:val="00057EC2"/>
    <w:rsid w:val="000618FC"/>
    <w:rsid w:val="0006344D"/>
    <w:rsid w:val="000642D9"/>
    <w:rsid w:val="00067071"/>
    <w:rsid w:val="00067CC8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4766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232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17621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65F40"/>
    <w:rsid w:val="00167188"/>
    <w:rsid w:val="0017170F"/>
    <w:rsid w:val="001731CE"/>
    <w:rsid w:val="0017332D"/>
    <w:rsid w:val="001747EE"/>
    <w:rsid w:val="00181F01"/>
    <w:rsid w:val="00185770"/>
    <w:rsid w:val="00185F86"/>
    <w:rsid w:val="00191460"/>
    <w:rsid w:val="001948C3"/>
    <w:rsid w:val="001A09CC"/>
    <w:rsid w:val="001A591E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31B1"/>
    <w:rsid w:val="002169BB"/>
    <w:rsid w:val="00220628"/>
    <w:rsid w:val="00222D99"/>
    <w:rsid w:val="002248BC"/>
    <w:rsid w:val="002249D5"/>
    <w:rsid w:val="002257E4"/>
    <w:rsid w:val="002304D2"/>
    <w:rsid w:val="00234ABD"/>
    <w:rsid w:val="00236E2A"/>
    <w:rsid w:val="00237F62"/>
    <w:rsid w:val="0024103B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1C3"/>
    <w:rsid w:val="002C059F"/>
    <w:rsid w:val="002C1344"/>
    <w:rsid w:val="002C252E"/>
    <w:rsid w:val="002C2E32"/>
    <w:rsid w:val="002C3681"/>
    <w:rsid w:val="002C40BB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06CE"/>
    <w:rsid w:val="00301E7C"/>
    <w:rsid w:val="00304087"/>
    <w:rsid w:val="00305A0E"/>
    <w:rsid w:val="00307A06"/>
    <w:rsid w:val="00310ACD"/>
    <w:rsid w:val="0031379F"/>
    <w:rsid w:val="0031688F"/>
    <w:rsid w:val="003175D4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6DE1"/>
    <w:rsid w:val="00367AA1"/>
    <w:rsid w:val="00372E36"/>
    <w:rsid w:val="00376EE9"/>
    <w:rsid w:val="00377CBB"/>
    <w:rsid w:val="003803E8"/>
    <w:rsid w:val="003839C6"/>
    <w:rsid w:val="00384EB6"/>
    <w:rsid w:val="00385185"/>
    <w:rsid w:val="003877B6"/>
    <w:rsid w:val="00393887"/>
    <w:rsid w:val="00394C6B"/>
    <w:rsid w:val="003954CB"/>
    <w:rsid w:val="003962BE"/>
    <w:rsid w:val="003977DD"/>
    <w:rsid w:val="00397F9A"/>
    <w:rsid w:val="003A192D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D1D6F"/>
    <w:rsid w:val="003E1FF2"/>
    <w:rsid w:val="003F0855"/>
    <w:rsid w:val="003F1AF3"/>
    <w:rsid w:val="003F4227"/>
    <w:rsid w:val="003F4D8D"/>
    <w:rsid w:val="003F53C8"/>
    <w:rsid w:val="003F630D"/>
    <w:rsid w:val="00400F3F"/>
    <w:rsid w:val="0040105E"/>
    <w:rsid w:val="0040199E"/>
    <w:rsid w:val="00405C2B"/>
    <w:rsid w:val="00411C0F"/>
    <w:rsid w:val="00414DC2"/>
    <w:rsid w:val="00417133"/>
    <w:rsid w:val="00422AB2"/>
    <w:rsid w:val="004237BB"/>
    <w:rsid w:val="00423BDD"/>
    <w:rsid w:val="004313E7"/>
    <w:rsid w:val="00432531"/>
    <w:rsid w:val="00433826"/>
    <w:rsid w:val="00441224"/>
    <w:rsid w:val="00442FC6"/>
    <w:rsid w:val="004431AF"/>
    <w:rsid w:val="0044763B"/>
    <w:rsid w:val="00451F34"/>
    <w:rsid w:val="00456851"/>
    <w:rsid w:val="00457938"/>
    <w:rsid w:val="004629B3"/>
    <w:rsid w:val="0046376E"/>
    <w:rsid w:val="004637A2"/>
    <w:rsid w:val="0046690F"/>
    <w:rsid w:val="00466991"/>
    <w:rsid w:val="00466E8F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003B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2667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208B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E7CB2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35825"/>
    <w:rsid w:val="0063762D"/>
    <w:rsid w:val="00643D8A"/>
    <w:rsid w:val="006513EB"/>
    <w:rsid w:val="00652229"/>
    <w:rsid w:val="00652434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86750"/>
    <w:rsid w:val="00690999"/>
    <w:rsid w:val="00690B19"/>
    <w:rsid w:val="00695F01"/>
    <w:rsid w:val="006A0A3C"/>
    <w:rsid w:val="006A5343"/>
    <w:rsid w:val="006A5A5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A6"/>
    <w:rsid w:val="006F0FC7"/>
    <w:rsid w:val="006F39A9"/>
    <w:rsid w:val="006F62C8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0085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4C3B"/>
    <w:rsid w:val="0082699A"/>
    <w:rsid w:val="00832C4C"/>
    <w:rsid w:val="00833CEB"/>
    <w:rsid w:val="008359DB"/>
    <w:rsid w:val="008372D2"/>
    <w:rsid w:val="008377BC"/>
    <w:rsid w:val="00842819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5F88"/>
    <w:rsid w:val="0087685C"/>
    <w:rsid w:val="00876DD3"/>
    <w:rsid w:val="00880E72"/>
    <w:rsid w:val="00880EB2"/>
    <w:rsid w:val="008825EE"/>
    <w:rsid w:val="008855B7"/>
    <w:rsid w:val="0088596E"/>
    <w:rsid w:val="00890B5C"/>
    <w:rsid w:val="00891DFE"/>
    <w:rsid w:val="008960D7"/>
    <w:rsid w:val="00896DBA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1C5D"/>
    <w:rsid w:val="00942002"/>
    <w:rsid w:val="00945634"/>
    <w:rsid w:val="00947885"/>
    <w:rsid w:val="009513C5"/>
    <w:rsid w:val="00952168"/>
    <w:rsid w:val="009527FE"/>
    <w:rsid w:val="00957346"/>
    <w:rsid w:val="00960AAE"/>
    <w:rsid w:val="00962D7B"/>
    <w:rsid w:val="00967A64"/>
    <w:rsid w:val="009739A0"/>
    <w:rsid w:val="00974695"/>
    <w:rsid w:val="00974F84"/>
    <w:rsid w:val="009767C7"/>
    <w:rsid w:val="00981DE9"/>
    <w:rsid w:val="009827BF"/>
    <w:rsid w:val="0098549A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2EB5"/>
    <w:rsid w:val="009D5983"/>
    <w:rsid w:val="009D7252"/>
    <w:rsid w:val="009E3582"/>
    <w:rsid w:val="009E5EB4"/>
    <w:rsid w:val="009F3ABA"/>
    <w:rsid w:val="009F55D5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6941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4183"/>
    <w:rsid w:val="00AC6AB3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1DA4"/>
    <w:rsid w:val="00B33C2A"/>
    <w:rsid w:val="00B34F4C"/>
    <w:rsid w:val="00B362FB"/>
    <w:rsid w:val="00B422EC"/>
    <w:rsid w:val="00B47A46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44D4"/>
    <w:rsid w:val="00BA5B46"/>
    <w:rsid w:val="00BB03EC"/>
    <w:rsid w:val="00BB5D0B"/>
    <w:rsid w:val="00BB7861"/>
    <w:rsid w:val="00BC0995"/>
    <w:rsid w:val="00BC1BDC"/>
    <w:rsid w:val="00BC34D9"/>
    <w:rsid w:val="00BC4F1D"/>
    <w:rsid w:val="00BC5F48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F24"/>
    <w:rsid w:val="00C228CF"/>
    <w:rsid w:val="00C2347E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62A"/>
    <w:rsid w:val="00C65BCD"/>
    <w:rsid w:val="00C7414B"/>
    <w:rsid w:val="00C77A50"/>
    <w:rsid w:val="00C808A6"/>
    <w:rsid w:val="00C82E7A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577AA"/>
    <w:rsid w:val="00D57E39"/>
    <w:rsid w:val="00D6295A"/>
    <w:rsid w:val="00D62EF1"/>
    <w:rsid w:val="00D6309D"/>
    <w:rsid w:val="00D644CA"/>
    <w:rsid w:val="00D66FC2"/>
    <w:rsid w:val="00D70B50"/>
    <w:rsid w:val="00D76C7E"/>
    <w:rsid w:val="00D771DE"/>
    <w:rsid w:val="00D7776D"/>
    <w:rsid w:val="00D82CDE"/>
    <w:rsid w:val="00D90BCD"/>
    <w:rsid w:val="00D91699"/>
    <w:rsid w:val="00D9293F"/>
    <w:rsid w:val="00D93598"/>
    <w:rsid w:val="00D95CDF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C2BFA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296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64CB1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B9B"/>
    <w:rsid w:val="00EA1D45"/>
    <w:rsid w:val="00EA55FC"/>
    <w:rsid w:val="00EA5A89"/>
    <w:rsid w:val="00EA5BDB"/>
    <w:rsid w:val="00EA7711"/>
    <w:rsid w:val="00EB0DBE"/>
    <w:rsid w:val="00EB1917"/>
    <w:rsid w:val="00EB46D9"/>
    <w:rsid w:val="00EC001D"/>
    <w:rsid w:val="00EC142D"/>
    <w:rsid w:val="00EC1E16"/>
    <w:rsid w:val="00EC27FF"/>
    <w:rsid w:val="00EC76E7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0AD5"/>
    <w:rsid w:val="00F128CD"/>
    <w:rsid w:val="00F207D1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96B03"/>
    <w:rsid w:val="00F97D35"/>
    <w:rsid w:val="00FA1398"/>
    <w:rsid w:val="00FA1D7C"/>
    <w:rsid w:val="00FA2E19"/>
    <w:rsid w:val="00FA2EE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  <w:rsid w:val="0107F9B8"/>
    <w:rsid w:val="01548119"/>
    <w:rsid w:val="019466D9"/>
    <w:rsid w:val="01E3F93F"/>
    <w:rsid w:val="020EF41B"/>
    <w:rsid w:val="039392D1"/>
    <w:rsid w:val="042D9368"/>
    <w:rsid w:val="053F22DF"/>
    <w:rsid w:val="068517FD"/>
    <w:rsid w:val="06E92406"/>
    <w:rsid w:val="072E6118"/>
    <w:rsid w:val="07A89F4D"/>
    <w:rsid w:val="0878060A"/>
    <w:rsid w:val="088D7CC2"/>
    <w:rsid w:val="09F4F1D0"/>
    <w:rsid w:val="0A789B3D"/>
    <w:rsid w:val="0AC2E338"/>
    <w:rsid w:val="0ACCF3F0"/>
    <w:rsid w:val="0AD9E675"/>
    <w:rsid w:val="0B8257DA"/>
    <w:rsid w:val="0C928055"/>
    <w:rsid w:val="0DB42ADB"/>
    <w:rsid w:val="0E71BB41"/>
    <w:rsid w:val="0E89333A"/>
    <w:rsid w:val="0EF08563"/>
    <w:rsid w:val="0F019AE8"/>
    <w:rsid w:val="0F5A9F37"/>
    <w:rsid w:val="0FA7486A"/>
    <w:rsid w:val="10361117"/>
    <w:rsid w:val="10FC7B4D"/>
    <w:rsid w:val="1129C073"/>
    <w:rsid w:val="11EA9782"/>
    <w:rsid w:val="121740EF"/>
    <w:rsid w:val="12B6B9FC"/>
    <w:rsid w:val="13E06C38"/>
    <w:rsid w:val="1415B4B2"/>
    <w:rsid w:val="1501559A"/>
    <w:rsid w:val="160EBB8D"/>
    <w:rsid w:val="162B8799"/>
    <w:rsid w:val="172923FA"/>
    <w:rsid w:val="178D625B"/>
    <w:rsid w:val="191EB88B"/>
    <w:rsid w:val="19E00FD8"/>
    <w:rsid w:val="1A6DAC97"/>
    <w:rsid w:val="1C2E905C"/>
    <w:rsid w:val="1DED26F8"/>
    <w:rsid w:val="1E7DD84B"/>
    <w:rsid w:val="1EC13B85"/>
    <w:rsid w:val="206671B9"/>
    <w:rsid w:val="206F9F88"/>
    <w:rsid w:val="20708319"/>
    <w:rsid w:val="208D8F8B"/>
    <w:rsid w:val="2092CB9E"/>
    <w:rsid w:val="212DCA59"/>
    <w:rsid w:val="21A6E3DC"/>
    <w:rsid w:val="21E3EA95"/>
    <w:rsid w:val="22E0C31D"/>
    <w:rsid w:val="23108B95"/>
    <w:rsid w:val="238B4D02"/>
    <w:rsid w:val="23E52F96"/>
    <w:rsid w:val="25086F92"/>
    <w:rsid w:val="257B562E"/>
    <w:rsid w:val="2766A8E6"/>
    <w:rsid w:val="27D69826"/>
    <w:rsid w:val="2827CAA3"/>
    <w:rsid w:val="283A458F"/>
    <w:rsid w:val="28526A91"/>
    <w:rsid w:val="288ED514"/>
    <w:rsid w:val="298FA6FE"/>
    <w:rsid w:val="29A1DFE8"/>
    <w:rsid w:val="2A0E4098"/>
    <w:rsid w:val="2A5E9C8D"/>
    <w:rsid w:val="2B10605B"/>
    <w:rsid w:val="2F3EDD3F"/>
    <w:rsid w:val="30880BB8"/>
    <w:rsid w:val="32132E28"/>
    <w:rsid w:val="32F9C911"/>
    <w:rsid w:val="335E6FAF"/>
    <w:rsid w:val="339EDE50"/>
    <w:rsid w:val="33B0CDDB"/>
    <w:rsid w:val="3438AEB8"/>
    <w:rsid w:val="36197137"/>
    <w:rsid w:val="36B21B9A"/>
    <w:rsid w:val="37755E61"/>
    <w:rsid w:val="38D8318A"/>
    <w:rsid w:val="395C9180"/>
    <w:rsid w:val="3975CED5"/>
    <w:rsid w:val="399DA2AE"/>
    <w:rsid w:val="3A0B8C96"/>
    <w:rsid w:val="3ADF12AC"/>
    <w:rsid w:val="3AE1AFF7"/>
    <w:rsid w:val="3B0F1066"/>
    <w:rsid w:val="3BC4F25A"/>
    <w:rsid w:val="3C33D4E8"/>
    <w:rsid w:val="3D411AFD"/>
    <w:rsid w:val="3E08417A"/>
    <w:rsid w:val="4095D326"/>
    <w:rsid w:val="40C6A802"/>
    <w:rsid w:val="40E645E6"/>
    <w:rsid w:val="416009A9"/>
    <w:rsid w:val="41E0CA84"/>
    <w:rsid w:val="41E333E5"/>
    <w:rsid w:val="45554CA7"/>
    <w:rsid w:val="45EA2406"/>
    <w:rsid w:val="47234417"/>
    <w:rsid w:val="49858079"/>
    <w:rsid w:val="4A739AC3"/>
    <w:rsid w:val="4C065B7A"/>
    <w:rsid w:val="4C31A228"/>
    <w:rsid w:val="4CCDE36A"/>
    <w:rsid w:val="4CDB0165"/>
    <w:rsid w:val="4D265F2B"/>
    <w:rsid w:val="4DEDB40E"/>
    <w:rsid w:val="4E290017"/>
    <w:rsid w:val="4FF35397"/>
    <w:rsid w:val="521DE73B"/>
    <w:rsid w:val="53A16AA9"/>
    <w:rsid w:val="541BE57F"/>
    <w:rsid w:val="54F5F74D"/>
    <w:rsid w:val="568B1371"/>
    <w:rsid w:val="57A377F9"/>
    <w:rsid w:val="57BFBA78"/>
    <w:rsid w:val="59359609"/>
    <w:rsid w:val="5AE5FC68"/>
    <w:rsid w:val="5B88A428"/>
    <w:rsid w:val="5BE14586"/>
    <w:rsid w:val="5C324C82"/>
    <w:rsid w:val="5D4C5861"/>
    <w:rsid w:val="5DAA9CA6"/>
    <w:rsid w:val="5F798B5A"/>
    <w:rsid w:val="60B1123E"/>
    <w:rsid w:val="60BA148B"/>
    <w:rsid w:val="616EDED9"/>
    <w:rsid w:val="6198A2C2"/>
    <w:rsid w:val="6314A091"/>
    <w:rsid w:val="6377148D"/>
    <w:rsid w:val="64CA0162"/>
    <w:rsid w:val="65C97725"/>
    <w:rsid w:val="6605D6A7"/>
    <w:rsid w:val="67F117BF"/>
    <w:rsid w:val="684651DC"/>
    <w:rsid w:val="6887BB56"/>
    <w:rsid w:val="6A31B8DA"/>
    <w:rsid w:val="6A3393BB"/>
    <w:rsid w:val="6AEB2019"/>
    <w:rsid w:val="6B831CB7"/>
    <w:rsid w:val="6B8341CC"/>
    <w:rsid w:val="6BB0A76F"/>
    <w:rsid w:val="6ED8C2AA"/>
    <w:rsid w:val="6EEAAB4B"/>
    <w:rsid w:val="6F5A8366"/>
    <w:rsid w:val="6F72E8F6"/>
    <w:rsid w:val="728845E9"/>
    <w:rsid w:val="72A4CE0A"/>
    <w:rsid w:val="763FE6E2"/>
    <w:rsid w:val="766A2322"/>
    <w:rsid w:val="768C5AB9"/>
    <w:rsid w:val="774FBF71"/>
    <w:rsid w:val="777D5985"/>
    <w:rsid w:val="78C9C67A"/>
    <w:rsid w:val="79BC109B"/>
    <w:rsid w:val="79EEB453"/>
    <w:rsid w:val="7B04B394"/>
    <w:rsid w:val="7C05DB7B"/>
    <w:rsid w:val="7C5C98B0"/>
    <w:rsid w:val="7C6A9EDD"/>
    <w:rsid w:val="7D5A668B"/>
    <w:rsid w:val="7E1F6F75"/>
    <w:rsid w:val="7E64C4A2"/>
    <w:rsid w:val="7EC1F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B6BC11F0-AC28-44D2-BFC8-B1129DBC9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2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a.wasilak@hillandknowlt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ffaf0c-af80-4bc0-9d56-17acaaacfeca">
      <Terms xmlns="http://schemas.microsoft.com/office/infopath/2007/PartnerControls"/>
    </lcf76f155ced4ddcb4097134ff3c332f>
    <TaxCatchAll xmlns="69b2f6e2-6662-4393-9ac2-921aa0cf1f3e" xsi:nil="true"/>
    <ArchiverLinkFileType xmlns="6affaf0c-af80-4bc0-9d56-17acaaacfe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82D99DAA0CF147AA16FDE0355F7E8C" ma:contentTypeVersion="27" ma:contentTypeDescription="Create a new document." ma:contentTypeScope="" ma:versionID="5aad635415f339b3ef80523eea238f24">
  <xsd:schema xmlns:xsd="http://www.w3.org/2001/XMLSchema" xmlns:xs="http://www.w3.org/2001/XMLSchema" xmlns:p="http://schemas.microsoft.com/office/2006/metadata/properties" xmlns:ns2="6affaf0c-af80-4bc0-9d56-17acaaacfeca" xmlns:ns3="69b2f6e2-6662-4393-9ac2-921aa0cf1f3e" targetNamespace="http://schemas.microsoft.com/office/2006/metadata/properties" ma:root="true" ma:fieldsID="b5d6e838c48515bf72617da7e0ee6636" ns2:_="" ns3:_="">
    <xsd:import namespace="6affaf0c-af80-4bc0-9d56-17acaaacfeca"/>
    <xsd:import namespace="69b2f6e2-6662-4393-9ac2-921aa0cf1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ArchiverLinkFile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faf0c-af80-4bc0-9d56-17acaaacfe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a3076a4-de66-4a58-86a9-b1508312c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ArchiverLinkFileType" ma:index="25" nillable="true" ma:displayName="ArchiverLinkFileType" ma:hidden="true" ma:internalName="ArchiverLinkFileTyp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b2f6e2-6662-4393-9ac2-921aa0cf1f3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62bfe0-5d8a-427f-aa10-27c9c8580855}" ma:internalName="TaxCatchAll" ma:showField="CatchAllData" ma:web="69b2f6e2-6662-4393-9ac2-921aa0cf1f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6affaf0c-af80-4bc0-9d56-17acaaacfeca"/>
    <ds:schemaRef ds:uri="69b2f6e2-6662-4393-9ac2-921aa0cf1f3e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CAAEA6-E4B9-44F1-BB78-E088C4B38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faf0c-af80-4bc0-9d56-17acaaacfeca"/>
    <ds:schemaRef ds:uri="69b2f6e2-6662-4393-9ac2-921aa0cf1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3864</Words>
  <Characters>23184</Characters>
  <Application>Microsoft Office Word</Application>
  <DocSecurity>0</DocSecurity>
  <Lines>193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2024-06-07T22:51:00Z</cp:lastPrinted>
  <dcterms:created xsi:type="dcterms:W3CDTF">2025-03-11T15:42:00Z</dcterms:created>
  <dcterms:modified xsi:type="dcterms:W3CDTF">2025-03-11T15:42:00Z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0x0101009282D99DAA0CF147AA16FDE0355F7E8C</vt:lpwstr>
  </property>
  <property fmtid="{D5CDD505-2E9C-101B-9397-08002B2CF9AE}" pid="3" name="MediaServiceImageTags">
    <vt:lpwstr/>
  </property>
</Properties>
</file>