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5BF9C8BD" w:rsidR="00B422EC" w:rsidRPr="00EF1330" w:rsidRDefault="009C148C" w:rsidP="00643D8A">
      <w:pPr>
        <w:pStyle w:val="MonthDayYear"/>
      </w:pPr>
      <w:r>
        <w:t>11 Mart 2025</w:t>
      </w:r>
    </w:p>
    <w:p w14:paraId="09896324" w14:textId="6BB80FDD" w:rsidR="007F0F63" w:rsidRPr="009D1522" w:rsidRDefault="00704C09" w:rsidP="009D1522">
      <w:pPr>
        <w:pStyle w:val="Topline"/>
      </w:pPr>
      <w:r>
        <w:rPr>
          <w:b/>
        </w:rPr>
        <w:t xml:space="preserve">Sürdürülebilirlik Raporu 2024 </w:t>
      </w:r>
    </w:p>
    <w:p w14:paraId="4388CF11" w14:textId="188FE2F8" w:rsidR="009E1B3B" w:rsidRPr="00805250" w:rsidRDefault="009E1B3B" w:rsidP="00A3756F">
      <w:pPr>
        <w:rPr>
          <w:rStyle w:val="Headline"/>
        </w:rPr>
      </w:pPr>
      <w:r>
        <w:rPr>
          <w:rStyle w:val="Headline"/>
        </w:rPr>
        <w:t>Henkel sürdürülebilirlik stratejisinin tüm alanlarında ilerleme</w:t>
      </w:r>
      <w:r w:rsidR="0063552E">
        <w:rPr>
          <w:rStyle w:val="Headline"/>
        </w:rPr>
        <w:t xml:space="preserve"> kaydetmeye</w:t>
      </w:r>
      <w:r>
        <w:rPr>
          <w:rStyle w:val="Headline"/>
        </w:rPr>
        <w:t xml:space="preserve"> devam ediyor</w:t>
      </w:r>
    </w:p>
    <w:p w14:paraId="7D344953" w14:textId="77777777" w:rsidR="00515726" w:rsidRPr="00805250" w:rsidRDefault="00515726" w:rsidP="00A3756F">
      <w:pPr>
        <w:rPr>
          <w:rStyle w:val="Headline"/>
        </w:rPr>
      </w:pPr>
    </w:p>
    <w:p w14:paraId="3392D9DE" w14:textId="4DBB3A1F" w:rsidR="00E71B27" w:rsidRPr="00805250" w:rsidRDefault="00E71B27" w:rsidP="00A335C8">
      <w:pPr>
        <w:pStyle w:val="ListParagraph"/>
        <w:numPr>
          <w:ilvl w:val="0"/>
          <w:numId w:val="9"/>
        </w:numPr>
        <w:ind w:left="567"/>
        <w:rPr>
          <w:b/>
          <w:bCs/>
          <w:szCs w:val="18"/>
        </w:rPr>
      </w:pPr>
      <w:r>
        <w:rPr>
          <w:b/>
        </w:rPr>
        <w:t xml:space="preserve">İklim </w:t>
      </w:r>
      <w:r w:rsidR="00C418F0">
        <w:rPr>
          <w:b/>
        </w:rPr>
        <w:t>koruma</w:t>
      </w:r>
      <w:r>
        <w:rPr>
          <w:b/>
        </w:rPr>
        <w:t xml:space="preserve">: </w:t>
      </w:r>
      <w:r w:rsidR="00651663">
        <w:rPr>
          <w:b/>
        </w:rPr>
        <w:t>Ü</w:t>
      </w:r>
      <w:r>
        <w:rPr>
          <w:b/>
        </w:rPr>
        <w:t xml:space="preserve">retimde ürün tonu başına </w:t>
      </w:r>
      <w:r w:rsidR="00C418F0">
        <w:rPr>
          <w:b/>
        </w:rPr>
        <w:t xml:space="preserve">karbondioksit </w:t>
      </w:r>
      <w:r w:rsidR="009B25D6">
        <w:rPr>
          <w:b/>
        </w:rPr>
        <w:t>emisyonu</w:t>
      </w:r>
      <w:r w:rsidR="00B126BA">
        <w:rPr>
          <w:b/>
        </w:rPr>
        <w:t xml:space="preserve"> </w:t>
      </w:r>
      <w:r>
        <w:rPr>
          <w:b/>
        </w:rPr>
        <w:t>yüzde 64 oranında azaldı (baz yıl: 2017).</w:t>
      </w:r>
    </w:p>
    <w:p w14:paraId="23BCE1BB" w14:textId="7DA29B19" w:rsidR="00E71B27" w:rsidRPr="00805250" w:rsidRDefault="00E71B27" w:rsidP="00A335C8">
      <w:pPr>
        <w:pStyle w:val="ListParagraph"/>
        <w:numPr>
          <w:ilvl w:val="0"/>
          <w:numId w:val="9"/>
        </w:numPr>
        <w:ind w:left="567"/>
        <w:rPr>
          <w:b/>
          <w:bCs/>
          <w:szCs w:val="18"/>
        </w:rPr>
      </w:pPr>
      <w:r>
        <w:rPr>
          <w:b/>
        </w:rPr>
        <w:t xml:space="preserve">Döngüsel ekonomi: </w:t>
      </w:r>
      <w:r w:rsidR="00542F96">
        <w:rPr>
          <w:b/>
        </w:rPr>
        <w:t>T</w:t>
      </w:r>
      <w:r>
        <w:rPr>
          <w:b/>
        </w:rPr>
        <w:t xml:space="preserve">üketim </w:t>
      </w:r>
      <w:r w:rsidR="00542F96">
        <w:rPr>
          <w:b/>
        </w:rPr>
        <w:t>ürünleri</w:t>
      </w:r>
      <w:r>
        <w:rPr>
          <w:b/>
        </w:rPr>
        <w:t xml:space="preserve"> ambalajlarında geri dönüştürülmüş plastik kullanımı yüzde 25'e yükseldi.</w:t>
      </w:r>
    </w:p>
    <w:p w14:paraId="202C92BC" w14:textId="65D7F15F" w:rsidR="00E71B27" w:rsidRPr="00805250" w:rsidRDefault="00E71B27" w:rsidP="00A335C8">
      <w:pPr>
        <w:pStyle w:val="ListParagraph"/>
        <w:numPr>
          <w:ilvl w:val="0"/>
          <w:numId w:val="9"/>
        </w:numPr>
        <w:ind w:left="567"/>
        <w:rPr>
          <w:b/>
          <w:bCs/>
          <w:szCs w:val="18"/>
        </w:rPr>
      </w:pPr>
      <w:r>
        <w:rPr>
          <w:b/>
        </w:rPr>
        <w:t>Fırsat eşitliği: 2024'te ebeveyn izni alan çalışan sayısında kayda değer bir artış yaşanırken</w:t>
      </w:r>
      <w:r w:rsidR="00542F96">
        <w:rPr>
          <w:b/>
        </w:rPr>
        <w:t>,</w:t>
      </w:r>
      <w:r>
        <w:rPr>
          <w:b/>
        </w:rPr>
        <w:t xml:space="preserve"> </w:t>
      </w:r>
      <w:r w:rsidR="00457D35">
        <w:rPr>
          <w:b/>
        </w:rPr>
        <w:t>yönetici pozisyonundaki kadınların</w:t>
      </w:r>
      <w:r w:rsidR="00ED201F">
        <w:rPr>
          <w:b/>
        </w:rPr>
        <w:t xml:space="preserve"> </w:t>
      </w:r>
      <w:r>
        <w:rPr>
          <w:b/>
        </w:rPr>
        <w:t>oranı yüzde 42'ye yükseldi.</w:t>
      </w:r>
    </w:p>
    <w:p w14:paraId="1CEC0A5A" w14:textId="45DBE11E" w:rsidR="00457D35" w:rsidRPr="00416378" w:rsidRDefault="00935F20" w:rsidP="00A335C8">
      <w:pPr>
        <w:pStyle w:val="ListParagraph"/>
        <w:numPr>
          <w:ilvl w:val="0"/>
          <w:numId w:val="9"/>
        </w:numPr>
        <w:ind w:left="567"/>
        <w:rPr>
          <w:b/>
          <w:bCs/>
          <w:szCs w:val="18"/>
        </w:rPr>
      </w:pPr>
      <w:r>
        <w:rPr>
          <w:b/>
        </w:rPr>
        <w:t xml:space="preserve">Adil çalışma koşulları: </w:t>
      </w:r>
      <w:r w:rsidR="00542F96">
        <w:rPr>
          <w:b/>
        </w:rPr>
        <w:t>D</w:t>
      </w:r>
      <w:r>
        <w:rPr>
          <w:b/>
        </w:rPr>
        <w:t xml:space="preserve">ünya </w:t>
      </w:r>
      <w:r w:rsidR="00907261">
        <w:rPr>
          <w:b/>
        </w:rPr>
        <w:t>genelinde</w:t>
      </w:r>
      <w:r w:rsidR="009B25D6">
        <w:rPr>
          <w:b/>
        </w:rPr>
        <w:t xml:space="preserve"> geçi</w:t>
      </w:r>
      <w:r w:rsidR="0089303A">
        <w:rPr>
          <w:b/>
        </w:rPr>
        <w:t>m sağlanabilecek</w:t>
      </w:r>
      <w:r>
        <w:rPr>
          <w:b/>
        </w:rPr>
        <w:t xml:space="preserve"> ücretler için yeni ek değerlendirme </w:t>
      </w:r>
      <w:r w:rsidR="0080064D">
        <w:rPr>
          <w:b/>
        </w:rPr>
        <w:t>uygulanmaya başlandı</w:t>
      </w:r>
      <w:r>
        <w:rPr>
          <w:b/>
        </w:rPr>
        <w:t xml:space="preserve">. </w:t>
      </w:r>
    </w:p>
    <w:p w14:paraId="23D00A46" w14:textId="0B320295" w:rsidR="004B2438" w:rsidRPr="004655A6" w:rsidRDefault="00E71B27" w:rsidP="00A335C8">
      <w:pPr>
        <w:pStyle w:val="ListParagraph"/>
        <w:numPr>
          <w:ilvl w:val="0"/>
          <w:numId w:val="9"/>
        </w:numPr>
        <w:ind w:left="567"/>
        <w:rPr>
          <w:b/>
          <w:bCs/>
          <w:i/>
          <w:iCs/>
          <w:szCs w:val="18"/>
        </w:rPr>
      </w:pPr>
      <w:bookmarkStart w:id="0" w:name="_Hlk191036371"/>
      <w:r w:rsidRPr="004655A6">
        <w:rPr>
          <w:b/>
        </w:rPr>
        <w:t>Yönetişim:</w:t>
      </w:r>
      <w:r w:rsidRPr="004655A6">
        <w:rPr>
          <w:b/>
          <w:color w:val="000000"/>
          <w:sz w:val="21"/>
        </w:rPr>
        <w:t xml:space="preserve"> </w:t>
      </w:r>
      <w:r w:rsidRPr="004655A6">
        <w:rPr>
          <w:b/>
          <w:i/>
          <w:iCs/>
        </w:rPr>
        <w:t>Avrupa Sürdürülebilirlik Raporlama Standartları</w:t>
      </w:r>
      <w:r w:rsidR="00C62A77">
        <w:rPr>
          <w:b/>
          <w:i/>
          <w:iCs/>
        </w:rPr>
        <w:t>’</w:t>
      </w:r>
      <w:r w:rsidRPr="004655A6">
        <w:rPr>
          <w:b/>
          <w:i/>
          <w:iCs/>
        </w:rPr>
        <w:t>nın (</w:t>
      </w:r>
      <w:r w:rsidR="0080064D" w:rsidRPr="004655A6">
        <w:rPr>
          <w:b/>
          <w:i/>
          <w:iCs/>
        </w:rPr>
        <w:t>European</w:t>
      </w:r>
      <w:r w:rsidR="004655A6">
        <w:rPr>
          <w:b/>
          <w:i/>
          <w:iCs/>
        </w:rPr>
        <w:t xml:space="preserve"> </w:t>
      </w:r>
      <w:r w:rsidR="0080064D" w:rsidRPr="004655A6">
        <w:rPr>
          <w:b/>
          <w:i/>
          <w:iCs/>
        </w:rPr>
        <w:t xml:space="preserve">Sustainability Reporting Standards </w:t>
      </w:r>
      <w:r w:rsidR="0083703C" w:rsidRPr="004655A6">
        <w:rPr>
          <w:b/>
          <w:i/>
          <w:iCs/>
        </w:rPr>
        <w:t>–</w:t>
      </w:r>
      <w:r w:rsidR="0080064D" w:rsidRPr="004655A6">
        <w:rPr>
          <w:b/>
          <w:i/>
          <w:iCs/>
        </w:rPr>
        <w:t xml:space="preserve"> </w:t>
      </w:r>
      <w:r w:rsidRPr="004655A6">
        <w:rPr>
          <w:b/>
          <w:i/>
          <w:iCs/>
        </w:rPr>
        <w:t>ESRS)</w:t>
      </w:r>
      <w:r w:rsidRPr="004655A6">
        <w:rPr>
          <w:b/>
        </w:rPr>
        <w:t xml:space="preserve"> içeriğ</w:t>
      </w:r>
      <w:r w:rsidR="00A335C8">
        <w:rPr>
          <w:b/>
        </w:rPr>
        <w:t>ine</w:t>
      </w:r>
      <w:r w:rsidRPr="004655A6">
        <w:rPr>
          <w:b/>
        </w:rPr>
        <w:t xml:space="preserve"> ilişkin tüm gereklilikleri</w:t>
      </w:r>
      <w:r w:rsidR="003F5EDC">
        <w:rPr>
          <w:b/>
        </w:rPr>
        <w:t xml:space="preserve"> </w:t>
      </w:r>
      <w:r w:rsidRPr="004655A6">
        <w:rPr>
          <w:b/>
        </w:rPr>
        <w:t>karşılayan ilk sürdürülebilirlik raporu hazırlandı.</w:t>
      </w:r>
      <w:r w:rsidRPr="004655A6">
        <w:rPr>
          <w:b/>
          <w:i/>
        </w:rPr>
        <w:t xml:space="preserve"> </w:t>
      </w:r>
    </w:p>
    <w:bookmarkEnd w:id="0"/>
    <w:p w14:paraId="6706FA18" w14:textId="509E2A9D" w:rsidR="00852511" w:rsidRPr="00805250" w:rsidRDefault="00852511" w:rsidP="00C4025A">
      <w:pPr>
        <w:jc w:val="left"/>
      </w:pPr>
    </w:p>
    <w:p w14:paraId="748AD967" w14:textId="7793CCE4" w:rsidR="00235F15" w:rsidRDefault="009E1B3B" w:rsidP="003A7D50">
      <w:pPr>
        <w:jc w:val="left"/>
        <w:rPr>
          <w:rFonts w:cs="Segoe UI"/>
          <w:szCs w:val="22"/>
        </w:rPr>
      </w:pPr>
      <w:r>
        <w:t>Düsseldorf, Almanya - Henkel 2024 yılı sürdürülebilirlik raporunu bugün yayınladı. Şirket, iklim koruma ve döngüsel ekonomi alanlarının yanı sıra sosyal konularda da ilerleme kayde</w:t>
      </w:r>
      <w:r w:rsidR="00457D35">
        <w:t xml:space="preserve">tti. </w:t>
      </w:r>
      <w:r>
        <w:t xml:space="preserve">Yıl içinde Henkel, Avrupa Birliği'nin yeni </w:t>
      </w:r>
      <w:r w:rsidR="003A7D50">
        <w:t>‘</w:t>
      </w:r>
      <w:r w:rsidRPr="003A7D50">
        <w:t>Kurumsal Sürdürülebilirlik Raporlama Direktifi</w:t>
      </w:r>
      <w:r w:rsidR="003A7D50">
        <w:t>’</w:t>
      </w:r>
      <w:r w:rsidR="00713EDF">
        <w:rPr>
          <w:i/>
          <w:iCs/>
        </w:rPr>
        <w:t xml:space="preserve"> </w:t>
      </w:r>
      <w:r>
        <w:rPr>
          <w:i/>
          <w:iCs/>
        </w:rPr>
        <w:t>(</w:t>
      </w:r>
      <w:r w:rsidR="0080064D" w:rsidRPr="0080064D">
        <w:rPr>
          <w:i/>
          <w:iCs/>
        </w:rPr>
        <w:t>Corporate Sustainability Reporting Directive</w:t>
      </w:r>
      <w:r w:rsidR="0080064D">
        <w:rPr>
          <w:i/>
          <w:iCs/>
        </w:rPr>
        <w:t xml:space="preserve"> – </w:t>
      </w:r>
      <w:r>
        <w:rPr>
          <w:i/>
          <w:iCs/>
        </w:rPr>
        <w:t>CSRD)</w:t>
      </w:r>
      <w:r>
        <w:t xml:space="preserve"> ve </w:t>
      </w:r>
      <w:r w:rsidR="003A7D50">
        <w:t>‘</w:t>
      </w:r>
      <w:r w:rsidRPr="003A7D50">
        <w:t>Avrupa Sürdürülebilirlik Raporlama Standartları'nın</w:t>
      </w:r>
      <w:r>
        <w:rPr>
          <w:i/>
          <w:iCs/>
        </w:rPr>
        <w:t xml:space="preserve"> (</w:t>
      </w:r>
      <w:r w:rsidR="00DB25C2" w:rsidRPr="00DB25C2">
        <w:rPr>
          <w:i/>
          <w:iCs/>
        </w:rPr>
        <w:t xml:space="preserve">European Sustainability Reporting Standards – </w:t>
      </w:r>
      <w:r>
        <w:rPr>
          <w:i/>
          <w:iCs/>
        </w:rPr>
        <w:t>ESRS)</w:t>
      </w:r>
      <w:r>
        <w:t xml:space="preserve"> içerikle ilgili gereklilikleri doğrultusunda gönüllü olarak raporlama gerçekleştirmiştir.</w:t>
      </w:r>
    </w:p>
    <w:p w14:paraId="0DC34898" w14:textId="77777777" w:rsidR="00235F15" w:rsidRPr="00805250" w:rsidRDefault="00235F15" w:rsidP="00235F15">
      <w:pPr>
        <w:rPr>
          <w:rFonts w:cs="Segoe UI"/>
          <w:szCs w:val="22"/>
        </w:rPr>
      </w:pPr>
      <w:r>
        <w:t> </w:t>
      </w:r>
    </w:p>
    <w:p w14:paraId="7003BCEB" w14:textId="72F03913" w:rsidR="00235F15" w:rsidRDefault="00187563" w:rsidP="00235F15">
      <w:r>
        <w:t>Henkel CEO'su Carsten Knobel</w:t>
      </w:r>
      <w:r w:rsidR="00457D35">
        <w:t xml:space="preserve"> konuyla ilgi</w:t>
      </w:r>
      <w:r w:rsidR="002B1A2F">
        <w:t>l</w:t>
      </w:r>
      <w:r w:rsidR="00457D35">
        <w:t>i görüşlerini şu sözlerle paylaştı:</w:t>
      </w:r>
      <w:r>
        <w:t xml:space="preserve"> “Geçtiğimiz yıl sürdürülebilirlik stratejimizin tüm alanlarında büyük ilerleme </w:t>
      </w:r>
      <w:r w:rsidR="00D46103">
        <w:t>ve</w:t>
      </w:r>
      <w:r>
        <w:t xml:space="preserve"> somut gelişmeler </w:t>
      </w:r>
      <w:r w:rsidR="00D46103">
        <w:t>kaydettik.</w:t>
      </w:r>
      <w:r>
        <w:t xml:space="preserve"> Zor</w:t>
      </w:r>
      <w:r w:rsidR="00404468">
        <w:t>lu zamanlarda</w:t>
      </w:r>
      <w:r w:rsidR="00AC2E9A">
        <w:t xml:space="preserve"> </w:t>
      </w:r>
      <w:r w:rsidR="00EF7756">
        <w:t>bile</w:t>
      </w:r>
      <w:r w:rsidR="00404468">
        <w:t xml:space="preserve"> </w:t>
      </w:r>
      <w:r>
        <w:t xml:space="preserve">temel değerlerimize </w:t>
      </w:r>
      <w:r w:rsidR="00404468">
        <w:t>bağlılığımızı sürdürdük</w:t>
      </w:r>
      <w:r w:rsidR="00701FEE">
        <w:t>.</w:t>
      </w:r>
      <w:r>
        <w:t xml:space="preserve"> </w:t>
      </w:r>
      <w:r w:rsidR="000F5E49">
        <w:t>Ü</w:t>
      </w:r>
      <w:r>
        <w:t>rünlerimiz, süreçlerimiz ve topluma katkı</w:t>
      </w:r>
      <w:r w:rsidR="00701FEE">
        <w:t>larımızla</w:t>
      </w:r>
      <w:r>
        <w:t xml:space="preserve"> daha sürdürülebilir bir dünya için </w:t>
      </w:r>
      <w:r w:rsidR="00701FEE">
        <w:t xml:space="preserve">kararlılıkla </w:t>
      </w:r>
      <w:r>
        <w:t>çalışıyoruz.</w:t>
      </w:r>
      <w:r w:rsidR="00CD007E">
        <w:t xml:space="preserve"> </w:t>
      </w:r>
      <w:r>
        <w:t xml:space="preserve">Bu durum, sera </w:t>
      </w:r>
      <w:r>
        <w:lastRenderedPageBreak/>
        <w:t xml:space="preserve">gazı </w:t>
      </w:r>
      <w:r w:rsidR="009B25D6">
        <w:t>emisyonları</w:t>
      </w:r>
      <w:r w:rsidR="003D0D67">
        <w:t>mızı</w:t>
      </w:r>
      <w:r>
        <w:t xml:space="preserve"> 2045 yılına kadar yüzde 90 oranında azaltmayı hedefleyen net sıfır yol haritamıza da yansımaktadır</w:t>
      </w:r>
      <w:r w:rsidR="00457D35">
        <w:t>.’’</w:t>
      </w:r>
    </w:p>
    <w:p w14:paraId="796BE936" w14:textId="77777777" w:rsidR="009B25D6" w:rsidRPr="00805250" w:rsidRDefault="009B25D6" w:rsidP="00235F15">
      <w:pPr>
        <w:rPr>
          <w:rFonts w:cs="Segoe UI"/>
          <w:szCs w:val="22"/>
        </w:rPr>
      </w:pPr>
    </w:p>
    <w:p w14:paraId="72726DFB" w14:textId="5D10E7CD" w:rsidR="00FB3960" w:rsidRPr="005E363B" w:rsidRDefault="004A2E97" w:rsidP="00FB3960">
      <w:pPr>
        <w:rPr>
          <w:rFonts w:cs="Segoe UI"/>
          <w:szCs w:val="22"/>
        </w:rPr>
      </w:pPr>
      <w:r>
        <w:t>Henke</w:t>
      </w:r>
      <w:r w:rsidR="003D27E1">
        <w:t xml:space="preserve">l </w:t>
      </w:r>
      <w:r w:rsidR="00B73A04">
        <w:t xml:space="preserve">İnsan Kaynakları, Altyapı ve Sürdürülebilirlikten Sorumlu </w:t>
      </w:r>
      <w:r w:rsidR="009B25D6">
        <w:t>Başkan</w:t>
      </w:r>
      <w:r w:rsidR="00B73A04">
        <w:t xml:space="preserve"> Yardımcısı Sylvie Nicol “</w:t>
      </w:r>
      <w:r w:rsidR="004B63AC">
        <w:t xml:space="preserve">Önemli </w:t>
      </w:r>
      <w:r w:rsidR="00B73A04">
        <w:t>sürdürülebilirlik girişimlerinde kaydettiğimiz</w:t>
      </w:r>
      <w:r w:rsidR="00880BBC">
        <w:t xml:space="preserve"> </w:t>
      </w:r>
      <w:r w:rsidR="00B73A04">
        <w:t>ilerlemeden gurur duyuyorum</w:t>
      </w:r>
      <w:r w:rsidR="004B63AC">
        <w:t>,</w:t>
      </w:r>
      <w:r w:rsidR="00B73A04">
        <w:t>” dedi ve şunları ekledi: “Örneğin 2024</w:t>
      </w:r>
      <w:r w:rsidR="00974706">
        <w:t>’te</w:t>
      </w:r>
      <w:r w:rsidR="00B73A04">
        <w:t xml:space="preserve"> tüketici ürünleri ambalajlarımızdaki geri dönüştürülmüş plastik oranını yüzde 25'e çıkardık. </w:t>
      </w:r>
      <w:r w:rsidR="00974706">
        <w:t>Ayrıca</w:t>
      </w:r>
      <w:r w:rsidR="00DF754A">
        <w:t>,</w:t>
      </w:r>
      <w:r w:rsidR="00974706">
        <w:t xml:space="preserve"> </w:t>
      </w:r>
      <w:r w:rsidR="00DF754A">
        <w:t>dünya genelinde</w:t>
      </w:r>
      <w:r w:rsidR="00B73A04">
        <w:t xml:space="preserve"> en az sekiz hafta</w:t>
      </w:r>
      <w:r w:rsidR="00DF754A">
        <w:t xml:space="preserve"> olmak üzere, </w:t>
      </w:r>
      <w:r w:rsidR="000413EA">
        <w:t>tam</w:t>
      </w:r>
      <w:r w:rsidR="00D9758C">
        <w:t xml:space="preserve"> ücretli</w:t>
      </w:r>
      <w:r w:rsidR="00B73A04">
        <w:t xml:space="preserve"> ve </w:t>
      </w:r>
      <w:r w:rsidR="00D9758C">
        <w:t>cinsiyetten bağımsız</w:t>
      </w:r>
      <w:r w:rsidR="00B73A04">
        <w:t xml:space="preserve"> ebeveyn izni</w:t>
      </w:r>
      <w:r w:rsidR="00E859A6">
        <w:t xml:space="preserve">ni hayata geçirdik. </w:t>
      </w:r>
      <w:r w:rsidR="005007F6">
        <w:t>Bu</w:t>
      </w:r>
      <w:r w:rsidR="00B73A04">
        <w:t xml:space="preserve"> uygulamamız çok olumlu </w:t>
      </w:r>
      <w:r w:rsidR="001C5138">
        <w:t>geri dönüşler</w:t>
      </w:r>
      <w:r w:rsidR="00B73A04">
        <w:t xml:space="preserve"> aldı. </w:t>
      </w:r>
      <w:r w:rsidR="00D93CA4">
        <w:t>Bunun yanı sıra</w:t>
      </w:r>
      <w:r w:rsidR="00B73A04">
        <w:t xml:space="preserve">, </w:t>
      </w:r>
      <w:r w:rsidR="003A7D50">
        <w:t>‘</w:t>
      </w:r>
      <w:r w:rsidR="001542AB" w:rsidRPr="001542AB">
        <w:t>Avrupa Sürdürülebilirlik Raporlama Standartları'nın (</w:t>
      </w:r>
      <w:r w:rsidR="001542AB" w:rsidRPr="003A7D50">
        <w:rPr>
          <w:i/>
          <w:iCs/>
        </w:rPr>
        <w:t>European Sustainability Reporting Standards – ESRS</w:t>
      </w:r>
      <w:r w:rsidR="001542AB" w:rsidRPr="001542AB">
        <w:t xml:space="preserve">) </w:t>
      </w:r>
      <w:r w:rsidR="00D93CA4">
        <w:t>yeni</w:t>
      </w:r>
      <w:r w:rsidR="00B73A04">
        <w:t xml:space="preserve"> içerik gereklilikleri</w:t>
      </w:r>
      <w:r w:rsidR="00D93CA4">
        <w:t xml:space="preserve"> </w:t>
      </w:r>
      <w:r w:rsidR="00B73A04">
        <w:t>doğrultusunda ilk sürdürülebilirlik raporu</w:t>
      </w:r>
      <w:r w:rsidR="00D93CA4">
        <w:t>muzu</w:t>
      </w:r>
      <w:r w:rsidR="00037632">
        <w:t xml:space="preserve"> hazırlayarak</w:t>
      </w:r>
      <w:r w:rsidR="00B73A04">
        <w:t xml:space="preserve"> </w:t>
      </w:r>
      <w:r w:rsidR="00037632" w:rsidRPr="00037632">
        <w:t>iç süreçlerimizi daha da geliştirdik</w:t>
      </w:r>
      <w:r w:rsidR="00037632">
        <w:t>.</w:t>
      </w:r>
      <w:r w:rsidR="000B73BC">
        <w:t>”</w:t>
      </w:r>
    </w:p>
    <w:p w14:paraId="4258DF3D" w14:textId="6678F190" w:rsidR="00385185" w:rsidRDefault="00385185" w:rsidP="00643D8A">
      <w:pPr>
        <w:rPr>
          <w:rFonts w:cs="Segoe UI"/>
          <w:szCs w:val="22"/>
        </w:rPr>
      </w:pPr>
    </w:p>
    <w:p w14:paraId="457BF5B6" w14:textId="701A8F8E" w:rsidR="001848FB" w:rsidRPr="007F451E" w:rsidRDefault="001848FB" w:rsidP="00D440F7">
      <w:pPr>
        <w:spacing w:after="120"/>
        <w:rPr>
          <w:rFonts w:cs="Segoe UI"/>
          <w:b/>
          <w:bCs/>
          <w:szCs w:val="22"/>
        </w:rPr>
      </w:pPr>
      <w:r>
        <w:rPr>
          <w:b/>
        </w:rPr>
        <w:t>İklimin korunmasına yönelik yeni hedefler</w:t>
      </w:r>
    </w:p>
    <w:p w14:paraId="38A12304" w14:textId="61B4B65B" w:rsidR="00531542" w:rsidRDefault="009F5E50" w:rsidP="009328F5">
      <w:pPr>
        <w:spacing w:after="120"/>
        <w:rPr>
          <w:rFonts w:cs="Segoe UI"/>
          <w:szCs w:val="22"/>
        </w:rPr>
      </w:pPr>
      <w:r>
        <w:t xml:space="preserve">Geçtiğimiz yıl sonu itibarıyla Henkel, 2017 baz yılına kıyasla </w:t>
      </w:r>
      <w:r>
        <w:rPr>
          <w:b/>
          <w:bCs/>
        </w:rPr>
        <w:t xml:space="preserve">üretimde </w:t>
      </w:r>
      <w:r w:rsidR="001C5138">
        <w:rPr>
          <w:b/>
          <w:bCs/>
        </w:rPr>
        <w:t xml:space="preserve">bir </w:t>
      </w:r>
      <w:r>
        <w:rPr>
          <w:b/>
          <w:bCs/>
        </w:rPr>
        <w:t>ton ürün başına</w:t>
      </w:r>
      <w:r w:rsidR="002C6754">
        <w:rPr>
          <w:b/>
          <w:bCs/>
        </w:rPr>
        <w:t xml:space="preserve"> düşen</w:t>
      </w:r>
      <w:r>
        <w:rPr>
          <w:b/>
          <w:bCs/>
        </w:rPr>
        <w:t xml:space="preserve"> </w:t>
      </w:r>
      <w:r w:rsidR="001C5138">
        <w:rPr>
          <w:b/>
          <w:bCs/>
        </w:rPr>
        <w:t xml:space="preserve">karbondioksit </w:t>
      </w:r>
      <w:r w:rsidR="009B25D6">
        <w:rPr>
          <w:b/>
          <w:bCs/>
        </w:rPr>
        <w:t>emisyonlarını</w:t>
      </w:r>
      <w:r>
        <w:rPr>
          <w:b/>
          <w:bCs/>
        </w:rPr>
        <w:t xml:space="preserve"> yüzde 64 oranında azalttı </w:t>
      </w:r>
      <w:r>
        <w:t xml:space="preserve">ve enerji kullanımında </w:t>
      </w:r>
      <w:r>
        <w:rPr>
          <w:b/>
          <w:bCs/>
        </w:rPr>
        <w:t>yenilenebilir kaynaklardan tedarik edilen enerjinin oranını yüzde 47'ye çıkardı</w:t>
      </w:r>
      <w:r>
        <w:t>.</w:t>
      </w:r>
    </w:p>
    <w:p w14:paraId="4C5965A5" w14:textId="13957C9D" w:rsidR="008C3C9F" w:rsidRPr="00370B0E" w:rsidRDefault="00123A5B" w:rsidP="009328F5">
      <w:pPr>
        <w:spacing w:after="120"/>
        <w:rPr>
          <w:rFonts w:cs="Segoe UI"/>
          <w:b/>
          <w:bCs/>
          <w:szCs w:val="22"/>
        </w:rPr>
      </w:pPr>
      <w:r>
        <w:t xml:space="preserve">Henkel ayrıca geçen yıl, daha önceki iklim hedeflerine kıyasla değer zincirinin daha büyük bir bölümünü kapsayan </w:t>
      </w:r>
      <w:r w:rsidR="00E919D9" w:rsidRPr="00DE1EDE">
        <w:t>‘</w:t>
      </w:r>
      <w:hyperlink r:id="rId12" w:history="1">
        <w:r w:rsidR="00E919D9" w:rsidRPr="00DE1EDE">
          <w:rPr>
            <w:rStyle w:val="Hyperlink"/>
            <w:b/>
            <w:color w:val="auto"/>
            <w:sz w:val="22"/>
          </w:rPr>
          <w:t>N</w:t>
        </w:r>
        <w:r w:rsidR="00093587" w:rsidRPr="00DE1EDE">
          <w:rPr>
            <w:rStyle w:val="Hyperlink"/>
            <w:b/>
            <w:color w:val="auto"/>
            <w:sz w:val="22"/>
          </w:rPr>
          <w:t xml:space="preserve">et </w:t>
        </w:r>
        <w:r w:rsidR="00E919D9" w:rsidRPr="00DE1EDE">
          <w:rPr>
            <w:rStyle w:val="Hyperlink"/>
            <w:b/>
            <w:color w:val="auto"/>
            <w:sz w:val="22"/>
          </w:rPr>
          <w:t>S</w:t>
        </w:r>
        <w:r w:rsidR="00093587" w:rsidRPr="00DE1EDE">
          <w:rPr>
            <w:rStyle w:val="Hyperlink"/>
            <w:b/>
            <w:color w:val="auto"/>
            <w:sz w:val="22"/>
          </w:rPr>
          <w:t xml:space="preserve">ıfır </w:t>
        </w:r>
        <w:r w:rsidR="00E919D9" w:rsidRPr="00DE1EDE">
          <w:rPr>
            <w:rStyle w:val="Hyperlink"/>
            <w:b/>
            <w:color w:val="auto"/>
            <w:sz w:val="22"/>
          </w:rPr>
          <w:t>H</w:t>
        </w:r>
        <w:r w:rsidR="00093587" w:rsidRPr="00DE1EDE">
          <w:rPr>
            <w:rStyle w:val="Hyperlink"/>
            <w:b/>
            <w:color w:val="auto"/>
            <w:sz w:val="22"/>
          </w:rPr>
          <w:t>edefleri</w:t>
        </w:r>
      </w:hyperlink>
      <w:r w:rsidR="00E919D9" w:rsidRPr="00DE1EDE">
        <w:rPr>
          <w:rStyle w:val="Hyperlink"/>
          <w:b/>
          <w:color w:val="auto"/>
          <w:sz w:val="22"/>
        </w:rPr>
        <w:t>’</w:t>
      </w:r>
      <w:r>
        <w:t xml:space="preserve"> belirledi. </w:t>
      </w:r>
      <w:r w:rsidRPr="00D9758C">
        <w:rPr>
          <w:b/>
          <w:szCs w:val="22"/>
        </w:rPr>
        <w:t xml:space="preserve">Henkel, </w:t>
      </w:r>
      <w:r w:rsidR="00D9758C" w:rsidRPr="004C107A">
        <w:rPr>
          <w:rFonts w:cs="Segoe UI"/>
          <w:b/>
          <w:bCs/>
          <w:szCs w:val="22"/>
        </w:rPr>
        <w:t xml:space="preserve">2045 yılına kadar mutlak </w:t>
      </w:r>
      <w:r w:rsidR="003C70A7">
        <w:rPr>
          <w:rFonts w:cs="Segoe UI"/>
          <w:b/>
          <w:bCs/>
          <w:szCs w:val="22"/>
        </w:rPr>
        <w:t>K</w:t>
      </w:r>
      <w:r w:rsidR="00D9758C" w:rsidRPr="004C107A">
        <w:rPr>
          <w:rFonts w:cs="Segoe UI"/>
          <w:b/>
          <w:bCs/>
          <w:szCs w:val="22"/>
        </w:rPr>
        <w:t xml:space="preserve">apsam 1, </w:t>
      </w:r>
      <w:r w:rsidR="004F408C">
        <w:rPr>
          <w:rFonts w:cs="Segoe UI"/>
          <w:b/>
          <w:bCs/>
          <w:szCs w:val="22"/>
        </w:rPr>
        <w:t>2 ve</w:t>
      </w:r>
      <w:r w:rsidR="006056F7">
        <w:rPr>
          <w:rFonts w:cs="Segoe UI"/>
          <w:b/>
          <w:bCs/>
          <w:szCs w:val="22"/>
        </w:rPr>
        <w:t xml:space="preserve"> </w:t>
      </w:r>
      <w:r w:rsidR="00D9758C" w:rsidRPr="004C107A">
        <w:rPr>
          <w:rFonts w:cs="Segoe UI"/>
          <w:b/>
          <w:bCs/>
          <w:szCs w:val="22"/>
        </w:rPr>
        <w:t>3 sera gazı</w:t>
      </w:r>
      <w:r w:rsidR="00D9758C" w:rsidRPr="00D9758C" w:rsidDel="00D9758C">
        <w:rPr>
          <w:b/>
          <w:szCs w:val="22"/>
        </w:rPr>
        <w:t xml:space="preserve"> </w:t>
      </w:r>
      <w:r w:rsidR="00B8188A" w:rsidRPr="00B8188A">
        <w:rPr>
          <w:b/>
          <w:szCs w:val="22"/>
        </w:rPr>
        <w:t xml:space="preserve">(GHG: greenhouse gas) </w:t>
      </w:r>
      <w:r w:rsidR="00D9758C" w:rsidRPr="004C107A">
        <w:rPr>
          <w:rFonts w:cs="Segoe UI"/>
          <w:b/>
          <w:bCs/>
          <w:szCs w:val="22"/>
        </w:rPr>
        <w:t xml:space="preserve">emisyonlarını </w:t>
      </w:r>
      <w:r w:rsidR="000604A5">
        <w:rPr>
          <w:rFonts w:cs="Segoe UI"/>
          <w:b/>
          <w:bCs/>
          <w:szCs w:val="22"/>
        </w:rPr>
        <w:t xml:space="preserve">yüzde </w:t>
      </w:r>
      <w:r w:rsidR="00D9758C" w:rsidRPr="004C107A">
        <w:rPr>
          <w:rFonts w:cs="Segoe UI"/>
          <w:b/>
          <w:bCs/>
          <w:szCs w:val="22"/>
        </w:rPr>
        <w:t xml:space="preserve">90 </w:t>
      </w:r>
      <w:r w:rsidR="008C056A">
        <w:rPr>
          <w:rFonts w:cs="Segoe UI"/>
          <w:b/>
          <w:bCs/>
          <w:szCs w:val="22"/>
        </w:rPr>
        <w:t xml:space="preserve">oranında </w:t>
      </w:r>
      <w:r w:rsidR="00D9758C" w:rsidRPr="004C107A">
        <w:rPr>
          <w:rFonts w:cs="Segoe UI"/>
          <w:b/>
          <w:bCs/>
          <w:szCs w:val="22"/>
        </w:rPr>
        <w:t xml:space="preserve">azaltmayı hedeflemektedir. </w:t>
      </w:r>
      <w:r w:rsidRPr="00D9758C">
        <w:rPr>
          <w:szCs w:val="22"/>
        </w:rPr>
        <w:t xml:space="preserve"> </w:t>
      </w:r>
      <w:r>
        <w:t xml:space="preserve">Kısa vadeli iklim hedefleri </w:t>
      </w:r>
      <w:r w:rsidR="00F752FE">
        <w:t>doğrultusunda</w:t>
      </w:r>
      <w:r>
        <w:t xml:space="preserve"> Henkel, 2030 yılına kadar (2021 yılına kıyasla) </w:t>
      </w:r>
      <w:r w:rsidR="008163F5">
        <w:t xml:space="preserve">mutlak </w:t>
      </w:r>
      <w:r w:rsidR="00A95D24">
        <w:t>K</w:t>
      </w:r>
      <w:r w:rsidR="008163F5">
        <w:t>apsam 1 ve 2</w:t>
      </w:r>
      <w:r>
        <w:t xml:space="preserve"> sera gazı </w:t>
      </w:r>
      <w:r w:rsidR="00122FC0">
        <w:t xml:space="preserve">(GHG) </w:t>
      </w:r>
      <w:r w:rsidR="009B25D6">
        <w:t>emisyonlarını</w:t>
      </w:r>
      <w:r>
        <w:t xml:space="preserve"> yüzde 42, </w:t>
      </w:r>
      <w:r w:rsidR="008163F5">
        <w:t xml:space="preserve">mutlak </w:t>
      </w:r>
      <w:r w:rsidR="00F85A3C">
        <w:t>K</w:t>
      </w:r>
      <w:r w:rsidR="008163F5">
        <w:t>apsam 3</w:t>
      </w:r>
      <w:r>
        <w:t xml:space="preserve"> sera gazı</w:t>
      </w:r>
      <w:r w:rsidR="00CD3C00">
        <w:t xml:space="preserve"> (GHG)</w:t>
      </w:r>
      <w:r>
        <w:t xml:space="preserve"> </w:t>
      </w:r>
      <w:r w:rsidR="009B25D6">
        <w:t>emisyonlarını</w:t>
      </w:r>
      <w:r>
        <w:t xml:space="preserve"> ise yüzde 30 oranında azaltmayı planlamaktadır. Yeni hedefler, </w:t>
      </w:r>
      <w:r w:rsidR="004D0383">
        <w:t xml:space="preserve">şirketlerin </w:t>
      </w:r>
      <w:r>
        <w:t>Paris İklim Sözleşmesi ile uyumlu sera gazı</w:t>
      </w:r>
      <w:r w:rsidR="00456E23">
        <w:t xml:space="preserve"> (GHG)</w:t>
      </w:r>
      <w:r w:rsidR="006950D3">
        <w:t xml:space="preserve"> </w:t>
      </w:r>
      <w:r>
        <w:t>azaltım hedefleri belirleme</w:t>
      </w:r>
      <w:r w:rsidR="004D0383">
        <w:t xml:space="preserve">sine destek olan </w:t>
      </w:r>
      <w:r>
        <w:t>iklim değişikliği kuruluşu</w:t>
      </w:r>
      <w:r w:rsidR="008163F5">
        <w:t xml:space="preserve"> </w:t>
      </w:r>
      <w:r w:rsidR="00217C35">
        <w:t>‘</w:t>
      </w:r>
      <w:r w:rsidR="008163F5">
        <w:t>Bilim Temelli Hedefler Girişimi</w:t>
      </w:r>
      <w:r w:rsidR="00217C35">
        <w:t>’</w:t>
      </w:r>
      <w:r>
        <w:t xml:space="preserve"> </w:t>
      </w:r>
      <w:r w:rsidR="008163F5">
        <w:rPr>
          <w:rFonts w:cs="Segoe UI"/>
          <w:szCs w:val="22"/>
        </w:rPr>
        <w:t>(</w:t>
      </w:r>
      <w:r w:rsidR="008163F5" w:rsidRPr="007066F9">
        <w:rPr>
          <w:rFonts w:cs="Segoe UI"/>
          <w:i/>
          <w:iCs/>
          <w:szCs w:val="22"/>
        </w:rPr>
        <w:t xml:space="preserve">Science Based Targets initiative </w:t>
      </w:r>
      <w:r w:rsidR="0037585B" w:rsidRPr="003A7D50">
        <w:rPr>
          <w:i/>
          <w:iCs/>
        </w:rPr>
        <w:t>–</w:t>
      </w:r>
      <w:r w:rsidR="0037585B">
        <w:rPr>
          <w:rFonts w:cs="Segoe UI"/>
          <w:i/>
          <w:iCs/>
          <w:szCs w:val="22"/>
        </w:rPr>
        <w:t xml:space="preserve"> </w:t>
      </w:r>
      <w:r w:rsidR="008163F5" w:rsidRPr="007066F9">
        <w:rPr>
          <w:rFonts w:cs="Segoe UI"/>
          <w:i/>
          <w:iCs/>
          <w:szCs w:val="22"/>
        </w:rPr>
        <w:t>SBTi</w:t>
      </w:r>
      <w:r w:rsidR="008163F5" w:rsidRPr="007046D2">
        <w:rPr>
          <w:rFonts w:cs="Segoe UI"/>
          <w:szCs w:val="22"/>
        </w:rPr>
        <w:t xml:space="preserve">) </w:t>
      </w:r>
      <w:r w:rsidRPr="008163F5">
        <w:rPr>
          <w:szCs w:val="22"/>
        </w:rPr>
        <w:t>tarafından onaylanmıştır</w:t>
      </w:r>
      <w:r>
        <w:t>.</w:t>
      </w:r>
      <w:r>
        <w:rPr>
          <w:b/>
        </w:rPr>
        <w:t xml:space="preserve"> </w:t>
      </w:r>
      <w:r>
        <w:t xml:space="preserve">2024 yılı sonu itibarıyla </w:t>
      </w:r>
      <w:r w:rsidR="005B5E15">
        <w:t xml:space="preserve">Henkel; </w:t>
      </w:r>
      <w:r w:rsidR="00F82A40">
        <w:t>K</w:t>
      </w:r>
      <w:r>
        <w:t xml:space="preserve">apsam 1, </w:t>
      </w:r>
      <w:r w:rsidR="002F7D02">
        <w:t xml:space="preserve">2, </w:t>
      </w:r>
      <w:r>
        <w:t>3 sera gazı</w:t>
      </w:r>
      <w:r w:rsidR="0022388A">
        <w:t xml:space="preserve"> (GHG) </w:t>
      </w:r>
      <w:r w:rsidR="009B25D6">
        <w:t>emisyonlarını</w:t>
      </w:r>
      <w:r w:rsidR="00F85A23">
        <w:t xml:space="preserve"> 2021 yılına kıyasla</w:t>
      </w:r>
      <w:r w:rsidR="009B25D6">
        <w:t xml:space="preserve"> </w:t>
      </w:r>
      <w:r>
        <w:t>yüzde 20 oranında azaltmıştır</w:t>
      </w:r>
      <w:r w:rsidR="00201718">
        <w:t>.</w:t>
      </w:r>
    </w:p>
    <w:p w14:paraId="45957CC5" w14:textId="0967C4F8" w:rsidR="00046FC0" w:rsidRPr="001603FB" w:rsidRDefault="007171EE" w:rsidP="00046FC0">
      <w:pPr>
        <w:rPr>
          <w:b/>
          <w:color w:val="0000FF"/>
          <w:szCs w:val="18"/>
          <w:u w:val="single"/>
        </w:rPr>
      </w:pPr>
      <w:r>
        <w:t xml:space="preserve">Henkel, geçtiğimiz yıl değer zincirini karbondan daha da fazla arındırmak </w:t>
      </w:r>
      <w:r w:rsidR="00EF2505" w:rsidRPr="00EF2505">
        <w:t>ve tedarik zincirindeki</w:t>
      </w:r>
      <w:r w:rsidR="00EF2505">
        <w:t xml:space="preserve"> karbondioksit</w:t>
      </w:r>
      <w:r w:rsidR="00EF2505" w:rsidRPr="00EF2505">
        <w:t xml:space="preserve"> emisyonlarını </w:t>
      </w:r>
      <w:r w:rsidR="00EF2505">
        <w:t xml:space="preserve">(Kapsam 3) </w:t>
      </w:r>
      <w:r w:rsidR="00EF2505" w:rsidRPr="00EF2505">
        <w:t>daha iyi izlemek için</w:t>
      </w:r>
      <w:r w:rsidR="00335114">
        <w:t xml:space="preserve"> </w:t>
      </w:r>
      <w:hyperlink r:id="rId13" w:history="1">
        <w:r w:rsidR="001603FB">
          <w:rPr>
            <w:rStyle w:val="Hyperlink"/>
            <w:b/>
            <w:sz w:val="22"/>
          </w:rPr>
          <w:t>global tedarikçilerine yönelik katılım programına</w:t>
        </w:r>
      </w:hyperlink>
      <w:r w:rsidR="00335114">
        <w:t xml:space="preserve"> </w:t>
      </w:r>
      <w:r w:rsidR="001603FB">
        <w:t>hız verdi</w:t>
      </w:r>
      <w:r w:rsidR="00FB4589">
        <w:t>.</w:t>
      </w:r>
      <w:r w:rsidR="00335114">
        <w:t xml:space="preserve"> Program kapsamında </w:t>
      </w:r>
      <w:r w:rsidR="009B25D6">
        <w:t>emisyon v</w:t>
      </w:r>
      <w:r w:rsidR="00335114">
        <w:t xml:space="preserve">erileri toplanmakta ve </w:t>
      </w:r>
      <w:r w:rsidR="009B25D6">
        <w:t xml:space="preserve">emisyonları </w:t>
      </w:r>
      <w:r w:rsidR="00335114">
        <w:t xml:space="preserve">azaltmak için özel </w:t>
      </w:r>
      <w:r w:rsidR="00AA48A8">
        <w:t>tedbirler</w:t>
      </w:r>
      <w:r w:rsidR="00335114">
        <w:t xml:space="preserve"> tanımlanmaktadır.</w:t>
      </w:r>
    </w:p>
    <w:p w14:paraId="685DEAB4" w14:textId="77777777" w:rsidR="00F87681" w:rsidRDefault="00F87681" w:rsidP="00D440F7">
      <w:pPr>
        <w:spacing w:after="120"/>
        <w:rPr>
          <w:b/>
        </w:rPr>
      </w:pPr>
    </w:p>
    <w:p w14:paraId="6E800CE3" w14:textId="3EF216B5" w:rsidR="00C31226" w:rsidRPr="00582AC1" w:rsidRDefault="00F76B83" w:rsidP="00D440F7">
      <w:pPr>
        <w:spacing w:after="120"/>
        <w:rPr>
          <w:rFonts w:cs="Segoe UI"/>
          <w:b/>
          <w:bCs/>
          <w:szCs w:val="22"/>
        </w:rPr>
      </w:pPr>
      <w:r>
        <w:rPr>
          <w:b/>
        </w:rPr>
        <w:t>Sürdürülebilir ambalaj çözümleri</w:t>
      </w:r>
    </w:p>
    <w:p w14:paraId="79281CC6" w14:textId="3ECFE449" w:rsidR="009328F5" w:rsidRPr="0092694E" w:rsidRDefault="0092694E" w:rsidP="009328F5">
      <w:pPr>
        <w:spacing w:after="120"/>
        <w:rPr>
          <w:rFonts w:cs="Segoe UI"/>
          <w:szCs w:val="22"/>
        </w:rPr>
      </w:pPr>
      <w:r>
        <w:t>Henkel</w:t>
      </w:r>
      <w:r w:rsidR="00581880">
        <w:t>,</w:t>
      </w:r>
      <w:r>
        <w:t xml:space="preserve"> </w:t>
      </w:r>
      <w:r>
        <w:rPr>
          <w:b/>
          <w:bCs/>
        </w:rPr>
        <w:t>tüketici ürünlerinin ambalajlarında geri dönüştürülmüş plastiğin payını daha da artırarak yüzde 25'e yükseltti</w:t>
      </w:r>
      <w:r>
        <w:t xml:space="preserve">. Şirket bu yılın sonuna kadar bu oranın yüzde 30'a ulaşmasını </w:t>
      </w:r>
      <w:r w:rsidR="00FB4589">
        <w:t>hedefliyor.</w:t>
      </w:r>
      <w:r>
        <w:t xml:space="preserve"> </w:t>
      </w:r>
    </w:p>
    <w:p w14:paraId="0A60A0BE" w14:textId="4304C82B" w:rsidR="004E2693" w:rsidRPr="0092694E" w:rsidRDefault="0092694E" w:rsidP="009328F5">
      <w:pPr>
        <w:spacing w:after="120"/>
        <w:rPr>
          <w:rFonts w:cs="Segoe UI"/>
          <w:szCs w:val="22"/>
        </w:rPr>
      </w:pPr>
      <w:r>
        <w:t>Bu ilerlemeyi özellikle vurgulayan iki örnekten bahse</w:t>
      </w:r>
      <w:r w:rsidR="00FB4589">
        <w:t xml:space="preserve">dilebilir: </w:t>
      </w:r>
      <w:r>
        <w:t>Avrupa'da Henkel, sıvı deterjan ve saç bakım ürünleri ambalajlarında tüketici sonrası geri dönü</w:t>
      </w:r>
      <w:r w:rsidR="00701BB9">
        <w:t>ştürülmüş ma</w:t>
      </w:r>
      <w:r w:rsidR="00AB1491">
        <w:t>lzeme</w:t>
      </w:r>
      <w:r>
        <w:t xml:space="preserve"> </w:t>
      </w:r>
      <w:r w:rsidR="00AB1491">
        <w:t>oranını</w:t>
      </w:r>
      <w:r>
        <w:t xml:space="preserve"> en az </w:t>
      </w:r>
      <w:r>
        <w:lastRenderedPageBreak/>
        <w:t>yüzde 50'ye çıkardı. Buna Persil, Weißer Riese, Spee ve Gliss gibi markalar da d</w:t>
      </w:r>
      <w:r w:rsidR="0079124F">
        <w:t>a</w:t>
      </w:r>
      <w:r>
        <w:t xml:space="preserve">hildir. Kuzey Amerika'da </w:t>
      </w:r>
      <w:r w:rsidR="00FB4589">
        <w:t xml:space="preserve">ise </w:t>
      </w:r>
      <w:r>
        <w:t>şirket, sıvı el sabunu Dial için yüzde 100 geri dönüştürülmüş plastikten üretilen yeni bir ambalaj</w:t>
      </w:r>
      <w:r w:rsidR="00B12574">
        <w:t>ı piyasaya sundu.</w:t>
      </w:r>
      <w:r>
        <w:t xml:space="preserve"> </w:t>
      </w:r>
    </w:p>
    <w:p w14:paraId="37BD7D48" w14:textId="4962671E" w:rsidR="0092694E" w:rsidRDefault="00DB50AA" w:rsidP="009328F5">
      <w:pPr>
        <w:spacing w:after="120"/>
        <w:rPr>
          <w:rFonts w:cs="Segoe UI"/>
          <w:szCs w:val="22"/>
        </w:rPr>
      </w:pPr>
      <w:r w:rsidRPr="00DB50AA">
        <w:t>Henkel</w:t>
      </w:r>
      <w:r>
        <w:t xml:space="preserve"> ayrıca</w:t>
      </w:r>
      <w:r w:rsidRPr="00DB50AA">
        <w:t xml:space="preserve">, tüketici </w:t>
      </w:r>
      <w:r>
        <w:t xml:space="preserve">ürünleri </w:t>
      </w:r>
      <w:r w:rsidRPr="00DB50AA">
        <w:t>ambalajlarının tamamını geri dönüştürülebilir şekilde tasarlamayı da hedefl</w:t>
      </w:r>
      <w:r>
        <w:t>emektedir</w:t>
      </w:r>
      <w:r w:rsidRPr="00DB50AA">
        <w:t xml:space="preserve">. </w:t>
      </w:r>
      <w:r w:rsidR="0092694E">
        <w:t xml:space="preserve">2024 yılı sonunda bu oran yüzde 89'a ulaşmıştır. </w:t>
      </w:r>
    </w:p>
    <w:p w14:paraId="6E9A8A46" w14:textId="315D8720" w:rsidR="002C0B49" w:rsidRDefault="002C0B49" w:rsidP="00255A4F">
      <w:pPr>
        <w:rPr>
          <w:rFonts w:cs="Segoe UI"/>
          <w:szCs w:val="22"/>
        </w:rPr>
      </w:pPr>
      <w:r>
        <w:t xml:space="preserve">Henkel, Yapıştırıcı Teknolojileri </w:t>
      </w:r>
      <w:r w:rsidR="00C10A62">
        <w:t>İ</w:t>
      </w:r>
      <w:r>
        <w:t xml:space="preserve">ş </w:t>
      </w:r>
      <w:r w:rsidR="00C10A62">
        <w:t>B</w:t>
      </w:r>
      <w:r>
        <w:t>irimi</w:t>
      </w:r>
      <w:r w:rsidR="00C10A62">
        <w:t>’</w:t>
      </w:r>
      <w:r>
        <w:t xml:space="preserve">nin yapıştırıcı alanındaki </w:t>
      </w:r>
      <w:r w:rsidR="00C10A62">
        <w:t>yenilikleri</w:t>
      </w:r>
      <w:r>
        <w:t xml:space="preserve"> ile</w:t>
      </w:r>
      <w:r w:rsidR="00C10A62">
        <w:t>,</w:t>
      </w:r>
      <w:r>
        <w:t xml:space="preserve"> daha sürdürülebilir ambalajlar için yeni standartlar belirlemektedir. Örneğin, gıda ambalajları da </w:t>
      </w:r>
      <w:r w:rsidR="003330A6">
        <w:t xml:space="preserve">dahil </w:t>
      </w:r>
      <w:r w:rsidR="00F517C7">
        <w:t xml:space="preserve">olmak üzere çeşitli alanlarda </w:t>
      </w:r>
      <w:r>
        <w:t>kullanılan Technomelt marka</w:t>
      </w:r>
      <w:r w:rsidR="00C10A62">
        <w:t>sına</w:t>
      </w:r>
      <w:r>
        <w:t xml:space="preserve"> </w:t>
      </w:r>
      <w:r w:rsidR="00C10A62">
        <w:t xml:space="preserve">ait </w:t>
      </w:r>
      <w:r>
        <w:t xml:space="preserve">yeni bir </w:t>
      </w:r>
      <w:r w:rsidR="00970C87">
        <w:t>‘</w:t>
      </w:r>
      <w:r w:rsidR="00FB4589" w:rsidRPr="006D16BD">
        <w:t>hot melt</w:t>
      </w:r>
      <w:r w:rsidR="00970C87">
        <w:t xml:space="preserve">’ </w:t>
      </w:r>
      <w:r>
        <w:t xml:space="preserve">yapıştırıcı, en az yüzde 49 oranında </w:t>
      </w:r>
      <w:r w:rsidRPr="00970C87">
        <w:t>biyo-bazlı</w:t>
      </w:r>
      <w:r>
        <w:t xml:space="preserve"> ham</w:t>
      </w:r>
      <w:r w:rsidR="00C10A62">
        <w:t xml:space="preserve"> </w:t>
      </w:r>
      <w:r>
        <w:t>maddelerden oluşmaktadır.</w:t>
      </w:r>
      <w:r w:rsidR="00F857B6">
        <w:t xml:space="preserve"> </w:t>
      </w:r>
      <w:r w:rsidR="00C27349">
        <w:t>Böylece</w:t>
      </w:r>
      <w:r w:rsidR="00F16D36" w:rsidRPr="00F16D36">
        <w:t>, ürünün uygulama aşamasında müşteriler için</w:t>
      </w:r>
      <w:r w:rsidR="00C27349">
        <w:t xml:space="preserve"> de</w:t>
      </w:r>
      <w:r w:rsidR="00F16D36" w:rsidRPr="00F16D36">
        <w:t xml:space="preserve"> enerji tüketimi</w:t>
      </w:r>
      <w:r w:rsidR="00F16D36">
        <w:t>ne duyulan ihtiyaç</w:t>
      </w:r>
      <w:r w:rsidR="00F16D36" w:rsidRPr="00F16D36">
        <w:t xml:space="preserve"> önemli ölçüde </w:t>
      </w:r>
      <w:r w:rsidR="00F16D36">
        <w:t xml:space="preserve">azalmaktadır. </w:t>
      </w:r>
    </w:p>
    <w:p w14:paraId="62508F30" w14:textId="39B78EED" w:rsidR="00D440F7" w:rsidRPr="000901C2" w:rsidRDefault="002C0B49" w:rsidP="000901C2">
      <w:pPr>
        <w:spacing w:after="120"/>
        <w:rPr>
          <w:rFonts w:cs="Segoe UI"/>
          <w:b/>
          <w:bCs/>
          <w:szCs w:val="22"/>
        </w:rPr>
      </w:pPr>
      <w:r>
        <w:br/>
      </w:r>
      <w:r>
        <w:rPr>
          <w:b/>
        </w:rPr>
        <w:t>Eşit fırsatlar ve adil çalışma koşulları</w:t>
      </w:r>
    </w:p>
    <w:p w14:paraId="1BE12242" w14:textId="63A8BE8B" w:rsidR="00D440F7" w:rsidRDefault="00B44C88" w:rsidP="0055064A">
      <w:pPr>
        <w:spacing w:after="120"/>
        <w:rPr>
          <w:rFonts w:cs="Segoe UI"/>
          <w:szCs w:val="22"/>
        </w:rPr>
      </w:pPr>
      <w:r>
        <w:t xml:space="preserve">Çeşitlilik ve eşitlik alanında bir kilometre taşı da şirketin dünya </w:t>
      </w:r>
      <w:r w:rsidR="00D463B1">
        <w:t>genelinde</w:t>
      </w:r>
      <w:r>
        <w:t xml:space="preserve"> 47.000 çalışanının tamamı için uygulamaya </w:t>
      </w:r>
      <w:r w:rsidR="00A40494">
        <w:t>aldığı</w:t>
      </w:r>
      <w:r>
        <w:t xml:space="preserve"> </w:t>
      </w:r>
      <w:hyperlink r:id="rId14" w:history="1">
        <w:r w:rsidR="00855492">
          <w:rPr>
            <w:rStyle w:val="Hyperlink"/>
            <w:b/>
            <w:sz w:val="22"/>
          </w:rPr>
          <w:t>cinsiyetten bağımsız ebeveyn izni</w:t>
        </w:r>
      </w:hyperlink>
      <w:r>
        <w:rPr>
          <w:rStyle w:val="Hyperlink"/>
          <w:b/>
          <w:sz w:val="22"/>
        </w:rPr>
        <w:t xml:space="preserve"> </w:t>
      </w:r>
      <w:r w:rsidRPr="007D64FA">
        <w:rPr>
          <w:rStyle w:val="Hyperlink"/>
          <w:color w:val="auto"/>
          <w:sz w:val="22"/>
          <w:u w:val="none"/>
        </w:rPr>
        <w:t>programıdır</w:t>
      </w:r>
      <w:r w:rsidRPr="0014712B">
        <w:t xml:space="preserve">. </w:t>
      </w:r>
      <w:r>
        <w:t>Program en az sekiz haftalık ücretli ebeveyn iznini güvence altına almakta olup</w:t>
      </w:r>
      <w:r w:rsidR="00B5784D">
        <w:t>,</w:t>
      </w:r>
      <w:r>
        <w:t xml:space="preserve"> evlat edinilmiş ya da koruyucu aileye verilmiş çocuklar, bekar ebeveynler de d</w:t>
      </w:r>
      <w:r w:rsidR="00825BEE">
        <w:t>a</w:t>
      </w:r>
      <w:r>
        <w:t xml:space="preserve">hil olmak üzere tüm aile yapıları için geçerlidir. </w:t>
      </w:r>
      <w:r w:rsidR="00062F96">
        <w:t>Programa yönelik</w:t>
      </w:r>
      <w:r>
        <w:t xml:space="preserve"> </w:t>
      </w:r>
      <w:r w:rsidR="00B5784D">
        <w:t>geri bildirimler</w:t>
      </w:r>
      <w:r w:rsidR="00062F96">
        <w:t>in</w:t>
      </w:r>
      <w:r>
        <w:t xml:space="preserve"> çok olumlu </w:t>
      </w:r>
      <w:r w:rsidR="00AF6637">
        <w:t>olmasının yanı sıra</w:t>
      </w:r>
      <w:r w:rsidR="00062F96">
        <w:t xml:space="preserve">, </w:t>
      </w:r>
      <w:r w:rsidRPr="00C94EDB">
        <w:rPr>
          <w:b/>
          <w:bCs/>
        </w:rPr>
        <w:t xml:space="preserve">dünya genelinde </w:t>
      </w:r>
      <w:r w:rsidR="00DD0A18" w:rsidRPr="00C94EDB">
        <w:rPr>
          <w:b/>
          <w:bCs/>
        </w:rPr>
        <w:t xml:space="preserve">ebeveyn izni kullanan çalışan sayısı </w:t>
      </w:r>
      <w:r w:rsidRPr="00943470">
        <w:t>bir önceki yıla göre</w:t>
      </w:r>
      <w:r w:rsidRPr="00C94EDB">
        <w:rPr>
          <w:b/>
          <w:bCs/>
        </w:rPr>
        <w:t xml:space="preserve"> </w:t>
      </w:r>
      <w:r w:rsidR="00DD0A18" w:rsidRPr="00C94EDB">
        <w:rPr>
          <w:b/>
          <w:bCs/>
        </w:rPr>
        <w:t>yaklaşık yüzde 30 arttı.</w:t>
      </w:r>
      <w:r w:rsidR="00DD0A18">
        <w:rPr>
          <w:b/>
          <w:bCs/>
        </w:rPr>
        <w:t xml:space="preserve"> </w:t>
      </w:r>
    </w:p>
    <w:p w14:paraId="3C4DE5AD" w14:textId="0127D950" w:rsidR="006B2E37" w:rsidRPr="006B2E37" w:rsidRDefault="00B44C88" w:rsidP="006B2E37">
      <w:pPr>
        <w:spacing w:after="120"/>
        <w:rPr>
          <w:rFonts w:cs="Segoe UI"/>
          <w:b/>
          <w:bCs/>
          <w:szCs w:val="22"/>
        </w:rPr>
      </w:pPr>
      <w:r>
        <w:t xml:space="preserve">Buna ek olarak Henkel, </w:t>
      </w:r>
      <w:r w:rsidR="00062F96">
        <w:rPr>
          <w:b/>
          <w:bCs/>
        </w:rPr>
        <w:t>yönetici pozisyonundaki kadın</w:t>
      </w:r>
      <w:r w:rsidR="00B5784D">
        <w:rPr>
          <w:b/>
          <w:bCs/>
        </w:rPr>
        <w:t xml:space="preserve"> </w:t>
      </w:r>
      <w:r>
        <w:rPr>
          <w:b/>
          <w:bCs/>
        </w:rPr>
        <w:t>oranını yüzde 42'ye çıkarmayı</w:t>
      </w:r>
      <w:r>
        <w:t xml:space="preserve"> başardı.</w:t>
      </w:r>
      <w:r>
        <w:rPr>
          <w:b/>
        </w:rPr>
        <w:t xml:space="preserve"> </w:t>
      </w:r>
    </w:p>
    <w:p w14:paraId="5EAD1AFD" w14:textId="311B3767" w:rsidR="00DC258E" w:rsidRDefault="00DC258E" w:rsidP="000901C2">
      <w:r w:rsidRPr="003F799D">
        <w:rPr>
          <w:b/>
          <w:bCs/>
        </w:rPr>
        <w:t>Adil çalışma koşullarına olan bağlılığı</w:t>
      </w:r>
      <w:r w:rsidR="00821A84">
        <w:t xml:space="preserve"> çerçevesinde</w:t>
      </w:r>
      <w:r w:rsidRPr="00DC258E">
        <w:t xml:space="preserve"> Henkel, dünya genelindeki çalışanlarının maaşlarının yerel geçim ücreti standartlarıyla </w:t>
      </w:r>
      <w:r w:rsidR="00697834">
        <w:t xml:space="preserve">süreki olarak </w:t>
      </w:r>
      <w:r w:rsidRPr="00DC258E">
        <w:t xml:space="preserve">uyumlu </w:t>
      </w:r>
      <w:r w:rsidR="006B2E37">
        <w:t>kalmasın</w:t>
      </w:r>
      <w:r w:rsidRPr="00DC258E">
        <w:t>ı sağlamak amacıyla</w:t>
      </w:r>
      <w:r w:rsidR="006B2E37">
        <w:t>,</w:t>
      </w:r>
      <w:r w:rsidRPr="00DC258E">
        <w:t xml:space="preserve"> </w:t>
      </w:r>
      <w:r w:rsidRPr="00DC258E">
        <w:rPr>
          <w:b/>
          <w:bCs/>
        </w:rPr>
        <w:t>yıllık ek bir değerlendirme</w:t>
      </w:r>
      <w:r w:rsidRPr="00DC258E">
        <w:t xml:space="preserve"> süreci başlattı.</w:t>
      </w:r>
    </w:p>
    <w:p w14:paraId="42EBA7D2" w14:textId="77777777" w:rsidR="00C4120A" w:rsidRDefault="00C4120A" w:rsidP="000901C2">
      <w:pPr>
        <w:rPr>
          <w:rFonts w:cs="Segoe UI"/>
          <w:szCs w:val="22"/>
        </w:rPr>
      </w:pPr>
    </w:p>
    <w:p w14:paraId="5B463617" w14:textId="74F5125A" w:rsidR="00B15079" w:rsidRPr="00582AC1" w:rsidRDefault="00B15079" w:rsidP="000901C2">
      <w:pPr>
        <w:spacing w:after="120"/>
        <w:rPr>
          <w:rFonts w:cs="Segoe UI"/>
          <w:b/>
          <w:bCs/>
          <w:szCs w:val="22"/>
        </w:rPr>
      </w:pPr>
      <w:r>
        <w:rPr>
          <w:b/>
        </w:rPr>
        <w:t>Sürdürülebilirlik performansına kurum dışından takdir</w:t>
      </w:r>
    </w:p>
    <w:p w14:paraId="0FA6CF6C" w14:textId="5BFF88C0" w:rsidR="00E806CE" w:rsidRDefault="00062F96" w:rsidP="009C11F5">
      <w:pPr>
        <w:spacing w:after="120"/>
      </w:pPr>
      <w:r>
        <w:t>B</w:t>
      </w:r>
      <w:r w:rsidR="00B15079">
        <w:t>ağımsız</w:t>
      </w:r>
      <w:r w:rsidR="00F703EE">
        <w:t xml:space="preserve"> harici</w:t>
      </w:r>
      <w:r w:rsidR="00B15079">
        <w:t xml:space="preserve"> derecelendirme kuruluşları</w:t>
      </w:r>
      <w:r w:rsidR="00120B68">
        <w:t>,</w:t>
      </w:r>
      <w:r w:rsidR="00B15079">
        <w:t xml:space="preserve"> Henkel'in sürdürülebilirlik alanındaki ilerlemesini bir kez daha </w:t>
      </w:r>
      <w:r w:rsidR="00533817">
        <w:t>tescil</w:t>
      </w:r>
      <w:r w:rsidR="00B15079">
        <w:t xml:space="preserve"> etti. Bu kapsamda</w:t>
      </w:r>
      <w:r w:rsidR="00FF2E27">
        <w:t xml:space="preserve"> </w:t>
      </w:r>
      <w:r w:rsidR="0068235B">
        <w:t>‘</w:t>
      </w:r>
      <w:r w:rsidR="00FF2E27">
        <w:t>Çevresel, Sosyal ve Kurumsal Yönetişim</w:t>
      </w:r>
      <w:r w:rsidR="0068235B">
        <w:t>’</w:t>
      </w:r>
      <w:r w:rsidR="00120B68">
        <w:rPr>
          <w:i/>
          <w:iCs/>
        </w:rPr>
        <w:t xml:space="preserve"> </w:t>
      </w:r>
      <w:r w:rsidR="002C0894" w:rsidRPr="00AD1DEA">
        <w:rPr>
          <w:i/>
          <w:iCs/>
        </w:rPr>
        <w:t>(</w:t>
      </w:r>
      <w:r w:rsidR="00AD1DEA" w:rsidRPr="00AD1DEA">
        <w:rPr>
          <w:i/>
          <w:iCs/>
        </w:rPr>
        <w:t xml:space="preserve">Environmental, Social, and Governance – </w:t>
      </w:r>
      <w:r w:rsidR="00443C04" w:rsidRPr="00AD1DEA">
        <w:rPr>
          <w:i/>
          <w:iCs/>
        </w:rPr>
        <w:t>ESG</w:t>
      </w:r>
      <w:r w:rsidR="00AD1DEA" w:rsidRPr="00AD1DEA">
        <w:rPr>
          <w:i/>
          <w:iCs/>
        </w:rPr>
        <w:t>)</w:t>
      </w:r>
      <w:r w:rsidR="00443C04">
        <w:t xml:space="preserve"> </w:t>
      </w:r>
      <w:r w:rsidR="00B15079">
        <w:t xml:space="preserve">derecelendirme kuruluşu </w:t>
      </w:r>
      <w:r w:rsidR="00AB3270">
        <w:t>‘</w:t>
      </w:r>
      <w:r w:rsidR="00B15079" w:rsidRPr="00AB3270">
        <w:t>EcoVadis</w:t>
      </w:r>
      <w:r w:rsidR="00AB3270">
        <w:t>’</w:t>
      </w:r>
      <w:r w:rsidR="00B15079">
        <w:t xml:space="preserve"> Henkel'i Altın Madalya ile ödüllendirdi. Bu da Henkel'in değerlendirilen şirketler arasında ilk yüzde beşlik dilimde olduğunu gösteriyor. Ayrıca Henkel, sürdürülebilirlik performansı </w:t>
      </w:r>
      <w:r w:rsidR="00517FAE">
        <w:t>sayesinde</w:t>
      </w:r>
      <w:r w:rsidR="00B15079">
        <w:t xml:space="preserve"> </w:t>
      </w:r>
      <w:r w:rsidR="00DE73B2">
        <w:t>‘</w:t>
      </w:r>
      <w:r w:rsidR="00B15079" w:rsidRPr="00DE73B2">
        <w:t>Morningstar Sustainalytics</w:t>
      </w:r>
      <w:r w:rsidR="00DE73B2">
        <w:t>’</w:t>
      </w:r>
      <w:r w:rsidR="00B15079" w:rsidRPr="00DE73B2">
        <w:t xml:space="preserve"> </w:t>
      </w:r>
      <w:r w:rsidR="00B15079">
        <w:t xml:space="preserve">tarafından </w:t>
      </w:r>
      <w:r w:rsidR="00B92320">
        <w:t>‘En Beğenilen Şirket’ (</w:t>
      </w:r>
      <w:r w:rsidR="00C315E4" w:rsidRPr="00DE335A">
        <w:rPr>
          <w:i/>
        </w:rPr>
        <w:t>Top-Rated Company</w:t>
      </w:r>
      <w:r w:rsidR="00B92320">
        <w:rPr>
          <w:i/>
        </w:rPr>
        <w:t>)</w:t>
      </w:r>
      <w:r w:rsidR="00B15079">
        <w:t xml:space="preserve"> </w:t>
      </w:r>
      <w:r w:rsidR="00C315E4">
        <w:t xml:space="preserve">kategorisinde </w:t>
      </w:r>
      <w:r w:rsidR="00B15079">
        <w:t>kabul edildi. Bunların yanı</w:t>
      </w:r>
      <w:r w:rsidR="00C315E4">
        <w:t xml:space="preserve"> sıra</w:t>
      </w:r>
      <w:r w:rsidR="00B15079">
        <w:t xml:space="preserve"> şirket, </w:t>
      </w:r>
      <w:r w:rsidR="00DE73B2">
        <w:t>‘</w:t>
      </w:r>
      <w:r w:rsidR="00B15079" w:rsidRPr="00A24E9A">
        <w:t xml:space="preserve">Corporate Knights'ın </w:t>
      </w:r>
      <w:r w:rsidR="00841B87">
        <w:t>‘</w:t>
      </w:r>
      <w:r w:rsidR="00B15079" w:rsidRPr="00A24E9A">
        <w:t xml:space="preserve">2025 yılı Dünyanın En Sürdürülebilir 100 </w:t>
      </w:r>
      <w:r w:rsidR="00C315E4" w:rsidRPr="00A24E9A">
        <w:t>Global</w:t>
      </w:r>
      <w:r w:rsidR="00B15079" w:rsidRPr="00A24E9A">
        <w:t xml:space="preserve"> Şirketi</w:t>
      </w:r>
      <w:r w:rsidR="00A24E9A" w:rsidRPr="00A24E9A">
        <w:t>’</w:t>
      </w:r>
      <w:r w:rsidR="00A24E9A">
        <w:rPr>
          <w:i/>
          <w:iCs/>
        </w:rPr>
        <w:t xml:space="preserve"> </w:t>
      </w:r>
      <w:r w:rsidR="00A24E9A">
        <w:t>(</w:t>
      </w:r>
      <w:r w:rsidR="00841B87" w:rsidRPr="00805250">
        <w:rPr>
          <w:rFonts w:cs="Segoe UI"/>
          <w:i/>
          <w:iCs/>
          <w:szCs w:val="22"/>
        </w:rPr>
        <w:t>2025 Global 100 Most Sustainable Corporations in the World</w:t>
      </w:r>
      <w:r w:rsidR="00841B87">
        <w:rPr>
          <w:rFonts w:cs="Segoe UI"/>
          <w:i/>
          <w:iCs/>
          <w:szCs w:val="22"/>
        </w:rPr>
        <w:t>)</w:t>
      </w:r>
      <w:r w:rsidR="00F07FD8">
        <w:rPr>
          <w:i/>
          <w:iCs/>
        </w:rPr>
        <w:t xml:space="preserve"> </w:t>
      </w:r>
      <w:r w:rsidR="00B15079">
        <w:t>sıralamasında da bir ödül aldı. Henkel ayrıca uzun yıllardır sürdürdüğü güvenilir sürdürülebilirlik iletişimi nedeniyle</w:t>
      </w:r>
      <w:r w:rsidR="00B15079" w:rsidRPr="009C11F5">
        <w:t xml:space="preserve"> </w:t>
      </w:r>
      <w:r w:rsidR="00B12EAC">
        <w:t>‘</w:t>
      </w:r>
      <w:r w:rsidR="00B15079" w:rsidRPr="009C11F5">
        <w:t>F.A.Z. Institute</w:t>
      </w:r>
      <w:r w:rsidR="00B12EAC">
        <w:t>’</w:t>
      </w:r>
      <w:r w:rsidR="00B15079" w:rsidRPr="009C11F5">
        <w:t xml:space="preserve"> ve </w:t>
      </w:r>
      <w:r w:rsidR="00B12EAC">
        <w:t>‘</w:t>
      </w:r>
      <w:r w:rsidR="00B15079" w:rsidRPr="009C11F5">
        <w:t>Cision Germany</w:t>
      </w:r>
      <w:r w:rsidR="00B12EAC">
        <w:t>’</w:t>
      </w:r>
      <w:r w:rsidR="00B15079" w:rsidRPr="009C11F5">
        <w:t xml:space="preserve"> tarafından </w:t>
      </w:r>
      <w:r w:rsidR="00453D77">
        <w:t>‘</w:t>
      </w:r>
      <w:r w:rsidR="00384501" w:rsidRPr="009C11F5">
        <w:t xml:space="preserve">2024 </w:t>
      </w:r>
      <w:r w:rsidR="00B15079" w:rsidRPr="009C11F5">
        <w:t>Sürdürülebilir Gelecek Ödülü</w:t>
      </w:r>
      <w:r w:rsidR="00453D77">
        <w:t>’ (</w:t>
      </w:r>
      <w:r w:rsidR="00C4025A" w:rsidRPr="00805250">
        <w:rPr>
          <w:rFonts w:cs="Segoe UI"/>
          <w:i/>
          <w:iCs/>
          <w:szCs w:val="22"/>
        </w:rPr>
        <w:t>Sustainable Future Award 2024</w:t>
      </w:r>
      <w:r w:rsidR="00C4025A">
        <w:rPr>
          <w:rFonts w:cs="Segoe UI"/>
          <w:szCs w:val="22"/>
        </w:rPr>
        <w:t>)</w:t>
      </w:r>
      <w:r w:rsidR="00B15079" w:rsidRPr="009C11F5">
        <w:t xml:space="preserve"> </w:t>
      </w:r>
      <w:r w:rsidR="00B15079">
        <w:t xml:space="preserve">ile </w:t>
      </w:r>
      <w:r w:rsidR="00C4025A">
        <w:t xml:space="preserve">de </w:t>
      </w:r>
      <w:r w:rsidR="00B15079">
        <w:t>onurlandırıldı.</w:t>
      </w:r>
    </w:p>
    <w:p w14:paraId="6FA7D790" w14:textId="77777777" w:rsidR="0065585F" w:rsidRDefault="0065585F" w:rsidP="0065585F">
      <w:pPr>
        <w:rPr>
          <w:b/>
          <w:bCs/>
          <w:sz w:val="18"/>
          <w:szCs w:val="18"/>
        </w:rPr>
      </w:pPr>
    </w:p>
    <w:p w14:paraId="13726C10" w14:textId="088BA0E3" w:rsidR="0065585F" w:rsidRPr="00FE3A29" w:rsidRDefault="0065585F" w:rsidP="0065585F">
      <w:pPr>
        <w:rPr>
          <w:b/>
          <w:bCs/>
          <w:sz w:val="18"/>
          <w:szCs w:val="18"/>
        </w:rPr>
      </w:pPr>
      <w:r w:rsidRPr="00FE3A29">
        <w:rPr>
          <w:b/>
          <w:bCs/>
          <w:sz w:val="18"/>
          <w:szCs w:val="18"/>
        </w:rPr>
        <w:lastRenderedPageBreak/>
        <w:t xml:space="preserve">Henkel Hakkında </w:t>
      </w:r>
    </w:p>
    <w:p w14:paraId="27A8639A" w14:textId="77777777" w:rsidR="0065585F" w:rsidRPr="00CA362F" w:rsidRDefault="0065585F" w:rsidP="0065585F">
      <w:pPr>
        <w:rPr>
          <w:sz w:val="18"/>
          <w:szCs w:val="18"/>
        </w:rPr>
      </w:pPr>
      <w:r w:rsidRPr="00FE3A29">
        <w:rPr>
          <w:sz w:val="18"/>
          <w:szCs w:val="18"/>
        </w:rPr>
        <w:t>Markaları, inovasyonları ve teknolojileri ile Henkel, endüstriyel ve tüketici iş birimlerinde, dünya genelindeki pazarlarda lider konumlara sahiptir. Yapıştırıcı Teknolojileri İş Birimi; yapıştırıcılar, yalıtım malzemeleri ve fonksiyonel kaplamalar pazarlarında global bir liderdir. Tüketici Markaları ile şirketin, başta Çamaşır ve Ev Bakım ile Saç olmak üzere, dünya genelinde pek çok piyasa ve kategoride liderliği bulunmaktadır. Henkel’in en güçlü üç markası Loctite, Persil ve Schwarzkopf markalarıdır. 2024 mali yılında Henkel, 21,6 milyar Euro’nun üzerinde satış ve yaklaşık 3,1 milyar Euro düzeltilmiş faaliyet karı bildirmiştir. Henkel’in imtiyazlı hisse senetleri, Almanya DAX borsa endeksine kayıtlıdır. Sürdürülebilirlik, Henkel’in köklü geleneğinin önemli bir bileşenidir ve şirket somut hedefler doğrultusunda hayata geçirdiği net bir sürdürülebilirlik stratejisine sahiptir. 1876’da kurulmuş olan Henkel, bugün dünya</w:t>
      </w:r>
      <w:r>
        <w:rPr>
          <w:sz w:val="18"/>
          <w:szCs w:val="18"/>
        </w:rPr>
        <w:t xml:space="preserve">nın dört bir yanında </w:t>
      </w:r>
      <w:r w:rsidRPr="00FE3A29">
        <w:rPr>
          <w:sz w:val="18"/>
          <w:szCs w:val="18"/>
        </w:rPr>
        <w:t>güçlü bir şirket kültürü ile bir araya gelen, ortak değerlerde birleşen ve “Pioneers at heart for the good of generations” (Gelecek Nesiller İçin İyiliğe Öncülük Ediyoruz) amacında buluşan yaklaşık 47.000 kişiyi istihdam etmektedir. Daha fazla bilgiyi www.henkel.com adresinde bulabilirsiniz</w:t>
      </w:r>
      <w:r w:rsidRPr="00F00823">
        <w:rPr>
          <w:sz w:val="18"/>
          <w:szCs w:val="18"/>
        </w:rPr>
        <w:t>.</w:t>
      </w:r>
    </w:p>
    <w:p w14:paraId="545BC5F8" w14:textId="77777777" w:rsidR="00521CDD" w:rsidRPr="00C1717D" w:rsidRDefault="00521CDD" w:rsidP="009C11F5">
      <w:pPr>
        <w:spacing w:after="120"/>
        <w:rPr>
          <w:rStyle w:val="AboutandContactBody"/>
          <w:rFonts w:cs="Segoe UI"/>
          <w:sz w:val="22"/>
          <w:szCs w:val="22"/>
        </w:rPr>
      </w:pPr>
    </w:p>
    <w:sectPr w:rsidR="00521CDD" w:rsidRPr="00C1717D" w:rsidSect="00C4025A">
      <w:headerReference w:type="even" r:id="rId15"/>
      <w:footerReference w:type="default" r:id="rId16"/>
      <w:headerReference w:type="first" r:id="rId17"/>
      <w:footerReference w:type="first" r:id="rId18"/>
      <w:pgSz w:w="11907" w:h="16840" w:code="9"/>
      <w:pgMar w:top="1620"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7FF82" w14:textId="77777777" w:rsidR="007807FE" w:rsidRDefault="007807FE">
      <w:r>
        <w:separator/>
      </w:r>
    </w:p>
  </w:endnote>
  <w:endnote w:type="continuationSeparator" w:id="0">
    <w:p w14:paraId="5C408658" w14:textId="77777777" w:rsidR="007807FE" w:rsidRDefault="007807FE">
      <w:r>
        <w:continuationSeparator/>
      </w:r>
    </w:p>
  </w:endnote>
  <w:endnote w:type="continuationNotice" w:id="1">
    <w:p w14:paraId="5E1DDFE5" w14:textId="77777777" w:rsidR="007807FE" w:rsidRDefault="007807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52038C24" w:rsidR="00CF6F33" w:rsidRPr="00112A28" w:rsidRDefault="00112A28" w:rsidP="00112A28">
    <w:pPr>
      <w:pStyle w:val="Footer"/>
      <w:tabs>
        <w:tab w:val="clear" w:pos="7083"/>
        <w:tab w:val="clear" w:pos="8640"/>
        <w:tab w:val="right" w:pos="9071"/>
      </w:tabs>
      <w:jc w:val="both"/>
    </w:pPr>
    <w:r>
      <w:tab/>
      <w:t xml:space="preserve">Sayfa </w:t>
    </w:r>
    <w:r w:rsidRPr="00BF6E82">
      <w:fldChar w:fldCharType="begin"/>
    </w:r>
    <w:r w:rsidRPr="00BF6E82">
      <w:instrText xml:space="preserve"> PAGE  \* Arabic  \* MERGEFORMAT </w:instrText>
    </w:r>
    <w:r w:rsidRPr="00BF6E82">
      <w:fldChar w:fldCharType="separate"/>
    </w:r>
    <w:r w:rsidR="00384501">
      <w:t>4</w:t>
    </w:r>
    <w:r w:rsidRPr="00BF6E82">
      <w:fldChar w:fldCharType="end"/>
    </w:r>
    <w:r>
      <w:t>/</w:t>
    </w:r>
    <w:fldSimple w:instr=" NUMPAGES  \* Arabic  \* MERGEFORMAT ">
      <w:r w:rsidR="00384501">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78EB92F1" w:rsidR="00CF6F33" w:rsidRPr="00992A11" w:rsidRDefault="00112FD4" w:rsidP="002E67BB">
    <w:pPr>
      <w:pStyle w:val="Footer"/>
      <w:jc w:val="left"/>
    </w:pPr>
    <w:r>
      <w:rPr>
        <w:lang w:eastAsia="tr-TR"/>
      </w:rPr>
      <w:drawing>
        <wp:anchor distT="0" distB="0" distL="114300" distR="114300" simplePos="0" relativeHeight="251659265" behindDoc="0" locked="0" layoutInCell="1" allowOverlap="1" wp14:anchorId="182BBC29" wp14:editId="31C40E74">
          <wp:simplePos x="0" y="0"/>
          <wp:positionH relativeFrom="column">
            <wp:posOffset>-2687</wp:posOffset>
          </wp:positionH>
          <wp:positionV relativeFrom="paragraph">
            <wp:posOffset>-459056</wp:posOffset>
          </wp:positionV>
          <wp:extent cx="4656406" cy="548005"/>
          <wp:effectExtent l="0" t="0" r="0" b="4445"/>
          <wp:wrapSquare wrapText="bothSides"/>
          <wp:docPr id="1336362552"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extLst>
                      <a:ext uri="{28A0092B-C50C-407E-A947-70E740481C1C}">
                        <a14:useLocalDpi xmlns:a14="http://schemas.microsoft.com/office/drawing/2010/main" val="0"/>
                      </a:ext>
                    </a:extLst>
                  </a:blip>
                  <a:srcRect r="14087" b="19511"/>
                  <a:stretch/>
                </pic:blipFill>
                <pic:spPr bwMode="auto">
                  <a:xfrm>
                    <a:off x="0" y="0"/>
                    <a:ext cx="4656406" cy="548005"/>
                  </a:xfrm>
                  <a:prstGeom prst="rect">
                    <a:avLst/>
                  </a:prstGeom>
                  <a:ln>
                    <a:noFill/>
                  </a:ln>
                  <a:extLst>
                    <a:ext uri="{53640926-AAD7-44D8-BBD7-CCE9431645EC}">
                      <a14:shadowObscured xmlns:a14="http://schemas.microsoft.com/office/drawing/2010/main"/>
                    </a:ext>
                  </a:extLst>
                </pic:spPr>
              </pic:pic>
            </a:graphicData>
          </a:graphic>
        </wp:anchor>
      </w:drawing>
    </w:r>
    <w:r w:rsidR="002E67BB">
      <w:t xml:space="preserve">                             </w:t>
    </w:r>
    <w:r>
      <w:t xml:space="preserve">Sayfa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384501">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384501">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C8A82" w14:textId="77777777" w:rsidR="007807FE" w:rsidRDefault="007807FE">
      <w:r>
        <w:separator/>
      </w:r>
    </w:p>
  </w:footnote>
  <w:footnote w:type="continuationSeparator" w:id="0">
    <w:p w14:paraId="61E31B7D" w14:textId="77777777" w:rsidR="007807FE" w:rsidRDefault="007807FE">
      <w:r>
        <w:continuationSeparator/>
      </w:r>
    </w:p>
  </w:footnote>
  <w:footnote w:type="continuationNotice" w:id="1">
    <w:p w14:paraId="5464F4F6" w14:textId="77777777" w:rsidR="007807FE" w:rsidRDefault="007807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77777777" w:rsidR="00CF6F33" w:rsidRPr="00EB46D9" w:rsidRDefault="0059722C" w:rsidP="00EB46D9">
    <w:pPr>
      <w:pStyle w:val="Header"/>
    </w:pPr>
    <w:r>
      <w:rPr>
        <w:noProof/>
        <w:lang w:eastAsia="tr-TR"/>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1088777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0F1C09E" id="Gruppieren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Basın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B0F56"/>
    <w:multiLevelType w:val="hybridMultilevel"/>
    <w:tmpl w:val="170A1854"/>
    <w:lvl w:ilvl="0" w:tplc="36002C28">
      <w:start w:val="1"/>
      <w:numFmt w:val="bullet"/>
      <w:lvlText w:val=""/>
      <w:lvlJc w:val="left"/>
      <w:pPr>
        <w:ind w:left="1440" w:hanging="360"/>
      </w:pPr>
      <w:rPr>
        <w:rFonts w:ascii="Wingdings" w:hAnsi="Wingdings" w:hint="default"/>
        <w:color w:val="E1000F"/>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678116FD"/>
    <w:multiLevelType w:val="hybridMultilevel"/>
    <w:tmpl w:val="4DEA5FA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891A1D"/>
    <w:multiLevelType w:val="hybridMultilevel"/>
    <w:tmpl w:val="E2709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9673652">
    <w:abstractNumId w:val="1"/>
  </w:num>
  <w:num w:numId="2" w16cid:durableId="2118719178">
    <w:abstractNumId w:val="0"/>
  </w:num>
  <w:num w:numId="3" w16cid:durableId="718826048">
    <w:abstractNumId w:val="7"/>
  </w:num>
  <w:num w:numId="4" w16cid:durableId="417556674">
    <w:abstractNumId w:val="3"/>
  </w:num>
  <w:num w:numId="5" w16cid:durableId="724138072">
    <w:abstractNumId w:val="2"/>
  </w:num>
  <w:num w:numId="6" w16cid:durableId="700010302">
    <w:abstractNumId w:val="4"/>
  </w:num>
  <w:num w:numId="7" w16cid:durableId="1871260152">
    <w:abstractNumId w:val="8"/>
  </w:num>
  <w:num w:numId="8" w16cid:durableId="1639408364">
    <w:abstractNumId w:val="6"/>
  </w:num>
  <w:num w:numId="9" w16cid:durableId="278224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1C"/>
    <w:rsid w:val="00000839"/>
    <w:rsid w:val="00001ADD"/>
    <w:rsid w:val="00002AA4"/>
    <w:rsid w:val="00005240"/>
    <w:rsid w:val="00005267"/>
    <w:rsid w:val="00006346"/>
    <w:rsid w:val="000073D9"/>
    <w:rsid w:val="00012DD9"/>
    <w:rsid w:val="000154B7"/>
    <w:rsid w:val="00021413"/>
    <w:rsid w:val="00021C67"/>
    <w:rsid w:val="0002491F"/>
    <w:rsid w:val="000269BF"/>
    <w:rsid w:val="00030557"/>
    <w:rsid w:val="00030F51"/>
    <w:rsid w:val="000328F8"/>
    <w:rsid w:val="00035A84"/>
    <w:rsid w:val="00037632"/>
    <w:rsid w:val="00040CC9"/>
    <w:rsid w:val="000413EA"/>
    <w:rsid w:val="00046FC0"/>
    <w:rsid w:val="00050B75"/>
    <w:rsid w:val="00051E86"/>
    <w:rsid w:val="00052CBE"/>
    <w:rsid w:val="000575F9"/>
    <w:rsid w:val="000604A5"/>
    <w:rsid w:val="000618FC"/>
    <w:rsid w:val="00062F96"/>
    <w:rsid w:val="0006344D"/>
    <w:rsid w:val="00067071"/>
    <w:rsid w:val="0007110C"/>
    <w:rsid w:val="00072264"/>
    <w:rsid w:val="000722E8"/>
    <w:rsid w:val="00072FEA"/>
    <w:rsid w:val="00074F71"/>
    <w:rsid w:val="000761B7"/>
    <w:rsid w:val="000764DF"/>
    <w:rsid w:val="00080D10"/>
    <w:rsid w:val="0008357F"/>
    <w:rsid w:val="000901C2"/>
    <w:rsid w:val="00093587"/>
    <w:rsid w:val="000A09BE"/>
    <w:rsid w:val="000A5153"/>
    <w:rsid w:val="000B43B7"/>
    <w:rsid w:val="000B55AD"/>
    <w:rsid w:val="000B695A"/>
    <w:rsid w:val="000B69E7"/>
    <w:rsid w:val="000B73BC"/>
    <w:rsid w:val="000C210A"/>
    <w:rsid w:val="000C56DD"/>
    <w:rsid w:val="000D1672"/>
    <w:rsid w:val="000E2F62"/>
    <w:rsid w:val="000E38ED"/>
    <w:rsid w:val="000E4801"/>
    <w:rsid w:val="000E71DF"/>
    <w:rsid w:val="000E7F24"/>
    <w:rsid w:val="000F03BE"/>
    <w:rsid w:val="000F1757"/>
    <w:rsid w:val="000F225B"/>
    <w:rsid w:val="000F51D1"/>
    <w:rsid w:val="000F5722"/>
    <w:rsid w:val="000F5E49"/>
    <w:rsid w:val="000F6441"/>
    <w:rsid w:val="000F7A27"/>
    <w:rsid w:val="000F7FAF"/>
    <w:rsid w:val="00101B7B"/>
    <w:rsid w:val="00105975"/>
    <w:rsid w:val="0010661F"/>
    <w:rsid w:val="00111F4D"/>
    <w:rsid w:val="00112A28"/>
    <w:rsid w:val="00112FD4"/>
    <w:rsid w:val="00115230"/>
    <w:rsid w:val="00115B5F"/>
    <w:rsid w:val="00116098"/>
    <w:rsid w:val="001162B4"/>
    <w:rsid w:val="001201EE"/>
    <w:rsid w:val="00120B68"/>
    <w:rsid w:val="00122CBC"/>
    <w:rsid w:val="00122FC0"/>
    <w:rsid w:val="00123A5B"/>
    <w:rsid w:val="00126D4A"/>
    <w:rsid w:val="00126F5E"/>
    <w:rsid w:val="001312C4"/>
    <w:rsid w:val="00132DA9"/>
    <w:rsid w:val="0013305B"/>
    <w:rsid w:val="00133749"/>
    <w:rsid w:val="00133B99"/>
    <w:rsid w:val="001443BD"/>
    <w:rsid w:val="0014712B"/>
    <w:rsid w:val="001542AB"/>
    <w:rsid w:val="001577E9"/>
    <w:rsid w:val="001603FB"/>
    <w:rsid w:val="0016138C"/>
    <w:rsid w:val="00161D57"/>
    <w:rsid w:val="001731CE"/>
    <w:rsid w:val="0017476D"/>
    <w:rsid w:val="00177BCB"/>
    <w:rsid w:val="001848FB"/>
    <w:rsid w:val="00187563"/>
    <w:rsid w:val="00191A80"/>
    <w:rsid w:val="00191CD8"/>
    <w:rsid w:val="00192571"/>
    <w:rsid w:val="001928EC"/>
    <w:rsid w:val="001946F9"/>
    <w:rsid w:val="00196FB7"/>
    <w:rsid w:val="001A5E74"/>
    <w:rsid w:val="001B02B7"/>
    <w:rsid w:val="001B1D88"/>
    <w:rsid w:val="001B214E"/>
    <w:rsid w:val="001B7C20"/>
    <w:rsid w:val="001C0B32"/>
    <w:rsid w:val="001C45D9"/>
    <w:rsid w:val="001C4BE1"/>
    <w:rsid w:val="001C5138"/>
    <w:rsid w:val="001D7ADF"/>
    <w:rsid w:val="001E0F71"/>
    <w:rsid w:val="001E6D05"/>
    <w:rsid w:val="001E704D"/>
    <w:rsid w:val="001E7C28"/>
    <w:rsid w:val="001F0A10"/>
    <w:rsid w:val="001F1BDF"/>
    <w:rsid w:val="001F2266"/>
    <w:rsid w:val="001F2CFB"/>
    <w:rsid w:val="001F3446"/>
    <w:rsid w:val="001F553D"/>
    <w:rsid w:val="001F703F"/>
    <w:rsid w:val="001F7110"/>
    <w:rsid w:val="001F7E96"/>
    <w:rsid w:val="00201718"/>
    <w:rsid w:val="00202284"/>
    <w:rsid w:val="00210DDA"/>
    <w:rsid w:val="00211912"/>
    <w:rsid w:val="00212488"/>
    <w:rsid w:val="00215BE2"/>
    <w:rsid w:val="00217C35"/>
    <w:rsid w:val="00220628"/>
    <w:rsid w:val="0022388A"/>
    <w:rsid w:val="00223B7D"/>
    <w:rsid w:val="00224ADF"/>
    <w:rsid w:val="002304D2"/>
    <w:rsid w:val="002308C5"/>
    <w:rsid w:val="002318A2"/>
    <w:rsid w:val="00234ABD"/>
    <w:rsid w:val="00235F15"/>
    <w:rsid w:val="002361C4"/>
    <w:rsid w:val="00236E2A"/>
    <w:rsid w:val="00237F62"/>
    <w:rsid w:val="00240B9E"/>
    <w:rsid w:val="0024586A"/>
    <w:rsid w:val="00245E63"/>
    <w:rsid w:val="0025551E"/>
    <w:rsid w:val="00255A08"/>
    <w:rsid w:val="00255A4F"/>
    <w:rsid w:val="00256F0C"/>
    <w:rsid w:val="00261E8B"/>
    <w:rsid w:val="00262C05"/>
    <w:rsid w:val="00265BAC"/>
    <w:rsid w:val="00274EEC"/>
    <w:rsid w:val="00275300"/>
    <w:rsid w:val="0027785F"/>
    <w:rsid w:val="00281D14"/>
    <w:rsid w:val="00282C13"/>
    <w:rsid w:val="00286C98"/>
    <w:rsid w:val="00291C77"/>
    <w:rsid w:val="002A0DF7"/>
    <w:rsid w:val="002A2975"/>
    <w:rsid w:val="002A5CB4"/>
    <w:rsid w:val="002A60E0"/>
    <w:rsid w:val="002B1A2C"/>
    <w:rsid w:val="002B1A2F"/>
    <w:rsid w:val="002B6F30"/>
    <w:rsid w:val="002B7D6C"/>
    <w:rsid w:val="002C0239"/>
    <w:rsid w:val="002C0894"/>
    <w:rsid w:val="002C0B49"/>
    <w:rsid w:val="002C1344"/>
    <w:rsid w:val="002C252E"/>
    <w:rsid w:val="002C6754"/>
    <w:rsid w:val="002C6773"/>
    <w:rsid w:val="002D11DF"/>
    <w:rsid w:val="002D2A3D"/>
    <w:rsid w:val="002D359B"/>
    <w:rsid w:val="002D6FE0"/>
    <w:rsid w:val="002D766C"/>
    <w:rsid w:val="002E0B17"/>
    <w:rsid w:val="002E2429"/>
    <w:rsid w:val="002E4FFB"/>
    <w:rsid w:val="002E67BB"/>
    <w:rsid w:val="002E7DED"/>
    <w:rsid w:val="002F0D95"/>
    <w:rsid w:val="002F117C"/>
    <w:rsid w:val="002F4A20"/>
    <w:rsid w:val="002F7D02"/>
    <w:rsid w:val="002F7E11"/>
    <w:rsid w:val="00301AA0"/>
    <w:rsid w:val="00301B46"/>
    <w:rsid w:val="003035EC"/>
    <w:rsid w:val="00304087"/>
    <w:rsid w:val="00304E9B"/>
    <w:rsid w:val="0031023F"/>
    <w:rsid w:val="00310ACD"/>
    <w:rsid w:val="0031379F"/>
    <w:rsid w:val="0031670F"/>
    <w:rsid w:val="00316A6D"/>
    <w:rsid w:val="00320713"/>
    <w:rsid w:val="00320A26"/>
    <w:rsid w:val="00321344"/>
    <w:rsid w:val="00321518"/>
    <w:rsid w:val="00325F54"/>
    <w:rsid w:val="00327EE2"/>
    <w:rsid w:val="00331899"/>
    <w:rsid w:val="003330A6"/>
    <w:rsid w:val="0033451C"/>
    <w:rsid w:val="00335114"/>
    <w:rsid w:val="00336854"/>
    <w:rsid w:val="00336C0A"/>
    <w:rsid w:val="0034015C"/>
    <w:rsid w:val="00341737"/>
    <w:rsid w:val="003442F4"/>
    <w:rsid w:val="00347B34"/>
    <w:rsid w:val="003520F9"/>
    <w:rsid w:val="00353705"/>
    <w:rsid w:val="003562E8"/>
    <w:rsid w:val="00356A36"/>
    <w:rsid w:val="00357EC8"/>
    <w:rsid w:val="0036097F"/>
    <w:rsid w:val="0036357D"/>
    <w:rsid w:val="003649BC"/>
    <w:rsid w:val="00365E44"/>
    <w:rsid w:val="00367AA1"/>
    <w:rsid w:val="00370B0E"/>
    <w:rsid w:val="00372E36"/>
    <w:rsid w:val="0037585B"/>
    <w:rsid w:val="00376EE9"/>
    <w:rsid w:val="00377CBB"/>
    <w:rsid w:val="00384501"/>
    <w:rsid w:val="00385185"/>
    <w:rsid w:val="00386D4E"/>
    <w:rsid w:val="003877B6"/>
    <w:rsid w:val="00390D16"/>
    <w:rsid w:val="00392B10"/>
    <w:rsid w:val="00393887"/>
    <w:rsid w:val="00393C1C"/>
    <w:rsid w:val="00394C6B"/>
    <w:rsid w:val="00395B62"/>
    <w:rsid w:val="003A2A58"/>
    <w:rsid w:val="003A2C4D"/>
    <w:rsid w:val="003A4E62"/>
    <w:rsid w:val="003A7D50"/>
    <w:rsid w:val="003B1069"/>
    <w:rsid w:val="003B390A"/>
    <w:rsid w:val="003C15DE"/>
    <w:rsid w:val="003C4EB2"/>
    <w:rsid w:val="003C54FF"/>
    <w:rsid w:val="003C70A7"/>
    <w:rsid w:val="003C7C9A"/>
    <w:rsid w:val="003D0D67"/>
    <w:rsid w:val="003D0F7F"/>
    <w:rsid w:val="003D1F5B"/>
    <w:rsid w:val="003D26C8"/>
    <w:rsid w:val="003D27E1"/>
    <w:rsid w:val="003D373F"/>
    <w:rsid w:val="003D4B3D"/>
    <w:rsid w:val="003E7065"/>
    <w:rsid w:val="003F0699"/>
    <w:rsid w:val="003F12F3"/>
    <w:rsid w:val="003F1AF3"/>
    <w:rsid w:val="003F37D5"/>
    <w:rsid w:val="003F4852"/>
    <w:rsid w:val="003F4D8D"/>
    <w:rsid w:val="003F5EDC"/>
    <w:rsid w:val="003F6219"/>
    <w:rsid w:val="003F66FD"/>
    <w:rsid w:val="003F799D"/>
    <w:rsid w:val="00404468"/>
    <w:rsid w:val="004070B7"/>
    <w:rsid w:val="0041425F"/>
    <w:rsid w:val="00416378"/>
    <w:rsid w:val="004178FB"/>
    <w:rsid w:val="004313E7"/>
    <w:rsid w:val="0043191E"/>
    <w:rsid w:val="004337B3"/>
    <w:rsid w:val="00443C04"/>
    <w:rsid w:val="00446BE1"/>
    <w:rsid w:val="0044763B"/>
    <w:rsid w:val="00451F34"/>
    <w:rsid w:val="00453D77"/>
    <w:rsid w:val="00455216"/>
    <w:rsid w:val="00455CFB"/>
    <w:rsid w:val="00456A2F"/>
    <w:rsid w:val="00456DE2"/>
    <w:rsid w:val="00456E23"/>
    <w:rsid w:val="00457D35"/>
    <w:rsid w:val="004629B3"/>
    <w:rsid w:val="0046376E"/>
    <w:rsid w:val="00464E12"/>
    <w:rsid w:val="004655A6"/>
    <w:rsid w:val="0046690F"/>
    <w:rsid w:val="0047253F"/>
    <w:rsid w:val="00472FEC"/>
    <w:rsid w:val="00474167"/>
    <w:rsid w:val="004746B4"/>
    <w:rsid w:val="004808B4"/>
    <w:rsid w:val="0048636C"/>
    <w:rsid w:val="00490A03"/>
    <w:rsid w:val="0049128B"/>
    <w:rsid w:val="00492305"/>
    <w:rsid w:val="00493327"/>
    <w:rsid w:val="00494DBE"/>
    <w:rsid w:val="00495CE6"/>
    <w:rsid w:val="004A17C1"/>
    <w:rsid w:val="004A2E97"/>
    <w:rsid w:val="004A323C"/>
    <w:rsid w:val="004B1BF3"/>
    <w:rsid w:val="004B2438"/>
    <w:rsid w:val="004B54E8"/>
    <w:rsid w:val="004B63AC"/>
    <w:rsid w:val="004C107A"/>
    <w:rsid w:val="004C4B94"/>
    <w:rsid w:val="004C4D3B"/>
    <w:rsid w:val="004C4FEB"/>
    <w:rsid w:val="004C50B2"/>
    <w:rsid w:val="004C5ECD"/>
    <w:rsid w:val="004C67AB"/>
    <w:rsid w:val="004C67DD"/>
    <w:rsid w:val="004C6B79"/>
    <w:rsid w:val="004C74C1"/>
    <w:rsid w:val="004C7C76"/>
    <w:rsid w:val="004D0383"/>
    <w:rsid w:val="004D059B"/>
    <w:rsid w:val="004D1B39"/>
    <w:rsid w:val="004D4CB6"/>
    <w:rsid w:val="004E0870"/>
    <w:rsid w:val="004E10D0"/>
    <w:rsid w:val="004E2693"/>
    <w:rsid w:val="004E3341"/>
    <w:rsid w:val="004F001A"/>
    <w:rsid w:val="004F10C1"/>
    <w:rsid w:val="004F408C"/>
    <w:rsid w:val="004F5D45"/>
    <w:rsid w:val="004F64D2"/>
    <w:rsid w:val="004F6F32"/>
    <w:rsid w:val="0050062B"/>
    <w:rsid w:val="005007F6"/>
    <w:rsid w:val="00502E62"/>
    <w:rsid w:val="00504452"/>
    <w:rsid w:val="00506B8A"/>
    <w:rsid w:val="00511147"/>
    <w:rsid w:val="005115C9"/>
    <w:rsid w:val="00515726"/>
    <w:rsid w:val="00517FAE"/>
    <w:rsid w:val="00521CDD"/>
    <w:rsid w:val="0052212B"/>
    <w:rsid w:val="005231F2"/>
    <w:rsid w:val="00531542"/>
    <w:rsid w:val="00531B98"/>
    <w:rsid w:val="00533817"/>
    <w:rsid w:val="00534B46"/>
    <w:rsid w:val="00535F11"/>
    <w:rsid w:val="00535F9A"/>
    <w:rsid w:val="00537D83"/>
    <w:rsid w:val="00540358"/>
    <w:rsid w:val="005408C4"/>
    <w:rsid w:val="00540D47"/>
    <w:rsid w:val="0054261E"/>
    <w:rsid w:val="00542F96"/>
    <w:rsid w:val="00550626"/>
    <w:rsid w:val="0055064A"/>
    <w:rsid w:val="00550864"/>
    <w:rsid w:val="00554EAF"/>
    <w:rsid w:val="0055571E"/>
    <w:rsid w:val="00556F67"/>
    <w:rsid w:val="00574094"/>
    <w:rsid w:val="00574459"/>
    <w:rsid w:val="005752A1"/>
    <w:rsid w:val="00580DDD"/>
    <w:rsid w:val="00581880"/>
    <w:rsid w:val="0058271E"/>
    <w:rsid w:val="00582AC1"/>
    <w:rsid w:val="005833F0"/>
    <w:rsid w:val="0058520B"/>
    <w:rsid w:val="00586843"/>
    <w:rsid w:val="00586CAF"/>
    <w:rsid w:val="005873E9"/>
    <w:rsid w:val="00591180"/>
    <w:rsid w:val="00592642"/>
    <w:rsid w:val="00592F6A"/>
    <w:rsid w:val="0059722C"/>
    <w:rsid w:val="005974B2"/>
    <w:rsid w:val="00597D07"/>
    <w:rsid w:val="005A3846"/>
    <w:rsid w:val="005A4B1D"/>
    <w:rsid w:val="005A6FA3"/>
    <w:rsid w:val="005A7239"/>
    <w:rsid w:val="005B028D"/>
    <w:rsid w:val="005B08FF"/>
    <w:rsid w:val="005B1F0C"/>
    <w:rsid w:val="005B37D6"/>
    <w:rsid w:val="005B4ED3"/>
    <w:rsid w:val="005B5E15"/>
    <w:rsid w:val="005B6A58"/>
    <w:rsid w:val="005B7078"/>
    <w:rsid w:val="005C0F89"/>
    <w:rsid w:val="005C5EF2"/>
    <w:rsid w:val="005C70A8"/>
    <w:rsid w:val="005C7112"/>
    <w:rsid w:val="005D0561"/>
    <w:rsid w:val="005D0AD9"/>
    <w:rsid w:val="005D22F6"/>
    <w:rsid w:val="005E0C30"/>
    <w:rsid w:val="005E363B"/>
    <w:rsid w:val="005E69D9"/>
    <w:rsid w:val="005F27F4"/>
    <w:rsid w:val="005F2AC0"/>
    <w:rsid w:val="005F3239"/>
    <w:rsid w:val="005F5520"/>
    <w:rsid w:val="005F6567"/>
    <w:rsid w:val="006056F7"/>
    <w:rsid w:val="00606E50"/>
    <w:rsid w:val="00607256"/>
    <w:rsid w:val="006103F3"/>
    <w:rsid w:val="00610CE9"/>
    <w:rsid w:val="0061298A"/>
    <w:rsid w:val="00613F40"/>
    <w:rsid w:val="006144B1"/>
    <w:rsid w:val="00617CD0"/>
    <w:rsid w:val="00624476"/>
    <w:rsid w:val="00630364"/>
    <w:rsid w:val="006335F1"/>
    <w:rsid w:val="006345B6"/>
    <w:rsid w:val="0063552E"/>
    <w:rsid w:val="00635712"/>
    <w:rsid w:val="00635B96"/>
    <w:rsid w:val="006416BB"/>
    <w:rsid w:val="00643D8A"/>
    <w:rsid w:val="00645240"/>
    <w:rsid w:val="006513EB"/>
    <w:rsid w:val="006515E3"/>
    <w:rsid w:val="00651663"/>
    <w:rsid w:val="00651816"/>
    <w:rsid w:val="00652229"/>
    <w:rsid w:val="00652793"/>
    <w:rsid w:val="00652D7A"/>
    <w:rsid w:val="0065585F"/>
    <w:rsid w:val="00656D22"/>
    <w:rsid w:val="006626CA"/>
    <w:rsid w:val="00663487"/>
    <w:rsid w:val="00667941"/>
    <w:rsid w:val="00672382"/>
    <w:rsid w:val="00677F0A"/>
    <w:rsid w:val="0068184B"/>
    <w:rsid w:val="00682063"/>
    <w:rsid w:val="0068234B"/>
    <w:rsid w:val="0068235B"/>
    <w:rsid w:val="00682643"/>
    <w:rsid w:val="00682867"/>
    <w:rsid w:val="00682EB9"/>
    <w:rsid w:val="0068441A"/>
    <w:rsid w:val="00690B19"/>
    <w:rsid w:val="00693DFB"/>
    <w:rsid w:val="006950D3"/>
    <w:rsid w:val="00697834"/>
    <w:rsid w:val="006A0A3C"/>
    <w:rsid w:val="006A2EBC"/>
    <w:rsid w:val="006A30EF"/>
    <w:rsid w:val="006A3442"/>
    <w:rsid w:val="006A444F"/>
    <w:rsid w:val="006A79F0"/>
    <w:rsid w:val="006B2E37"/>
    <w:rsid w:val="006B47EE"/>
    <w:rsid w:val="006B499F"/>
    <w:rsid w:val="006D16BD"/>
    <w:rsid w:val="006D4996"/>
    <w:rsid w:val="006D54AB"/>
    <w:rsid w:val="006D63E8"/>
    <w:rsid w:val="006D6EA2"/>
    <w:rsid w:val="006D6F50"/>
    <w:rsid w:val="006E3006"/>
    <w:rsid w:val="006E5032"/>
    <w:rsid w:val="006E5BDA"/>
    <w:rsid w:val="006E7BA2"/>
    <w:rsid w:val="006F0AA3"/>
    <w:rsid w:val="006F0FC7"/>
    <w:rsid w:val="006F39A9"/>
    <w:rsid w:val="006F670F"/>
    <w:rsid w:val="00701BB9"/>
    <w:rsid w:val="00701FEE"/>
    <w:rsid w:val="0070203E"/>
    <w:rsid w:val="00703272"/>
    <w:rsid w:val="007046D2"/>
    <w:rsid w:val="00704C09"/>
    <w:rsid w:val="007066F9"/>
    <w:rsid w:val="00706DBC"/>
    <w:rsid w:val="0070733C"/>
    <w:rsid w:val="00710C5D"/>
    <w:rsid w:val="0071348C"/>
    <w:rsid w:val="00713EDF"/>
    <w:rsid w:val="00716E76"/>
    <w:rsid w:val="007171EE"/>
    <w:rsid w:val="00717273"/>
    <w:rsid w:val="00717EC1"/>
    <w:rsid w:val="00720F4E"/>
    <w:rsid w:val="00720FD4"/>
    <w:rsid w:val="0072386C"/>
    <w:rsid w:val="00724AF2"/>
    <w:rsid w:val="007265F3"/>
    <w:rsid w:val="00727659"/>
    <w:rsid w:val="0073096C"/>
    <w:rsid w:val="00734034"/>
    <w:rsid w:val="00734B14"/>
    <w:rsid w:val="00742398"/>
    <w:rsid w:val="007447E3"/>
    <w:rsid w:val="00745581"/>
    <w:rsid w:val="00747B40"/>
    <w:rsid w:val="007507B5"/>
    <w:rsid w:val="0075091D"/>
    <w:rsid w:val="00753326"/>
    <w:rsid w:val="00753885"/>
    <w:rsid w:val="00753A24"/>
    <w:rsid w:val="007613F4"/>
    <w:rsid w:val="00772188"/>
    <w:rsid w:val="00773410"/>
    <w:rsid w:val="00777A85"/>
    <w:rsid w:val="007807FE"/>
    <w:rsid w:val="007813D0"/>
    <w:rsid w:val="0078286D"/>
    <w:rsid w:val="00782F69"/>
    <w:rsid w:val="00784E7A"/>
    <w:rsid w:val="00785993"/>
    <w:rsid w:val="00785DF8"/>
    <w:rsid w:val="0078657A"/>
    <w:rsid w:val="007866E2"/>
    <w:rsid w:val="00786BA3"/>
    <w:rsid w:val="007906EE"/>
    <w:rsid w:val="007907C0"/>
    <w:rsid w:val="0079124F"/>
    <w:rsid w:val="00791B93"/>
    <w:rsid w:val="0079202F"/>
    <w:rsid w:val="00795AC9"/>
    <w:rsid w:val="00795AF2"/>
    <w:rsid w:val="007A2417"/>
    <w:rsid w:val="007A2AAD"/>
    <w:rsid w:val="007A4432"/>
    <w:rsid w:val="007A784E"/>
    <w:rsid w:val="007B499C"/>
    <w:rsid w:val="007B4D4B"/>
    <w:rsid w:val="007C0CB7"/>
    <w:rsid w:val="007C5345"/>
    <w:rsid w:val="007D2A02"/>
    <w:rsid w:val="007D4703"/>
    <w:rsid w:val="007D64FA"/>
    <w:rsid w:val="007E511C"/>
    <w:rsid w:val="007E6EA1"/>
    <w:rsid w:val="007F0F63"/>
    <w:rsid w:val="007F23F5"/>
    <w:rsid w:val="007F250C"/>
    <w:rsid w:val="007F2971"/>
    <w:rsid w:val="007F2B1E"/>
    <w:rsid w:val="007F451E"/>
    <w:rsid w:val="007F4E1E"/>
    <w:rsid w:val="007F62B4"/>
    <w:rsid w:val="007F6456"/>
    <w:rsid w:val="0080064D"/>
    <w:rsid w:val="00801517"/>
    <w:rsid w:val="00801B5A"/>
    <w:rsid w:val="00805250"/>
    <w:rsid w:val="00805A96"/>
    <w:rsid w:val="00811634"/>
    <w:rsid w:val="008163F5"/>
    <w:rsid w:val="00817AE8"/>
    <w:rsid w:val="00817DE8"/>
    <w:rsid w:val="00821A84"/>
    <w:rsid w:val="008229F5"/>
    <w:rsid w:val="00822CF7"/>
    <w:rsid w:val="00825BEE"/>
    <w:rsid w:val="0082699A"/>
    <w:rsid w:val="008338A7"/>
    <w:rsid w:val="00833CEB"/>
    <w:rsid w:val="008367C2"/>
    <w:rsid w:val="0083703C"/>
    <w:rsid w:val="008372D2"/>
    <w:rsid w:val="008377BC"/>
    <w:rsid w:val="00841B87"/>
    <w:rsid w:val="008425EC"/>
    <w:rsid w:val="00844C17"/>
    <w:rsid w:val="00847726"/>
    <w:rsid w:val="00847F84"/>
    <w:rsid w:val="00852511"/>
    <w:rsid w:val="00855492"/>
    <w:rsid w:val="00856F59"/>
    <w:rsid w:val="008614F1"/>
    <w:rsid w:val="008639B3"/>
    <w:rsid w:val="00863C1A"/>
    <w:rsid w:val="0087142D"/>
    <w:rsid w:val="00873956"/>
    <w:rsid w:val="00880BBC"/>
    <w:rsid w:val="00880E72"/>
    <w:rsid w:val="008825EE"/>
    <w:rsid w:val="008837FC"/>
    <w:rsid w:val="0088596E"/>
    <w:rsid w:val="00892E46"/>
    <w:rsid w:val="0089303A"/>
    <w:rsid w:val="0089796A"/>
    <w:rsid w:val="008A1780"/>
    <w:rsid w:val="008A2375"/>
    <w:rsid w:val="008A2AE9"/>
    <w:rsid w:val="008A4437"/>
    <w:rsid w:val="008B0610"/>
    <w:rsid w:val="008B18FE"/>
    <w:rsid w:val="008C056A"/>
    <w:rsid w:val="008C392C"/>
    <w:rsid w:val="008C3C9F"/>
    <w:rsid w:val="008C4577"/>
    <w:rsid w:val="008C7970"/>
    <w:rsid w:val="008D76C5"/>
    <w:rsid w:val="008E0AFA"/>
    <w:rsid w:val="008E1B33"/>
    <w:rsid w:val="008E52A1"/>
    <w:rsid w:val="008E69DD"/>
    <w:rsid w:val="008E75D3"/>
    <w:rsid w:val="008F125E"/>
    <w:rsid w:val="008F2EA6"/>
    <w:rsid w:val="008F35AC"/>
    <w:rsid w:val="008F4D1C"/>
    <w:rsid w:val="008F4D2F"/>
    <w:rsid w:val="008F542E"/>
    <w:rsid w:val="009017A2"/>
    <w:rsid w:val="00903AB2"/>
    <w:rsid w:val="0090620F"/>
    <w:rsid w:val="00906292"/>
    <w:rsid w:val="00906775"/>
    <w:rsid w:val="00907261"/>
    <w:rsid w:val="009076AF"/>
    <w:rsid w:val="00910496"/>
    <w:rsid w:val="00911751"/>
    <w:rsid w:val="00917162"/>
    <w:rsid w:val="009171A7"/>
    <w:rsid w:val="009251CC"/>
    <w:rsid w:val="0092694E"/>
    <w:rsid w:val="00926A53"/>
    <w:rsid w:val="0092714E"/>
    <w:rsid w:val="0093260B"/>
    <w:rsid w:val="009328F5"/>
    <w:rsid w:val="009353C2"/>
    <w:rsid w:val="00935D4B"/>
    <w:rsid w:val="00935F20"/>
    <w:rsid w:val="00936CD3"/>
    <w:rsid w:val="00937ED7"/>
    <w:rsid w:val="00942002"/>
    <w:rsid w:val="00943470"/>
    <w:rsid w:val="00945CF9"/>
    <w:rsid w:val="00945D3F"/>
    <w:rsid w:val="00947885"/>
    <w:rsid w:val="00952168"/>
    <w:rsid w:val="009527FE"/>
    <w:rsid w:val="00962DBA"/>
    <w:rsid w:val="009641EE"/>
    <w:rsid w:val="0096592A"/>
    <w:rsid w:val="00970C87"/>
    <w:rsid w:val="009739A0"/>
    <w:rsid w:val="00973F3D"/>
    <w:rsid w:val="00974664"/>
    <w:rsid w:val="00974706"/>
    <w:rsid w:val="00974F84"/>
    <w:rsid w:val="009757B8"/>
    <w:rsid w:val="009767C7"/>
    <w:rsid w:val="009827BF"/>
    <w:rsid w:val="0098579A"/>
    <w:rsid w:val="00990C67"/>
    <w:rsid w:val="0099195A"/>
    <w:rsid w:val="00992A11"/>
    <w:rsid w:val="00994681"/>
    <w:rsid w:val="0099468C"/>
    <w:rsid w:val="0099486A"/>
    <w:rsid w:val="009A0E26"/>
    <w:rsid w:val="009A16EC"/>
    <w:rsid w:val="009A4B52"/>
    <w:rsid w:val="009A52E5"/>
    <w:rsid w:val="009B25D6"/>
    <w:rsid w:val="009B29B7"/>
    <w:rsid w:val="009B3B37"/>
    <w:rsid w:val="009B7D1F"/>
    <w:rsid w:val="009C088E"/>
    <w:rsid w:val="009C11F5"/>
    <w:rsid w:val="009C148C"/>
    <w:rsid w:val="009C4D35"/>
    <w:rsid w:val="009D1522"/>
    <w:rsid w:val="009D170A"/>
    <w:rsid w:val="009D7252"/>
    <w:rsid w:val="009E1B3B"/>
    <w:rsid w:val="009E23DA"/>
    <w:rsid w:val="009E5EB4"/>
    <w:rsid w:val="009F3203"/>
    <w:rsid w:val="009F5432"/>
    <w:rsid w:val="009F5E50"/>
    <w:rsid w:val="00A044D6"/>
    <w:rsid w:val="00A04ADB"/>
    <w:rsid w:val="00A11E0F"/>
    <w:rsid w:val="00A14BC7"/>
    <w:rsid w:val="00A16A78"/>
    <w:rsid w:val="00A23264"/>
    <w:rsid w:val="00A2411A"/>
    <w:rsid w:val="00A241A3"/>
    <w:rsid w:val="00A2499C"/>
    <w:rsid w:val="00A24E9A"/>
    <w:rsid w:val="00A26CB6"/>
    <w:rsid w:val="00A27F1D"/>
    <w:rsid w:val="00A32F82"/>
    <w:rsid w:val="00A32F8B"/>
    <w:rsid w:val="00A335C8"/>
    <w:rsid w:val="00A36FDE"/>
    <w:rsid w:val="00A3756F"/>
    <w:rsid w:val="00A37B39"/>
    <w:rsid w:val="00A40494"/>
    <w:rsid w:val="00A42D6F"/>
    <w:rsid w:val="00A45A62"/>
    <w:rsid w:val="00A46638"/>
    <w:rsid w:val="00A47A71"/>
    <w:rsid w:val="00A54AC5"/>
    <w:rsid w:val="00A55DC3"/>
    <w:rsid w:val="00A5687E"/>
    <w:rsid w:val="00A56D41"/>
    <w:rsid w:val="00A61353"/>
    <w:rsid w:val="00A627D4"/>
    <w:rsid w:val="00A66B50"/>
    <w:rsid w:val="00A66DB1"/>
    <w:rsid w:val="00A67A92"/>
    <w:rsid w:val="00A70B80"/>
    <w:rsid w:val="00A71455"/>
    <w:rsid w:val="00A745C2"/>
    <w:rsid w:val="00A87870"/>
    <w:rsid w:val="00A91A70"/>
    <w:rsid w:val="00A93BBF"/>
    <w:rsid w:val="00A95D24"/>
    <w:rsid w:val="00AA1B85"/>
    <w:rsid w:val="00AA3E49"/>
    <w:rsid w:val="00AA48A8"/>
    <w:rsid w:val="00AA70EA"/>
    <w:rsid w:val="00AB1491"/>
    <w:rsid w:val="00AB1CB6"/>
    <w:rsid w:val="00AB1D9A"/>
    <w:rsid w:val="00AB2FDA"/>
    <w:rsid w:val="00AB3270"/>
    <w:rsid w:val="00AC0287"/>
    <w:rsid w:val="00AC0716"/>
    <w:rsid w:val="00AC2A15"/>
    <w:rsid w:val="00AC2E9A"/>
    <w:rsid w:val="00AD07B8"/>
    <w:rsid w:val="00AD1DEA"/>
    <w:rsid w:val="00AD4264"/>
    <w:rsid w:val="00AD44FE"/>
    <w:rsid w:val="00AE08E6"/>
    <w:rsid w:val="00AE2885"/>
    <w:rsid w:val="00AE49F1"/>
    <w:rsid w:val="00AE4FEF"/>
    <w:rsid w:val="00AE5A06"/>
    <w:rsid w:val="00AE7DC4"/>
    <w:rsid w:val="00AF2442"/>
    <w:rsid w:val="00AF6637"/>
    <w:rsid w:val="00AF7ABE"/>
    <w:rsid w:val="00B0512A"/>
    <w:rsid w:val="00B05CCA"/>
    <w:rsid w:val="00B06506"/>
    <w:rsid w:val="00B06EA1"/>
    <w:rsid w:val="00B12574"/>
    <w:rsid w:val="00B125AF"/>
    <w:rsid w:val="00B126BA"/>
    <w:rsid w:val="00B12EAC"/>
    <w:rsid w:val="00B14271"/>
    <w:rsid w:val="00B14C02"/>
    <w:rsid w:val="00B15079"/>
    <w:rsid w:val="00B15497"/>
    <w:rsid w:val="00B16270"/>
    <w:rsid w:val="00B20673"/>
    <w:rsid w:val="00B20D32"/>
    <w:rsid w:val="00B246C3"/>
    <w:rsid w:val="00B2685D"/>
    <w:rsid w:val="00B30351"/>
    <w:rsid w:val="00B328B5"/>
    <w:rsid w:val="00B33C2A"/>
    <w:rsid w:val="00B36354"/>
    <w:rsid w:val="00B36F1D"/>
    <w:rsid w:val="00B41DF5"/>
    <w:rsid w:val="00B422EC"/>
    <w:rsid w:val="00B44347"/>
    <w:rsid w:val="00B44C88"/>
    <w:rsid w:val="00B5074F"/>
    <w:rsid w:val="00B52EA4"/>
    <w:rsid w:val="00B5784D"/>
    <w:rsid w:val="00B726D4"/>
    <w:rsid w:val="00B73A04"/>
    <w:rsid w:val="00B77695"/>
    <w:rsid w:val="00B8188A"/>
    <w:rsid w:val="00B8214F"/>
    <w:rsid w:val="00B86A4F"/>
    <w:rsid w:val="00B92320"/>
    <w:rsid w:val="00B93035"/>
    <w:rsid w:val="00B9337E"/>
    <w:rsid w:val="00B9419E"/>
    <w:rsid w:val="00B958E8"/>
    <w:rsid w:val="00B97E4A"/>
    <w:rsid w:val="00BA09B2"/>
    <w:rsid w:val="00BA1FB7"/>
    <w:rsid w:val="00BA5B46"/>
    <w:rsid w:val="00BB050E"/>
    <w:rsid w:val="00BB5CA2"/>
    <w:rsid w:val="00BB5CDD"/>
    <w:rsid w:val="00BB5D0B"/>
    <w:rsid w:val="00BB6D76"/>
    <w:rsid w:val="00BC0995"/>
    <w:rsid w:val="00BC353E"/>
    <w:rsid w:val="00BD19BF"/>
    <w:rsid w:val="00BD34C8"/>
    <w:rsid w:val="00BD4B29"/>
    <w:rsid w:val="00BD4E09"/>
    <w:rsid w:val="00BE2BE8"/>
    <w:rsid w:val="00BE793A"/>
    <w:rsid w:val="00BF1BD4"/>
    <w:rsid w:val="00BF2B82"/>
    <w:rsid w:val="00BF432A"/>
    <w:rsid w:val="00BF6E82"/>
    <w:rsid w:val="00C060C7"/>
    <w:rsid w:val="00C10A62"/>
    <w:rsid w:val="00C1717D"/>
    <w:rsid w:val="00C24C17"/>
    <w:rsid w:val="00C258B8"/>
    <w:rsid w:val="00C27349"/>
    <w:rsid w:val="00C31226"/>
    <w:rsid w:val="00C315E4"/>
    <w:rsid w:val="00C3586C"/>
    <w:rsid w:val="00C36115"/>
    <w:rsid w:val="00C3758F"/>
    <w:rsid w:val="00C4025A"/>
    <w:rsid w:val="00C40B88"/>
    <w:rsid w:val="00C4120A"/>
    <w:rsid w:val="00C418F0"/>
    <w:rsid w:val="00C42C93"/>
    <w:rsid w:val="00C43854"/>
    <w:rsid w:val="00C439E2"/>
    <w:rsid w:val="00C46019"/>
    <w:rsid w:val="00C464E6"/>
    <w:rsid w:val="00C46D70"/>
    <w:rsid w:val="00C47D87"/>
    <w:rsid w:val="00C50690"/>
    <w:rsid w:val="00C51094"/>
    <w:rsid w:val="00C5376E"/>
    <w:rsid w:val="00C5756E"/>
    <w:rsid w:val="00C61079"/>
    <w:rsid w:val="00C62A77"/>
    <w:rsid w:val="00C64275"/>
    <w:rsid w:val="00C6490B"/>
    <w:rsid w:val="00C7050A"/>
    <w:rsid w:val="00C729C4"/>
    <w:rsid w:val="00C75DB0"/>
    <w:rsid w:val="00C808A6"/>
    <w:rsid w:val="00C852E5"/>
    <w:rsid w:val="00C872AE"/>
    <w:rsid w:val="00C94561"/>
    <w:rsid w:val="00C94EDB"/>
    <w:rsid w:val="00C97091"/>
    <w:rsid w:val="00C97260"/>
    <w:rsid w:val="00CA2001"/>
    <w:rsid w:val="00CA3E82"/>
    <w:rsid w:val="00CA4690"/>
    <w:rsid w:val="00CA4ACE"/>
    <w:rsid w:val="00CA5317"/>
    <w:rsid w:val="00CA72BA"/>
    <w:rsid w:val="00CB232A"/>
    <w:rsid w:val="00CB2499"/>
    <w:rsid w:val="00CB3E29"/>
    <w:rsid w:val="00CB5B6C"/>
    <w:rsid w:val="00CB6BE5"/>
    <w:rsid w:val="00CC052E"/>
    <w:rsid w:val="00CC3C63"/>
    <w:rsid w:val="00CD007E"/>
    <w:rsid w:val="00CD16BE"/>
    <w:rsid w:val="00CD39B7"/>
    <w:rsid w:val="00CD3C00"/>
    <w:rsid w:val="00CD4616"/>
    <w:rsid w:val="00CD47AC"/>
    <w:rsid w:val="00CD56AF"/>
    <w:rsid w:val="00CD7F36"/>
    <w:rsid w:val="00CE12F3"/>
    <w:rsid w:val="00CE33D5"/>
    <w:rsid w:val="00CE4297"/>
    <w:rsid w:val="00CF03B7"/>
    <w:rsid w:val="00CF1D7E"/>
    <w:rsid w:val="00CF5D37"/>
    <w:rsid w:val="00CF6F33"/>
    <w:rsid w:val="00D02248"/>
    <w:rsid w:val="00D063B8"/>
    <w:rsid w:val="00D06759"/>
    <w:rsid w:val="00D06825"/>
    <w:rsid w:val="00D17E3B"/>
    <w:rsid w:val="00D20C16"/>
    <w:rsid w:val="00D23C09"/>
    <w:rsid w:val="00D23CED"/>
    <w:rsid w:val="00D24BD2"/>
    <w:rsid w:val="00D2573D"/>
    <w:rsid w:val="00D260A2"/>
    <w:rsid w:val="00D30CC6"/>
    <w:rsid w:val="00D3260C"/>
    <w:rsid w:val="00D34B00"/>
    <w:rsid w:val="00D35790"/>
    <w:rsid w:val="00D37238"/>
    <w:rsid w:val="00D440F7"/>
    <w:rsid w:val="00D46103"/>
    <w:rsid w:val="00D463B1"/>
    <w:rsid w:val="00D47CB9"/>
    <w:rsid w:val="00D50B09"/>
    <w:rsid w:val="00D54125"/>
    <w:rsid w:val="00D5539F"/>
    <w:rsid w:val="00D5653B"/>
    <w:rsid w:val="00D56ED8"/>
    <w:rsid w:val="00D62EF1"/>
    <w:rsid w:val="00D6309D"/>
    <w:rsid w:val="00D644CA"/>
    <w:rsid w:val="00D66013"/>
    <w:rsid w:val="00D66FC2"/>
    <w:rsid w:val="00D726AF"/>
    <w:rsid w:val="00D73AD7"/>
    <w:rsid w:val="00D74AE4"/>
    <w:rsid w:val="00D76C7E"/>
    <w:rsid w:val="00D771DE"/>
    <w:rsid w:val="00D7776D"/>
    <w:rsid w:val="00D77CB5"/>
    <w:rsid w:val="00D82A62"/>
    <w:rsid w:val="00D83689"/>
    <w:rsid w:val="00D8508F"/>
    <w:rsid w:val="00D9293F"/>
    <w:rsid w:val="00D93598"/>
    <w:rsid w:val="00D93CA4"/>
    <w:rsid w:val="00D96D4C"/>
    <w:rsid w:val="00D9758C"/>
    <w:rsid w:val="00DA1E18"/>
    <w:rsid w:val="00DA2009"/>
    <w:rsid w:val="00DA300A"/>
    <w:rsid w:val="00DA47B4"/>
    <w:rsid w:val="00DB05B1"/>
    <w:rsid w:val="00DB25C2"/>
    <w:rsid w:val="00DB50AA"/>
    <w:rsid w:val="00DB5A79"/>
    <w:rsid w:val="00DB5B0F"/>
    <w:rsid w:val="00DB5CF2"/>
    <w:rsid w:val="00DB66F6"/>
    <w:rsid w:val="00DC2465"/>
    <w:rsid w:val="00DC258E"/>
    <w:rsid w:val="00DC53B1"/>
    <w:rsid w:val="00DD0A18"/>
    <w:rsid w:val="00DD24AD"/>
    <w:rsid w:val="00DD252B"/>
    <w:rsid w:val="00DD512E"/>
    <w:rsid w:val="00DE0A95"/>
    <w:rsid w:val="00DE1177"/>
    <w:rsid w:val="00DE1EDE"/>
    <w:rsid w:val="00DE2CEA"/>
    <w:rsid w:val="00DE335A"/>
    <w:rsid w:val="00DE4F86"/>
    <w:rsid w:val="00DE6A3C"/>
    <w:rsid w:val="00DE73B2"/>
    <w:rsid w:val="00DE74F4"/>
    <w:rsid w:val="00DE7F97"/>
    <w:rsid w:val="00DF0B95"/>
    <w:rsid w:val="00DF1010"/>
    <w:rsid w:val="00DF5AEA"/>
    <w:rsid w:val="00DF63F6"/>
    <w:rsid w:val="00DF754A"/>
    <w:rsid w:val="00E01F05"/>
    <w:rsid w:val="00E13747"/>
    <w:rsid w:val="00E153A9"/>
    <w:rsid w:val="00E15F74"/>
    <w:rsid w:val="00E25AEA"/>
    <w:rsid w:val="00E279A9"/>
    <w:rsid w:val="00E30DEF"/>
    <w:rsid w:val="00E30ED2"/>
    <w:rsid w:val="00E31276"/>
    <w:rsid w:val="00E37F70"/>
    <w:rsid w:val="00E446C1"/>
    <w:rsid w:val="00E47AB2"/>
    <w:rsid w:val="00E50C7F"/>
    <w:rsid w:val="00E52460"/>
    <w:rsid w:val="00E53559"/>
    <w:rsid w:val="00E5561E"/>
    <w:rsid w:val="00E56821"/>
    <w:rsid w:val="00E647AA"/>
    <w:rsid w:val="00E66ACF"/>
    <w:rsid w:val="00E7032B"/>
    <w:rsid w:val="00E71B27"/>
    <w:rsid w:val="00E758B9"/>
    <w:rsid w:val="00E7722D"/>
    <w:rsid w:val="00E806CE"/>
    <w:rsid w:val="00E8398E"/>
    <w:rsid w:val="00E85569"/>
    <w:rsid w:val="00E856AF"/>
    <w:rsid w:val="00E859A6"/>
    <w:rsid w:val="00E86B83"/>
    <w:rsid w:val="00E87C64"/>
    <w:rsid w:val="00E919D9"/>
    <w:rsid w:val="00E93A01"/>
    <w:rsid w:val="00E93B3F"/>
    <w:rsid w:val="00E93FF8"/>
    <w:rsid w:val="00E9599B"/>
    <w:rsid w:val="00E962F0"/>
    <w:rsid w:val="00E96EAF"/>
    <w:rsid w:val="00EA1752"/>
    <w:rsid w:val="00EA4AAB"/>
    <w:rsid w:val="00EA4D48"/>
    <w:rsid w:val="00EA5377"/>
    <w:rsid w:val="00EA5A89"/>
    <w:rsid w:val="00EA5BDB"/>
    <w:rsid w:val="00EB46D9"/>
    <w:rsid w:val="00EC142D"/>
    <w:rsid w:val="00EC1E16"/>
    <w:rsid w:val="00ED0024"/>
    <w:rsid w:val="00ED0F85"/>
    <w:rsid w:val="00ED201F"/>
    <w:rsid w:val="00ED2742"/>
    <w:rsid w:val="00ED2B5C"/>
    <w:rsid w:val="00ED3269"/>
    <w:rsid w:val="00ED5538"/>
    <w:rsid w:val="00ED6FFC"/>
    <w:rsid w:val="00EE1A8C"/>
    <w:rsid w:val="00EE34FF"/>
    <w:rsid w:val="00EE3BCD"/>
    <w:rsid w:val="00EE4643"/>
    <w:rsid w:val="00EE6F1F"/>
    <w:rsid w:val="00EF1330"/>
    <w:rsid w:val="00EF15FF"/>
    <w:rsid w:val="00EF2505"/>
    <w:rsid w:val="00EF7111"/>
    <w:rsid w:val="00EF7756"/>
    <w:rsid w:val="00EF7D1A"/>
    <w:rsid w:val="00F0448F"/>
    <w:rsid w:val="00F06BA2"/>
    <w:rsid w:val="00F0716C"/>
    <w:rsid w:val="00F07FD8"/>
    <w:rsid w:val="00F10ED7"/>
    <w:rsid w:val="00F111AD"/>
    <w:rsid w:val="00F15194"/>
    <w:rsid w:val="00F16D36"/>
    <w:rsid w:val="00F23715"/>
    <w:rsid w:val="00F2649A"/>
    <w:rsid w:val="00F270E9"/>
    <w:rsid w:val="00F2722E"/>
    <w:rsid w:val="00F275C0"/>
    <w:rsid w:val="00F346B6"/>
    <w:rsid w:val="00F3550E"/>
    <w:rsid w:val="00F36145"/>
    <w:rsid w:val="00F37AC8"/>
    <w:rsid w:val="00F37BDD"/>
    <w:rsid w:val="00F401A5"/>
    <w:rsid w:val="00F41503"/>
    <w:rsid w:val="00F442C9"/>
    <w:rsid w:val="00F466C8"/>
    <w:rsid w:val="00F469A9"/>
    <w:rsid w:val="00F5036B"/>
    <w:rsid w:val="00F50B46"/>
    <w:rsid w:val="00F50D1F"/>
    <w:rsid w:val="00F517C7"/>
    <w:rsid w:val="00F547E4"/>
    <w:rsid w:val="00F55674"/>
    <w:rsid w:val="00F5713F"/>
    <w:rsid w:val="00F6203E"/>
    <w:rsid w:val="00F62316"/>
    <w:rsid w:val="00F635FC"/>
    <w:rsid w:val="00F63D03"/>
    <w:rsid w:val="00F65E2F"/>
    <w:rsid w:val="00F67288"/>
    <w:rsid w:val="00F67DF1"/>
    <w:rsid w:val="00F703EE"/>
    <w:rsid w:val="00F73F92"/>
    <w:rsid w:val="00F752FE"/>
    <w:rsid w:val="00F76B83"/>
    <w:rsid w:val="00F819D8"/>
    <w:rsid w:val="00F82A40"/>
    <w:rsid w:val="00F8309B"/>
    <w:rsid w:val="00F833C9"/>
    <w:rsid w:val="00F857B6"/>
    <w:rsid w:val="00F85A23"/>
    <w:rsid w:val="00F85A3C"/>
    <w:rsid w:val="00F87681"/>
    <w:rsid w:val="00F90064"/>
    <w:rsid w:val="00F96AFD"/>
    <w:rsid w:val="00F96E5F"/>
    <w:rsid w:val="00FA1398"/>
    <w:rsid w:val="00FA26BC"/>
    <w:rsid w:val="00FA2E19"/>
    <w:rsid w:val="00FA697F"/>
    <w:rsid w:val="00FB3960"/>
    <w:rsid w:val="00FB4589"/>
    <w:rsid w:val="00FB5521"/>
    <w:rsid w:val="00FB5D53"/>
    <w:rsid w:val="00FB610D"/>
    <w:rsid w:val="00FC4477"/>
    <w:rsid w:val="00FC46FB"/>
    <w:rsid w:val="00FC51A7"/>
    <w:rsid w:val="00FD0308"/>
    <w:rsid w:val="00FD0734"/>
    <w:rsid w:val="00FD0A38"/>
    <w:rsid w:val="00FD2BD3"/>
    <w:rsid w:val="00FD4CCA"/>
    <w:rsid w:val="00FD4E98"/>
    <w:rsid w:val="00FE2A9E"/>
    <w:rsid w:val="00FF2E27"/>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5CD4B88-1558-4418-926A-27ABE988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tr-T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tr-TR"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tr-TR"/>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tr-TR"/>
    </w:rPr>
  </w:style>
  <w:style w:type="paragraph" w:customStyle="1" w:styleId="MittlereListe2-Akzent21">
    <w:name w:val="Mittlere Liste 2 - Akzent 21"/>
    <w:hidden/>
    <w:uiPriority w:val="99"/>
    <w:semiHidden/>
    <w:rsid w:val="002E0B17"/>
    <w:rPr>
      <w:rFonts w:ascii="Arial" w:hAnsi="Arial"/>
    </w:rPr>
  </w:style>
  <w:style w:type="character" w:customStyle="1" w:styleId="FooterChar">
    <w:name w:val="Footer Char"/>
    <w:link w:val="Footer"/>
    <w:uiPriority w:val="99"/>
    <w:rsid w:val="00992A11"/>
    <w:rPr>
      <w:rFonts w:ascii="Segoe UI" w:hAnsi="Segoe UI"/>
      <w:bCs/>
      <w:noProof/>
      <w:sz w:val="12"/>
      <w:szCs w:val="24"/>
      <w:lang w:val="tr-TR"/>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63"/>
    <w:qFormat/>
    <w:rsid w:val="009E1B3B"/>
    <w:pPr>
      <w:ind w:left="720"/>
      <w:contextualSpacing/>
    </w:pPr>
  </w:style>
  <w:style w:type="character" w:styleId="CommentReference">
    <w:name w:val="annotation reference"/>
    <w:basedOn w:val="DefaultParagraphFont"/>
    <w:rsid w:val="00911751"/>
    <w:rPr>
      <w:sz w:val="16"/>
      <w:szCs w:val="16"/>
    </w:rPr>
  </w:style>
  <w:style w:type="paragraph" w:styleId="CommentText">
    <w:name w:val="annotation text"/>
    <w:basedOn w:val="Normal"/>
    <w:link w:val="CommentTextChar"/>
    <w:rsid w:val="00911751"/>
    <w:pPr>
      <w:spacing w:line="240" w:lineRule="auto"/>
    </w:pPr>
    <w:rPr>
      <w:sz w:val="20"/>
      <w:szCs w:val="20"/>
    </w:rPr>
  </w:style>
  <w:style w:type="character" w:customStyle="1" w:styleId="CommentTextChar">
    <w:name w:val="Comment Text Char"/>
    <w:basedOn w:val="DefaultParagraphFont"/>
    <w:link w:val="CommentText"/>
    <w:rsid w:val="00911751"/>
    <w:rPr>
      <w:sz w:val="20"/>
      <w:szCs w:val="20"/>
    </w:rPr>
  </w:style>
  <w:style w:type="paragraph" w:styleId="CommentSubject">
    <w:name w:val="annotation subject"/>
    <w:basedOn w:val="CommentText"/>
    <w:next w:val="CommentText"/>
    <w:link w:val="CommentSubjectChar"/>
    <w:rsid w:val="00911751"/>
    <w:rPr>
      <w:b/>
      <w:bCs/>
    </w:rPr>
  </w:style>
  <w:style w:type="character" w:customStyle="1" w:styleId="CommentSubjectChar">
    <w:name w:val="Comment Subject Char"/>
    <w:basedOn w:val="CommentTextChar"/>
    <w:link w:val="CommentSubject"/>
    <w:rsid w:val="00911751"/>
    <w:rPr>
      <w:b/>
      <w:bCs/>
      <w:sz w:val="20"/>
      <w:szCs w:val="20"/>
    </w:rPr>
  </w:style>
  <w:style w:type="character" w:styleId="FollowedHyperlink">
    <w:name w:val="FollowedHyperlink"/>
    <w:basedOn w:val="DefaultParagraphFont"/>
    <w:rsid w:val="00DE0A95"/>
    <w:rPr>
      <w:color w:val="954F72" w:themeColor="followedHyperlink"/>
      <w:u w:val="single"/>
    </w:rPr>
  </w:style>
  <w:style w:type="paragraph" w:styleId="Revision">
    <w:name w:val="Revision"/>
    <w:hidden/>
    <w:uiPriority w:val="62"/>
    <w:unhideWhenUsed/>
    <w:rsid w:val="002B1A2C"/>
    <w:rPr>
      <w:sz w:val="22"/>
    </w:rPr>
  </w:style>
  <w:style w:type="character" w:styleId="UnresolvedMention">
    <w:name w:val="Unresolved Mention"/>
    <w:basedOn w:val="DefaultParagraphFont"/>
    <w:uiPriority w:val="99"/>
    <w:semiHidden/>
    <w:unhideWhenUsed/>
    <w:rsid w:val="009B2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5581">
      <w:bodyDiv w:val="1"/>
      <w:marLeft w:val="0"/>
      <w:marRight w:val="0"/>
      <w:marTop w:val="0"/>
      <w:marBottom w:val="0"/>
      <w:divBdr>
        <w:top w:val="none" w:sz="0" w:space="0" w:color="auto"/>
        <w:left w:val="none" w:sz="0" w:space="0" w:color="auto"/>
        <w:bottom w:val="none" w:sz="0" w:space="0" w:color="auto"/>
        <w:right w:val="none" w:sz="0" w:space="0" w:color="auto"/>
      </w:divBdr>
    </w:div>
    <w:div w:id="114982769">
      <w:bodyDiv w:val="1"/>
      <w:marLeft w:val="0"/>
      <w:marRight w:val="0"/>
      <w:marTop w:val="0"/>
      <w:marBottom w:val="0"/>
      <w:divBdr>
        <w:top w:val="none" w:sz="0" w:space="0" w:color="auto"/>
        <w:left w:val="none" w:sz="0" w:space="0" w:color="auto"/>
        <w:bottom w:val="none" w:sz="0" w:space="0" w:color="auto"/>
        <w:right w:val="none" w:sz="0" w:space="0" w:color="auto"/>
      </w:divBdr>
    </w:div>
    <w:div w:id="196092708">
      <w:bodyDiv w:val="1"/>
      <w:marLeft w:val="0"/>
      <w:marRight w:val="0"/>
      <w:marTop w:val="0"/>
      <w:marBottom w:val="0"/>
      <w:divBdr>
        <w:top w:val="none" w:sz="0" w:space="0" w:color="auto"/>
        <w:left w:val="none" w:sz="0" w:space="0" w:color="auto"/>
        <w:bottom w:val="none" w:sz="0" w:space="0" w:color="auto"/>
        <w:right w:val="none" w:sz="0" w:space="0" w:color="auto"/>
      </w:divBdr>
    </w:div>
    <w:div w:id="265238414">
      <w:bodyDiv w:val="1"/>
      <w:marLeft w:val="0"/>
      <w:marRight w:val="0"/>
      <w:marTop w:val="0"/>
      <w:marBottom w:val="0"/>
      <w:divBdr>
        <w:top w:val="none" w:sz="0" w:space="0" w:color="auto"/>
        <w:left w:val="none" w:sz="0" w:space="0" w:color="auto"/>
        <w:bottom w:val="none" w:sz="0" w:space="0" w:color="auto"/>
        <w:right w:val="none" w:sz="0" w:space="0" w:color="auto"/>
      </w:divBdr>
    </w:div>
    <w:div w:id="274097527">
      <w:bodyDiv w:val="1"/>
      <w:marLeft w:val="0"/>
      <w:marRight w:val="0"/>
      <w:marTop w:val="0"/>
      <w:marBottom w:val="0"/>
      <w:divBdr>
        <w:top w:val="none" w:sz="0" w:space="0" w:color="auto"/>
        <w:left w:val="none" w:sz="0" w:space="0" w:color="auto"/>
        <w:bottom w:val="none" w:sz="0" w:space="0" w:color="auto"/>
        <w:right w:val="none" w:sz="0" w:space="0" w:color="auto"/>
      </w:divBdr>
    </w:div>
    <w:div w:id="338238118">
      <w:bodyDiv w:val="1"/>
      <w:marLeft w:val="0"/>
      <w:marRight w:val="0"/>
      <w:marTop w:val="0"/>
      <w:marBottom w:val="0"/>
      <w:divBdr>
        <w:top w:val="none" w:sz="0" w:space="0" w:color="auto"/>
        <w:left w:val="none" w:sz="0" w:space="0" w:color="auto"/>
        <w:bottom w:val="none" w:sz="0" w:space="0" w:color="auto"/>
        <w:right w:val="none" w:sz="0" w:space="0" w:color="auto"/>
      </w:divBdr>
    </w:div>
    <w:div w:id="386996242">
      <w:bodyDiv w:val="1"/>
      <w:marLeft w:val="0"/>
      <w:marRight w:val="0"/>
      <w:marTop w:val="0"/>
      <w:marBottom w:val="0"/>
      <w:divBdr>
        <w:top w:val="none" w:sz="0" w:space="0" w:color="auto"/>
        <w:left w:val="none" w:sz="0" w:space="0" w:color="auto"/>
        <w:bottom w:val="none" w:sz="0" w:space="0" w:color="auto"/>
        <w:right w:val="none" w:sz="0" w:space="0" w:color="auto"/>
      </w:divBdr>
    </w:div>
    <w:div w:id="415564686">
      <w:bodyDiv w:val="1"/>
      <w:marLeft w:val="0"/>
      <w:marRight w:val="0"/>
      <w:marTop w:val="0"/>
      <w:marBottom w:val="0"/>
      <w:divBdr>
        <w:top w:val="none" w:sz="0" w:space="0" w:color="auto"/>
        <w:left w:val="none" w:sz="0" w:space="0" w:color="auto"/>
        <w:bottom w:val="none" w:sz="0" w:space="0" w:color="auto"/>
        <w:right w:val="none" w:sz="0" w:space="0" w:color="auto"/>
      </w:divBdr>
    </w:div>
    <w:div w:id="432478283">
      <w:bodyDiv w:val="1"/>
      <w:marLeft w:val="0"/>
      <w:marRight w:val="0"/>
      <w:marTop w:val="0"/>
      <w:marBottom w:val="0"/>
      <w:divBdr>
        <w:top w:val="none" w:sz="0" w:space="0" w:color="auto"/>
        <w:left w:val="none" w:sz="0" w:space="0" w:color="auto"/>
        <w:bottom w:val="none" w:sz="0" w:space="0" w:color="auto"/>
        <w:right w:val="none" w:sz="0" w:space="0" w:color="auto"/>
      </w:divBdr>
    </w:div>
    <w:div w:id="705955792">
      <w:bodyDiv w:val="1"/>
      <w:marLeft w:val="0"/>
      <w:marRight w:val="0"/>
      <w:marTop w:val="0"/>
      <w:marBottom w:val="0"/>
      <w:divBdr>
        <w:top w:val="none" w:sz="0" w:space="0" w:color="auto"/>
        <w:left w:val="none" w:sz="0" w:space="0" w:color="auto"/>
        <w:bottom w:val="none" w:sz="0" w:space="0" w:color="auto"/>
        <w:right w:val="none" w:sz="0" w:space="0" w:color="auto"/>
      </w:divBdr>
    </w:div>
    <w:div w:id="730272683">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13928796">
      <w:bodyDiv w:val="1"/>
      <w:marLeft w:val="0"/>
      <w:marRight w:val="0"/>
      <w:marTop w:val="0"/>
      <w:marBottom w:val="0"/>
      <w:divBdr>
        <w:top w:val="none" w:sz="0" w:space="0" w:color="auto"/>
        <w:left w:val="none" w:sz="0" w:space="0" w:color="auto"/>
        <w:bottom w:val="none" w:sz="0" w:space="0" w:color="auto"/>
        <w:right w:val="none" w:sz="0" w:space="0" w:color="auto"/>
      </w:divBdr>
    </w:div>
    <w:div w:id="967512681">
      <w:bodyDiv w:val="1"/>
      <w:marLeft w:val="0"/>
      <w:marRight w:val="0"/>
      <w:marTop w:val="0"/>
      <w:marBottom w:val="0"/>
      <w:divBdr>
        <w:top w:val="none" w:sz="0" w:space="0" w:color="auto"/>
        <w:left w:val="none" w:sz="0" w:space="0" w:color="auto"/>
        <w:bottom w:val="none" w:sz="0" w:space="0" w:color="auto"/>
        <w:right w:val="none" w:sz="0" w:space="0" w:color="auto"/>
      </w:divBdr>
    </w:div>
    <w:div w:id="978536707">
      <w:bodyDiv w:val="1"/>
      <w:marLeft w:val="0"/>
      <w:marRight w:val="0"/>
      <w:marTop w:val="0"/>
      <w:marBottom w:val="0"/>
      <w:divBdr>
        <w:top w:val="none" w:sz="0" w:space="0" w:color="auto"/>
        <w:left w:val="none" w:sz="0" w:space="0" w:color="auto"/>
        <w:bottom w:val="none" w:sz="0" w:space="0" w:color="auto"/>
        <w:right w:val="none" w:sz="0" w:space="0" w:color="auto"/>
      </w:divBdr>
    </w:div>
    <w:div w:id="989096155">
      <w:bodyDiv w:val="1"/>
      <w:marLeft w:val="0"/>
      <w:marRight w:val="0"/>
      <w:marTop w:val="0"/>
      <w:marBottom w:val="0"/>
      <w:divBdr>
        <w:top w:val="none" w:sz="0" w:space="0" w:color="auto"/>
        <w:left w:val="none" w:sz="0" w:space="0" w:color="auto"/>
        <w:bottom w:val="none" w:sz="0" w:space="0" w:color="auto"/>
        <w:right w:val="none" w:sz="0" w:space="0" w:color="auto"/>
      </w:divBdr>
    </w:div>
    <w:div w:id="989215092">
      <w:bodyDiv w:val="1"/>
      <w:marLeft w:val="0"/>
      <w:marRight w:val="0"/>
      <w:marTop w:val="0"/>
      <w:marBottom w:val="0"/>
      <w:divBdr>
        <w:top w:val="none" w:sz="0" w:space="0" w:color="auto"/>
        <w:left w:val="none" w:sz="0" w:space="0" w:color="auto"/>
        <w:bottom w:val="none" w:sz="0" w:space="0" w:color="auto"/>
        <w:right w:val="none" w:sz="0" w:space="0" w:color="auto"/>
      </w:divBdr>
    </w:div>
    <w:div w:id="1078361676">
      <w:bodyDiv w:val="1"/>
      <w:marLeft w:val="0"/>
      <w:marRight w:val="0"/>
      <w:marTop w:val="0"/>
      <w:marBottom w:val="0"/>
      <w:divBdr>
        <w:top w:val="none" w:sz="0" w:space="0" w:color="auto"/>
        <w:left w:val="none" w:sz="0" w:space="0" w:color="auto"/>
        <w:bottom w:val="none" w:sz="0" w:space="0" w:color="auto"/>
        <w:right w:val="none" w:sz="0" w:space="0" w:color="auto"/>
      </w:divBdr>
    </w:div>
    <w:div w:id="1092748485">
      <w:bodyDiv w:val="1"/>
      <w:marLeft w:val="0"/>
      <w:marRight w:val="0"/>
      <w:marTop w:val="0"/>
      <w:marBottom w:val="0"/>
      <w:divBdr>
        <w:top w:val="none" w:sz="0" w:space="0" w:color="auto"/>
        <w:left w:val="none" w:sz="0" w:space="0" w:color="auto"/>
        <w:bottom w:val="none" w:sz="0" w:space="0" w:color="auto"/>
        <w:right w:val="none" w:sz="0" w:space="0" w:color="auto"/>
      </w:divBdr>
    </w:div>
    <w:div w:id="1113011163">
      <w:bodyDiv w:val="1"/>
      <w:marLeft w:val="0"/>
      <w:marRight w:val="0"/>
      <w:marTop w:val="0"/>
      <w:marBottom w:val="0"/>
      <w:divBdr>
        <w:top w:val="none" w:sz="0" w:space="0" w:color="auto"/>
        <w:left w:val="none" w:sz="0" w:space="0" w:color="auto"/>
        <w:bottom w:val="none" w:sz="0" w:space="0" w:color="auto"/>
        <w:right w:val="none" w:sz="0" w:space="0" w:color="auto"/>
      </w:divBdr>
    </w:div>
    <w:div w:id="1204561863">
      <w:bodyDiv w:val="1"/>
      <w:marLeft w:val="0"/>
      <w:marRight w:val="0"/>
      <w:marTop w:val="0"/>
      <w:marBottom w:val="0"/>
      <w:divBdr>
        <w:top w:val="none" w:sz="0" w:space="0" w:color="auto"/>
        <w:left w:val="none" w:sz="0" w:space="0" w:color="auto"/>
        <w:bottom w:val="none" w:sz="0" w:space="0" w:color="auto"/>
        <w:right w:val="none" w:sz="0" w:space="0" w:color="auto"/>
      </w:divBdr>
    </w:div>
    <w:div w:id="1225725017">
      <w:bodyDiv w:val="1"/>
      <w:marLeft w:val="0"/>
      <w:marRight w:val="0"/>
      <w:marTop w:val="0"/>
      <w:marBottom w:val="0"/>
      <w:divBdr>
        <w:top w:val="none" w:sz="0" w:space="0" w:color="auto"/>
        <w:left w:val="none" w:sz="0" w:space="0" w:color="auto"/>
        <w:bottom w:val="none" w:sz="0" w:space="0" w:color="auto"/>
        <w:right w:val="none" w:sz="0" w:space="0" w:color="auto"/>
      </w:divBdr>
    </w:div>
    <w:div w:id="1234897297">
      <w:bodyDiv w:val="1"/>
      <w:marLeft w:val="0"/>
      <w:marRight w:val="0"/>
      <w:marTop w:val="0"/>
      <w:marBottom w:val="0"/>
      <w:divBdr>
        <w:top w:val="none" w:sz="0" w:space="0" w:color="auto"/>
        <w:left w:val="none" w:sz="0" w:space="0" w:color="auto"/>
        <w:bottom w:val="none" w:sz="0" w:space="0" w:color="auto"/>
        <w:right w:val="none" w:sz="0" w:space="0" w:color="auto"/>
      </w:divBdr>
    </w:div>
    <w:div w:id="128315094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395736964">
      <w:bodyDiv w:val="1"/>
      <w:marLeft w:val="0"/>
      <w:marRight w:val="0"/>
      <w:marTop w:val="0"/>
      <w:marBottom w:val="0"/>
      <w:divBdr>
        <w:top w:val="none" w:sz="0" w:space="0" w:color="auto"/>
        <w:left w:val="none" w:sz="0" w:space="0" w:color="auto"/>
        <w:bottom w:val="none" w:sz="0" w:space="0" w:color="auto"/>
        <w:right w:val="none" w:sz="0" w:space="0" w:color="auto"/>
      </w:divBdr>
    </w:div>
    <w:div w:id="1532107810">
      <w:bodyDiv w:val="1"/>
      <w:marLeft w:val="0"/>
      <w:marRight w:val="0"/>
      <w:marTop w:val="0"/>
      <w:marBottom w:val="0"/>
      <w:divBdr>
        <w:top w:val="none" w:sz="0" w:space="0" w:color="auto"/>
        <w:left w:val="none" w:sz="0" w:space="0" w:color="auto"/>
        <w:bottom w:val="none" w:sz="0" w:space="0" w:color="auto"/>
        <w:right w:val="none" w:sz="0" w:space="0" w:color="auto"/>
      </w:divBdr>
    </w:div>
    <w:div w:id="1583293857">
      <w:bodyDiv w:val="1"/>
      <w:marLeft w:val="0"/>
      <w:marRight w:val="0"/>
      <w:marTop w:val="0"/>
      <w:marBottom w:val="0"/>
      <w:divBdr>
        <w:top w:val="none" w:sz="0" w:space="0" w:color="auto"/>
        <w:left w:val="none" w:sz="0" w:space="0" w:color="auto"/>
        <w:bottom w:val="none" w:sz="0" w:space="0" w:color="auto"/>
        <w:right w:val="none" w:sz="0" w:space="0" w:color="auto"/>
      </w:divBdr>
    </w:div>
    <w:div w:id="1598902673">
      <w:bodyDiv w:val="1"/>
      <w:marLeft w:val="0"/>
      <w:marRight w:val="0"/>
      <w:marTop w:val="0"/>
      <w:marBottom w:val="0"/>
      <w:divBdr>
        <w:top w:val="none" w:sz="0" w:space="0" w:color="auto"/>
        <w:left w:val="none" w:sz="0" w:space="0" w:color="auto"/>
        <w:bottom w:val="none" w:sz="0" w:space="0" w:color="auto"/>
        <w:right w:val="none" w:sz="0" w:space="0" w:color="auto"/>
      </w:divBdr>
    </w:div>
    <w:div w:id="1913809693">
      <w:bodyDiv w:val="1"/>
      <w:marLeft w:val="0"/>
      <w:marRight w:val="0"/>
      <w:marTop w:val="0"/>
      <w:marBottom w:val="0"/>
      <w:divBdr>
        <w:top w:val="none" w:sz="0" w:space="0" w:color="auto"/>
        <w:left w:val="none" w:sz="0" w:space="0" w:color="auto"/>
        <w:bottom w:val="none" w:sz="0" w:space="0" w:color="auto"/>
        <w:right w:val="none" w:sz="0" w:space="0" w:color="auto"/>
      </w:divBdr>
    </w:div>
    <w:div w:id="2027756126">
      <w:bodyDiv w:val="1"/>
      <w:marLeft w:val="0"/>
      <w:marRight w:val="0"/>
      <w:marTop w:val="0"/>
      <w:marBottom w:val="0"/>
      <w:divBdr>
        <w:top w:val="none" w:sz="0" w:space="0" w:color="auto"/>
        <w:left w:val="none" w:sz="0" w:space="0" w:color="auto"/>
        <w:bottom w:val="none" w:sz="0" w:space="0" w:color="auto"/>
        <w:right w:val="none" w:sz="0" w:space="0" w:color="auto"/>
      </w:divBdr>
    </w:div>
    <w:div w:id="203996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com/press-and-media/press-releases-and-kits/2024-04-08-henkel-launches-new-initiative-to-collaborate-with-suppliers-on-climate-action-1949908"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nkel.com/press-and-media/press-releases-and-kits/2024-11-04-henkel-defines-net-zero-targets-199644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nkel.com/press-and-media/press-releases-and-kits/2024-01-17-henkel-introduces-fully-paid-gender-neutral-parental-leave-for-its-employees-worldwide-191933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412AB7BD75244A4AD465861CD4C6E" ma:contentTypeVersion="20" ma:contentTypeDescription="Create a new document." ma:contentTypeScope="" ma:versionID="015353fb2be68a33471a4d8484507122">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8113ac90865a4b150a958ed3fde4268d"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1ed756-d086-4fdf-a17a-21742199d804">
      <Terms xmlns="http://schemas.microsoft.com/office/infopath/2007/PartnerControls"/>
    </lcf76f155ced4ddcb4097134ff3c332f>
    <TaxCatchAll xmlns="ef406d6b-70e0-427c-b08d-4edfc77771aa" xsi:nil="true"/>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8E1CB-6387-4BBF-86EB-3D23D86F2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2b1ed756-d086-4fdf-a17a-21742199d804"/>
    <ds:schemaRef ds:uri="ef406d6b-70e0-427c-b08d-4edfc77771aa"/>
  </ds:schemaRefs>
</ds:datastoreItem>
</file>

<file path=customXml/itemProps4.xml><?xml version="1.0" encoding="utf-8"?>
<ds:datastoreItem xmlns:ds="http://schemas.openxmlformats.org/officeDocument/2006/customXml" ds:itemID="{0DDA1403-087E-4CD6-B4A8-40DD4744EC6E}">
  <ds:schemaRefs>
    <ds:schemaRef ds:uri="Microsoft.SharePoint.Taxonomy.ContentTypeSync"/>
  </ds:schemaRefs>
</ds:datastoreItem>
</file>

<file path=customXml/itemProps5.xml><?xml version="1.0" encoding="utf-8"?>
<ds:datastoreItem xmlns:ds="http://schemas.openxmlformats.org/officeDocument/2006/customXml" ds:itemID="{2F2B4372-73DD-46B9-BC49-76227637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1070</Words>
  <Characters>8085</Characters>
  <Application>Microsoft Office Word</Application>
  <DocSecurity>2</DocSecurity>
  <Lines>67</Lines>
  <Paragraphs>18</Paragraphs>
  <ScaleCrop>false</ScaleCrop>
  <HeadingPairs>
    <vt:vector size="6" baseType="variant">
      <vt:variant>
        <vt:lpstr>Title</vt:lpstr>
      </vt:variant>
      <vt:variant>
        <vt:i4>1</vt:i4>
      </vt:variant>
      <vt:variant>
        <vt:lpstr>Konu Başlığı</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Oznur Cati</cp:lastModifiedBy>
  <cp:revision>179</cp:revision>
  <cp:lastPrinted>2016-11-15T16:11:00Z</cp:lastPrinted>
  <dcterms:created xsi:type="dcterms:W3CDTF">2025-03-04T08:46:00Z</dcterms:created>
  <dcterms:modified xsi:type="dcterms:W3CDTF">2025-03-11T09:35:00Z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