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5E39A" w14:textId="4F0781A3" w:rsidR="00B422EC" w:rsidRPr="000E6DD7" w:rsidRDefault="00081692" w:rsidP="00D81971">
      <w:pPr>
        <w:pStyle w:val="MonthDayYear"/>
        <w:tabs>
          <w:tab w:val="left" w:pos="7371"/>
        </w:tabs>
        <w:jc w:val="both"/>
        <w:rPr>
          <w:lang w:val="it-IT"/>
        </w:rPr>
      </w:pPr>
      <w:r w:rsidRPr="000E6DD7">
        <w:rPr>
          <w:lang w:val="it-IT"/>
        </w:rPr>
        <w:tab/>
      </w:r>
      <w:r w:rsidR="008B548B" w:rsidRPr="000E6DD7">
        <w:rPr>
          <w:lang w:val="it-IT"/>
        </w:rPr>
        <w:t xml:space="preserve">    </w:t>
      </w:r>
      <w:r w:rsidR="000F3BAB" w:rsidRPr="000E6DD7">
        <w:rPr>
          <w:lang w:val="it-IT"/>
        </w:rPr>
        <w:t>11 marzo 2025</w:t>
      </w:r>
    </w:p>
    <w:p w14:paraId="498FDB4B" w14:textId="45379B6E" w:rsidR="00C80467" w:rsidRPr="000E6DD7" w:rsidRDefault="000F3BAB" w:rsidP="00C80467">
      <w:pPr>
        <w:pStyle w:val="Topline"/>
        <w:spacing w:after="360"/>
        <w:rPr>
          <w:rFonts w:asciiTheme="majorHAnsi" w:hAnsiTheme="majorHAnsi" w:cstheme="majorHAnsi"/>
          <w:lang w:val="it-IT"/>
        </w:rPr>
      </w:pPr>
      <w:r w:rsidRPr="000E6DD7">
        <w:rPr>
          <w:rFonts w:asciiTheme="majorHAnsi" w:hAnsiTheme="majorHAnsi" w:cstheme="majorHAnsi"/>
          <w:lang w:val="it-IT"/>
        </w:rPr>
        <w:t>Presentati i risultati dell’anno fiscale 2024</w:t>
      </w:r>
    </w:p>
    <w:p w14:paraId="1F1AB70E" w14:textId="00A8E515" w:rsidR="001D0F91" w:rsidRPr="000E6DD7" w:rsidRDefault="00946166" w:rsidP="00262807">
      <w:pPr>
        <w:jc w:val="left"/>
        <w:rPr>
          <w:rStyle w:val="Headline"/>
          <w:rFonts w:asciiTheme="majorHAnsi" w:hAnsiTheme="majorHAnsi" w:cstheme="majorHAnsi"/>
          <w:lang w:val="it-IT"/>
        </w:rPr>
      </w:pPr>
      <w:r w:rsidRPr="000E6DD7">
        <w:rPr>
          <w:rStyle w:val="Headline"/>
          <w:rFonts w:asciiTheme="majorHAnsi" w:hAnsiTheme="majorHAnsi" w:cstheme="majorHAnsi"/>
          <w:lang w:val="it-IT"/>
        </w:rPr>
        <w:t xml:space="preserve">Molto buoni i risultati 2024 di </w:t>
      </w:r>
      <w:r w:rsidR="001D0F91" w:rsidRPr="000E6DD7">
        <w:rPr>
          <w:rStyle w:val="Headline"/>
          <w:rFonts w:asciiTheme="majorHAnsi" w:hAnsiTheme="majorHAnsi" w:cstheme="majorHAnsi"/>
          <w:lang w:val="it-IT"/>
        </w:rPr>
        <w:t>Henkel</w:t>
      </w:r>
      <w:r w:rsidRPr="000E6DD7">
        <w:rPr>
          <w:rStyle w:val="Headline"/>
          <w:rFonts w:asciiTheme="majorHAnsi" w:hAnsiTheme="majorHAnsi" w:cstheme="majorHAnsi"/>
          <w:lang w:val="it-IT"/>
        </w:rPr>
        <w:t>,</w:t>
      </w:r>
      <w:r w:rsidR="001D0F91" w:rsidRPr="000E6DD7">
        <w:rPr>
          <w:rStyle w:val="Headline"/>
          <w:rFonts w:asciiTheme="majorHAnsi" w:hAnsiTheme="majorHAnsi" w:cstheme="majorHAnsi"/>
          <w:lang w:val="it-IT"/>
        </w:rPr>
        <w:t xml:space="preserve"> </w:t>
      </w:r>
      <w:r w:rsidR="004D32F5" w:rsidRPr="000E6DD7">
        <w:rPr>
          <w:rStyle w:val="Headline"/>
          <w:rFonts w:asciiTheme="majorHAnsi" w:hAnsiTheme="majorHAnsi" w:cstheme="majorHAnsi"/>
          <w:lang w:val="it-IT"/>
        </w:rPr>
        <w:t>prosegue con successo l’implementazione dell’agenda strategica di crescita</w:t>
      </w:r>
    </w:p>
    <w:p w14:paraId="6509E710" w14:textId="77777777" w:rsidR="00C80467" w:rsidRPr="000E6DD7" w:rsidRDefault="00C80467" w:rsidP="00C80467">
      <w:pPr>
        <w:rPr>
          <w:lang w:val="it-IT"/>
        </w:rPr>
      </w:pPr>
    </w:p>
    <w:p w14:paraId="17672315" w14:textId="77777777" w:rsidR="00607DCD" w:rsidRPr="000E6DD7" w:rsidRDefault="00607DCD" w:rsidP="00C80467">
      <w:pPr>
        <w:rPr>
          <w:lang w:val="it-IT"/>
        </w:rPr>
      </w:pPr>
    </w:p>
    <w:p w14:paraId="777F9BCD" w14:textId="6F69350F" w:rsidR="00CB3734" w:rsidRPr="000E6DD7" w:rsidRDefault="001555A5" w:rsidP="00CB3734">
      <w:pPr>
        <w:pStyle w:val="Paragrafoelenco"/>
        <w:numPr>
          <w:ilvl w:val="0"/>
          <w:numId w:val="7"/>
        </w:numPr>
        <w:spacing w:after="80"/>
        <w:ind w:left="284" w:right="-108" w:hanging="357"/>
        <w:contextualSpacing w:val="0"/>
        <w:jc w:val="left"/>
        <w:rPr>
          <w:rFonts w:asciiTheme="majorHAnsi" w:hAnsiTheme="majorHAnsi" w:cs="Cambria"/>
          <w:b/>
          <w:szCs w:val="22"/>
          <w:lang w:val="it-IT"/>
        </w:rPr>
      </w:pPr>
      <w:bookmarkStart w:id="0" w:name="_Hlk140061525"/>
      <w:r w:rsidRPr="000E6DD7">
        <w:rPr>
          <w:rFonts w:asciiTheme="majorHAnsi" w:hAnsiTheme="majorHAnsi" w:cs="Cambria"/>
          <w:b/>
          <w:szCs w:val="22"/>
          <w:lang w:val="it-IT"/>
        </w:rPr>
        <w:t>Risultati solidi nell’anno fiscale</w:t>
      </w:r>
      <w:r w:rsidR="00CB3734" w:rsidRPr="000E6DD7">
        <w:rPr>
          <w:rFonts w:asciiTheme="majorHAnsi" w:hAnsiTheme="majorHAnsi" w:cs="Cambria"/>
          <w:b/>
          <w:szCs w:val="22"/>
          <w:lang w:val="it-IT"/>
        </w:rPr>
        <w:t xml:space="preserve"> 2024</w:t>
      </w:r>
      <w:r w:rsidRPr="000E6DD7">
        <w:rPr>
          <w:rFonts w:asciiTheme="majorHAnsi" w:hAnsiTheme="majorHAnsi" w:cs="Cambria"/>
          <w:b/>
          <w:szCs w:val="22"/>
          <w:lang w:val="it-IT"/>
        </w:rPr>
        <w:t>:</w:t>
      </w:r>
    </w:p>
    <w:p w14:paraId="75890473" w14:textId="4C256676" w:rsidR="00CB3734" w:rsidRPr="000E6DD7" w:rsidRDefault="001555A5" w:rsidP="001555A5">
      <w:pPr>
        <w:pStyle w:val="Paragrafoelenco"/>
        <w:numPr>
          <w:ilvl w:val="1"/>
          <w:numId w:val="7"/>
        </w:numPr>
        <w:spacing w:after="80"/>
        <w:ind w:right="-108"/>
        <w:contextualSpacing w:val="0"/>
        <w:jc w:val="left"/>
        <w:rPr>
          <w:rFonts w:asciiTheme="majorHAnsi" w:hAnsiTheme="majorHAnsi" w:cs="Cambria"/>
          <w:b/>
          <w:szCs w:val="22"/>
          <w:lang w:val="it-IT"/>
        </w:rPr>
      </w:pPr>
      <w:r w:rsidRPr="000E6DD7">
        <w:rPr>
          <w:rFonts w:asciiTheme="majorHAnsi" w:hAnsiTheme="majorHAnsi" w:cs="Cambria"/>
          <w:b/>
          <w:szCs w:val="22"/>
          <w:lang w:val="it-IT"/>
        </w:rPr>
        <w:t>fatturato</w:t>
      </w:r>
      <w:r w:rsidR="00CB3734" w:rsidRPr="000E6DD7">
        <w:rPr>
          <w:rFonts w:asciiTheme="majorHAnsi" w:hAnsiTheme="majorHAnsi" w:cs="Cambria"/>
          <w:b/>
          <w:szCs w:val="22"/>
          <w:lang w:val="it-IT"/>
        </w:rPr>
        <w:t>: 21</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6 </w:t>
      </w:r>
      <w:r w:rsidRPr="000E6DD7">
        <w:rPr>
          <w:rFonts w:asciiTheme="majorHAnsi" w:hAnsiTheme="majorHAnsi" w:cs="Cambria"/>
          <w:b/>
          <w:szCs w:val="22"/>
          <w:lang w:val="it-IT"/>
        </w:rPr>
        <w:t>miliardi di</w:t>
      </w:r>
      <w:r w:rsidR="00CB3734" w:rsidRPr="000E6DD7">
        <w:rPr>
          <w:rFonts w:asciiTheme="majorHAnsi" w:hAnsiTheme="majorHAnsi" w:cs="Cambria"/>
          <w:b/>
          <w:szCs w:val="22"/>
          <w:lang w:val="it-IT"/>
        </w:rPr>
        <w:t xml:space="preserve"> euro, </w:t>
      </w:r>
      <w:r w:rsidRPr="000E6DD7">
        <w:rPr>
          <w:rFonts w:asciiTheme="majorHAnsi" w:hAnsiTheme="majorHAnsi" w:cs="Cambria"/>
          <w:b/>
          <w:szCs w:val="22"/>
          <w:lang w:val="it-IT"/>
        </w:rPr>
        <w:t>crescita organica +</w:t>
      </w:r>
      <w:r w:rsidR="00CB3734" w:rsidRPr="000E6DD7">
        <w:rPr>
          <w:rFonts w:asciiTheme="majorHAnsi" w:hAnsiTheme="majorHAnsi" w:cs="Cambria"/>
          <w:b/>
          <w:szCs w:val="22"/>
          <w:lang w:val="it-IT"/>
        </w:rPr>
        <w:t>2</w:t>
      </w:r>
      <w:r w:rsidRPr="000E6DD7">
        <w:rPr>
          <w:rFonts w:asciiTheme="majorHAnsi" w:hAnsiTheme="majorHAnsi" w:cs="Cambria"/>
          <w:b/>
          <w:szCs w:val="22"/>
          <w:lang w:val="it-IT"/>
        </w:rPr>
        <w:t>,</w:t>
      </w:r>
      <w:r w:rsidR="00CB3734" w:rsidRPr="000E6DD7">
        <w:rPr>
          <w:rFonts w:asciiTheme="majorHAnsi" w:hAnsiTheme="majorHAnsi" w:cs="Cambria"/>
          <w:b/>
          <w:szCs w:val="22"/>
          <w:lang w:val="it-IT"/>
        </w:rPr>
        <w:t>6</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p>
    <w:p w14:paraId="247CAF15" w14:textId="190011F0" w:rsidR="00CB3734" w:rsidRPr="000E6DD7" w:rsidRDefault="00412328" w:rsidP="00412328">
      <w:pPr>
        <w:pStyle w:val="Paragrafoelenco"/>
        <w:numPr>
          <w:ilvl w:val="1"/>
          <w:numId w:val="7"/>
        </w:numPr>
        <w:spacing w:after="80"/>
        <w:ind w:right="-108"/>
        <w:contextualSpacing w:val="0"/>
        <w:jc w:val="left"/>
        <w:rPr>
          <w:rFonts w:asciiTheme="majorHAnsi" w:hAnsiTheme="majorHAnsi" w:cs="Cambria"/>
          <w:b/>
          <w:szCs w:val="22"/>
          <w:lang w:val="it-IT"/>
        </w:rPr>
      </w:pPr>
      <w:r w:rsidRPr="000E6DD7">
        <w:rPr>
          <w:rFonts w:asciiTheme="majorHAnsi" w:hAnsiTheme="majorHAnsi" w:cs="Cambria"/>
          <w:b/>
          <w:szCs w:val="22"/>
          <w:lang w:val="it-IT"/>
        </w:rPr>
        <w:t>margine operativo</w:t>
      </w:r>
      <w:r w:rsidR="00CB3734" w:rsidRPr="000E6DD7">
        <w:rPr>
          <w:rFonts w:asciiTheme="majorHAnsi" w:hAnsiTheme="majorHAnsi" w:cs="Cambria"/>
          <w:b/>
          <w:szCs w:val="22"/>
          <w:lang w:val="it-IT"/>
        </w:rPr>
        <w:t xml:space="preserve"> (EBIT)*: 3</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1 </w:t>
      </w:r>
      <w:r w:rsidRPr="000E6DD7">
        <w:rPr>
          <w:rFonts w:asciiTheme="majorHAnsi" w:hAnsiTheme="majorHAnsi" w:cs="Cambria"/>
          <w:b/>
          <w:szCs w:val="22"/>
          <w:lang w:val="it-IT"/>
        </w:rPr>
        <w:t>miliardi di</w:t>
      </w:r>
      <w:r w:rsidR="00CB3734" w:rsidRPr="000E6DD7">
        <w:rPr>
          <w:rFonts w:asciiTheme="majorHAnsi" w:hAnsiTheme="majorHAnsi" w:cs="Cambria"/>
          <w:b/>
          <w:szCs w:val="22"/>
          <w:lang w:val="it-IT"/>
        </w:rPr>
        <w:t xml:space="preserve"> euro, </w:t>
      </w:r>
      <w:r w:rsidRPr="000E6DD7">
        <w:rPr>
          <w:rFonts w:asciiTheme="majorHAnsi" w:hAnsiTheme="majorHAnsi" w:cs="Cambria"/>
          <w:b/>
          <w:szCs w:val="22"/>
          <w:lang w:val="it-IT"/>
        </w:rPr>
        <w:t xml:space="preserve">incremento molto significativo pari al </w:t>
      </w:r>
      <w:r w:rsidR="00CB3734" w:rsidRPr="000E6DD7">
        <w:rPr>
          <w:rFonts w:asciiTheme="majorHAnsi" w:hAnsiTheme="majorHAnsi" w:cs="Cambria"/>
          <w:b/>
          <w:szCs w:val="22"/>
          <w:lang w:val="it-IT"/>
        </w:rPr>
        <w:t>20</w:t>
      </w:r>
      <w:r w:rsidRPr="000E6DD7">
        <w:rPr>
          <w:rFonts w:asciiTheme="majorHAnsi" w:hAnsiTheme="majorHAnsi" w:cs="Cambria"/>
          <w:b/>
          <w:szCs w:val="22"/>
          <w:lang w:val="it-IT"/>
        </w:rPr>
        <w:t>,</w:t>
      </w:r>
      <w:r w:rsidR="00CB3734" w:rsidRPr="000E6DD7">
        <w:rPr>
          <w:rFonts w:asciiTheme="majorHAnsi" w:hAnsiTheme="majorHAnsi" w:cs="Cambria"/>
          <w:b/>
          <w:szCs w:val="22"/>
          <w:lang w:val="it-IT"/>
        </w:rPr>
        <w:t>9</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p>
    <w:p w14:paraId="5E55837B" w14:textId="2FBA8AE4" w:rsidR="00CB3734" w:rsidRPr="000E6DD7" w:rsidRDefault="00412328" w:rsidP="00412328">
      <w:pPr>
        <w:pStyle w:val="Paragrafoelenco"/>
        <w:numPr>
          <w:ilvl w:val="1"/>
          <w:numId w:val="7"/>
        </w:numPr>
        <w:spacing w:after="80"/>
        <w:ind w:right="-108"/>
        <w:contextualSpacing w:val="0"/>
        <w:jc w:val="left"/>
        <w:rPr>
          <w:rFonts w:asciiTheme="majorHAnsi" w:hAnsiTheme="majorHAnsi" w:cs="Cambria"/>
          <w:b/>
          <w:szCs w:val="22"/>
          <w:lang w:val="it-IT"/>
        </w:rPr>
      </w:pPr>
      <w:r w:rsidRPr="000E6DD7">
        <w:rPr>
          <w:rFonts w:asciiTheme="majorHAnsi" w:hAnsiTheme="majorHAnsi" w:cs="Cambria"/>
          <w:b/>
          <w:szCs w:val="22"/>
          <w:lang w:val="it-IT"/>
        </w:rPr>
        <w:t xml:space="preserve">margine </w:t>
      </w:r>
      <w:r w:rsidR="00CB3734" w:rsidRPr="000E6DD7">
        <w:rPr>
          <w:rFonts w:asciiTheme="majorHAnsi" w:hAnsiTheme="majorHAnsi" w:cs="Cambria"/>
          <w:b/>
          <w:szCs w:val="22"/>
          <w:lang w:val="it-IT"/>
        </w:rPr>
        <w:t>EBIT</w:t>
      </w:r>
      <w:r w:rsidRPr="000E6DD7">
        <w:rPr>
          <w:rFonts w:asciiTheme="majorHAnsi" w:hAnsiTheme="majorHAnsi" w:cs="Cambria"/>
          <w:b/>
          <w:szCs w:val="22"/>
          <w:lang w:val="it-IT"/>
        </w:rPr>
        <w:t xml:space="preserve"> </w:t>
      </w:r>
      <w:r w:rsidR="00CB3734" w:rsidRPr="000E6DD7">
        <w:rPr>
          <w:rFonts w:asciiTheme="majorHAnsi" w:hAnsiTheme="majorHAnsi" w:cs="Cambria"/>
          <w:b/>
          <w:szCs w:val="22"/>
          <w:lang w:val="it-IT"/>
        </w:rPr>
        <w:t>*: 14</w:t>
      </w:r>
      <w:r w:rsidRPr="000E6DD7">
        <w:rPr>
          <w:rFonts w:asciiTheme="majorHAnsi" w:hAnsiTheme="majorHAnsi" w:cs="Cambria"/>
          <w:b/>
          <w:szCs w:val="22"/>
          <w:lang w:val="it-IT"/>
        </w:rPr>
        <w:t>,</w:t>
      </w:r>
      <w:r w:rsidR="00CB3734" w:rsidRPr="000E6DD7">
        <w:rPr>
          <w:rFonts w:asciiTheme="majorHAnsi" w:hAnsiTheme="majorHAnsi" w:cs="Cambria"/>
          <w:b/>
          <w:szCs w:val="22"/>
          <w:lang w:val="it-IT"/>
        </w:rPr>
        <w:t>3</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r w:rsidRPr="000E6DD7">
        <w:rPr>
          <w:rFonts w:asciiTheme="majorHAnsi" w:hAnsiTheme="majorHAnsi" w:cs="Cambria"/>
          <w:b/>
          <w:szCs w:val="22"/>
          <w:lang w:val="it-IT"/>
        </w:rPr>
        <w:t>miglioramento</w:t>
      </w:r>
      <w:r w:rsidR="008C68FF" w:rsidRPr="000E6DD7">
        <w:rPr>
          <w:rFonts w:asciiTheme="majorHAnsi" w:hAnsiTheme="majorHAnsi" w:cs="Cambria"/>
          <w:b/>
          <w:szCs w:val="22"/>
          <w:lang w:val="it-IT"/>
        </w:rPr>
        <w:t xml:space="preserve"> di ben</w:t>
      </w:r>
      <w:r w:rsidR="00CB3734" w:rsidRPr="000E6DD7">
        <w:rPr>
          <w:rFonts w:asciiTheme="majorHAnsi" w:hAnsiTheme="majorHAnsi" w:cs="Cambria"/>
          <w:b/>
          <w:szCs w:val="22"/>
          <w:lang w:val="it-IT"/>
        </w:rPr>
        <w:t xml:space="preserve"> 240 </w:t>
      </w:r>
      <w:r w:rsidR="008C68FF" w:rsidRPr="000E6DD7">
        <w:rPr>
          <w:rFonts w:asciiTheme="majorHAnsi" w:hAnsiTheme="majorHAnsi" w:cs="Cambria"/>
          <w:b/>
          <w:szCs w:val="22"/>
          <w:lang w:val="it-IT"/>
        </w:rPr>
        <w:t>punti base</w:t>
      </w:r>
      <w:r w:rsidR="00CB3734" w:rsidRPr="000E6DD7">
        <w:rPr>
          <w:rFonts w:asciiTheme="majorHAnsi" w:hAnsiTheme="majorHAnsi" w:cs="Cambria"/>
          <w:b/>
          <w:szCs w:val="22"/>
          <w:lang w:val="it-IT"/>
        </w:rPr>
        <w:t xml:space="preserve"> </w:t>
      </w:r>
    </w:p>
    <w:p w14:paraId="0CAC6AF7" w14:textId="424FB8F9" w:rsidR="00CB3734" w:rsidRPr="000E6DD7" w:rsidRDefault="008C68FF" w:rsidP="008C68FF">
      <w:pPr>
        <w:pStyle w:val="Paragrafoelenco"/>
        <w:numPr>
          <w:ilvl w:val="1"/>
          <w:numId w:val="7"/>
        </w:numPr>
        <w:spacing w:after="80"/>
        <w:ind w:right="-108"/>
        <w:contextualSpacing w:val="0"/>
        <w:jc w:val="left"/>
        <w:rPr>
          <w:rFonts w:asciiTheme="majorHAnsi" w:hAnsiTheme="majorHAnsi" w:cs="Cambria"/>
          <w:b/>
          <w:szCs w:val="22"/>
          <w:lang w:val="it-IT"/>
        </w:rPr>
      </w:pPr>
      <w:r w:rsidRPr="000E6DD7">
        <w:rPr>
          <w:b/>
          <w:bCs/>
          <w:lang w:val="it-IT"/>
        </w:rPr>
        <w:t xml:space="preserve">utile per azione privilegiata </w:t>
      </w:r>
      <w:r w:rsidRPr="000E6DD7">
        <w:rPr>
          <w:rFonts w:asciiTheme="majorHAnsi" w:hAnsiTheme="majorHAnsi" w:cs="Cambria"/>
          <w:b/>
          <w:szCs w:val="22"/>
          <w:lang w:val="it-IT"/>
        </w:rPr>
        <w:t xml:space="preserve">(EPS): </w:t>
      </w:r>
      <w:r w:rsidR="00CB3734" w:rsidRPr="000E6DD7">
        <w:rPr>
          <w:rFonts w:asciiTheme="majorHAnsi" w:hAnsiTheme="majorHAnsi" w:cs="Cambria"/>
          <w:b/>
          <w:szCs w:val="22"/>
          <w:lang w:val="it-IT"/>
        </w:rPr>
        <w:t>5</w:t>
      </w:r>
      <w:r w:rsidRPr="000E6DD7">
        <w:rPr>
          <w:rFonts w:asciiTheme="majorHAnsi" w:hAnsiTheme="majorHAnsi" w:cs="Cambria"/>
          <w:b/>
          <w:szCs w:val="22"/>
          <w:lang w:val="it-IT"/>
        </w:rPr>
        <w:t>,</w:t>
      </w:r>
      <w:r w:rsidR="00CB3734" w:rsidRPr="000E6DD7">
        <w:rPr>
          <w:rFonts w:asciiTheme="majorHAnsi" w:hAnsiTheme="majorHAnsi" w:cs="Cambria"/>
          <w:b/>
          <w:szCs w:val="22"/>
          <w:lang w:val="it-IT"/>
        </w:rPr>
        <w:t>36 euro,</w:t>
      </w:r>
      <w:r w:rsidRPr="000E6DD7">
        <w:rPr>
          <w:rFonts w:asciiTheme="majorHAnsi" w:hAnsiTheme="majorHAnsi" w:cs="Cambria"/>
          <w:b/>
          <w:szCs w:val="22"/>
          <w:lang w:val="it-IT"/>
        </w:rPr>
        <w:t xml:space="preserve"> </w:t>
      </w:r>
      <w:r w:rsidR="00CB3734" w:rsidRPr="000E6DD7">
        <w:rPr>
          <w:rFonts w:asciiTheme="majorHAnsi" w:hAnsiTheme="majorHAnsi" w:cs="Cambria"/>
          <w:b/>
          <w:szCs w:val="22"/>
          <w:lang w:val="it-IT"/>
        </w:rPr>
        <w:t>+25</w:t>
      </w:r>
      <w:r w:rsidRPr="000E6DD7">
        <w:rPr>
          <w:rFonts w:asciiTheme="majorHAnsi" w:hAnsiTheme="majorHAnsi" w:cs="Cambria"/>
          <w:b/>
          <w:szCs w:val="22"/>
          <w:lang w:val="it-IT"/>
        </w:rPr>
        <w:t>,</w:t>
      </w:r>
      <w:r w:rsidR="00CB3734" w:rsidRPr="000E6DD7">
        <w:rPr>
          <w:rFonts w:asciiTheme="majorHAnsi" w:hAnsiTheme="majorHAnsi" w:cs="Cambria"/>
          <w:b/>
          <w:szCs w:val="22"/>
          <w:lang w:val="it-IT"/>
        </w:rPr>
        <w:t>1</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r w:rsidRPr="000E6DD7">
        <w:rPr>
          <w:rFonts w:asciiTheme="majorHAnsi" w:hAnsiTheme="majorHAnsi" w:cs="Cambria"/>
          <w:b/>
          <w:szCs w:val="22"/>
          <w:lang w:val="it-IT"/>
        </w:rPr>
        <w:t>a tassi costanti di cambio</w:t>
      </w:r>
    </w:p>
    <w:p w14:paraId="4D902F64" w14:textId="0E2CE982" w:rsidR="00CB3734" w:rsidRPr="000E6DD7" w:rsidRDefault="00727DE1" w:rsidP="00727DE1">
      <w:pPr>
        <w:pStyle w:val="Paragrafoelenco"/>
        <w:numPr>
          <w:ilvl w:val="1"/>
          <w:numId w:val="7"/>
        </w:numPr>
        <w:spacing w:after="80"/>
        <w:ind w:right="-108"/>
        <w:contextualSpacing w:val="0"/>
        <w:jc w:val="left"/>
        <w:rPr>
          <w:rFonts w:asciiTheme="majorHAnsi" w:hAnsiTheme="majorHAnsi" w:cs="Cambria"/>
          <w:b/>
          <w:szCs w:val="22"/>
          <w:lang w:val="it-IT"/>
        </w:rPr>
      </w:pPr>
      <w:r w:rsidRPr="000E6DD7">
        <w:rPr>
          <w:rFonts w:asciiTheme="majorHAnsi" w:hAnsiTheme="majorHAnsi" w:cs="Cambria"/>
          <w:b/>
          <w:szCs w:val="22"/>
          <w:lang w:val="it-IT"/>
        </w:rPr>
        <w:t>flusso di cassa:</w:t>
      </w:r>
      <w:r w:rsidR="00CB3734" w:rsidRPr="000E6DD7">
        <w:rPr>
          <w:rFonts w:asciiTheme="majorHAnsi" w:hAnsiTheme="majorHAnsi" w:cs="Cambria"/>
          <w:b/>
          <w:szCs w:val="22"/>
          <w:lang w:val="it-IT"/>
        </w:rPr>
        <w:t xml:space="preserve"> 2</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4 </w:t>
      </w:r>
      <w:r w:rsidRPr="000E6DD7">
        <w:rPr>
          <w:rFonts w:asciiTheme="majorHAnsi" w:hAnsiTheme="majorHAnsi" w:cs="Cambria"/>
          <w:b/>
          <w:szCs w:val="22"/>
          <w:lang w:val="it-IT"/>
        </w:rPr>
        <w:t>miliardi di</w:t>
      </w:r>
      <w:r w:rsidR="00CB3734" w:rsidRPr="000E6DD7">
        <w:rPr>
          <w:rFonts w:asciiTheme="majorHAnsi" w:hAnsiTheme="majorHAnsi" w:cs="Cambria"/>
          <w:b/>
          <w:szCs w:val="22"/>
          <w:lang w:val="it-IT"/>
        </w:rPr>
        <w:t xml:space="preserve"> euro </w:t>
      </w:r>
    </w:p>
    <w:p w14:paraId="7FD068CF" w14:textId="0DC91D98" w:rsidR="00CB3734" w:rsidRPr="000E6DD7" w:rsidRDefault="00355B37" w:rsidP="00686D55">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0E6DD7">
        <w:rPr>
          <w:rFonts w:asciiTheme="majorHAnsi" w:hAnsiTheme="majorHAnsi" w:cs="Cambria"/>
          <w:b/>
          <w:szCs w:val="22"/>
          <w:lang w:val="it-IT"/>
        </w:rPr>
        <w:t xml:space="preserve">Proposto incremento </w:t>
      </w:r>
      <w:r w:rsidR="00BC046A" w:rsidRPr="000E6DD7">
        <w:rPr>
          <w:rFonts w:asciiTheme="majorHAnsi" w:hAnsiTheme="majorHAnsi" w:cs="Cambria"/>
          <w:b/>
          <w:szCs w:val="22"/>
          <w:lang w:val="it-IT"/>
        </w:rPr>
        <w:t xml:space="preserve">a doppia cifra </w:t>
      </w:r>
      <w:r w:rsidRPr="000E6DD7">
        <w:rPr>
          <w:rFonts w:asciiTheme="majorHAnsi" w:hAnsiTheme="majorHAnsi" w:cs="Cambria"/>
          <w:b/>
          <w:szCs w:val="22"/>
          <w:lang w:val="it-IT"/>
        </w:rPr>
        <w:t>dei dividen</w:t>
      </w:r>
      <w:r w:rsidR="00BC046A" w:rsidRPr="000E6DD7">
        <w:rPr>
          <w:rFonts w:asciiTheme="majorHAnsi" w:hAnsiTheme="majorHAnsi" w:cs="Cambria"/>
          <w:b/>
          <w:szCs w:val="22"/>
          <w:lang w:val="it-IT"/>
        </w:rPr>
        <w:t>d</w:t>
      </w:r>
      <w:r w:rsidRPr="000E6DD7">
        <w:rPr>
          <w:rFonts w:asciiTheme="majorHAnsi" w:hAnsiTheme="majorHAnsi" w:cs="Cambria"/>
          <w:b/>
          <w:szCs w:val="22"/>
          <w:lang w:val="it-IT"/>
        </w:rPr>
        <w:t>i:</w:t>
      </w:r>
      <w:r w:rsidR="00BE188F" w:rsidRPr="000E6DD7">
        <w:rPr>
          <w:rFonts w:asciiTheme="majorHAnsi" w:hAnsiTheme="majorHAnsi" w:cs="Cambria"/>
          <w:b/>
          <w:szCs w:val="22"/>
          <w:lang w:val="it-IT"/>
        </w:rPr>
        <w:t xml:space="preserve"> </w:t>
      </w:r>
      <w:r w:rsidR="00CB3734" w:rsidRPr="000E6DD7">
        <w:rPr>
          <w:rFonts w:asciiTheme="majorHAnsi" w:hAnsiTheme="majorHAnsi" w:cs="Cambria"/>
          <w:b/>
          <w:szCs w:val="22"/>
          <w:lang w:val="it-IT"/>
        </w:rPr>
        <w:t>2</w:t>
      </w:r>
      <w:r w:rsidR="00BE188F"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04 euro </w:t>
      </w:r>
      <w:r w:rsidR="00BE188F" w:rsidRPr="000E6DD7">
        <w:rPr>
          <w:rFonts w:asciiTheme="majorHAnsi" w:hAnsiTheme="majorHAnsi" w:cs="Cambria"/>
          <w:b/>
          <w:szCs w:val="22"/>
          <w:lang w:val="it-IT"/>
        </w:rPr>
        <w:t>per azione privilegiata</w:t>
      </w:r>
      <w:r w:rsidR="00CB3734" w:rsidRPr="000E6DD7">
        <w:rPr>
          <w:rFonts w:asciiTheme="majorHAnsi" w:hAnsiTheme="majorHAnsi" w:cs="Cambria"/>
          <w:b/>
          <w:szCs w:val="22"/>
          <w:lang w:val="it-IT"/>
        </w:rPr>
        <w:t xml:space="preserve"> (+10</w:t>
      </w:r>
      <w:r w:rsidR="00BE188F" w:rsidRPr="000E6DD7">
        <w:rPr>
          <w:rFonts w:asciiTheme="majorHAnsi" w:hAnsiTheme="majorHAnsi" w:cs="Cambria"/>
          <w:b/>
          <w:szCs w:val="22"/>
          <w:lang w:val="it-IT"/>
        </w:rPr>
        <w:t>,</w:t>
      </w:r>
      <w:r w:rsidR="00CB3734" w:rsidRPr="000E6DD7">
        <w:rPr>
          <w:rFonts w:asciiTheme="majorHAnsi" w:hAnsiTheme="majorHAnsi" w:cs="Cambria"/>
          <w:b/>
          <w:szCs w:val="22"/>
          <w:lang w:val="it-IT"/>
        </w:rPr>
        <w:t>3</w:t>
      </w:r>
      <w:r w:rsidR="00BE188F"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p>
    <w:p w14:paraId="10566FBE" w14:textId="588E2A5A" w:rsidR="00BE188F" w:rsidRPr="000E6DD7" w:rsidRDefault="00D7752D" w:rsidP="00CB3734">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0E6DD7">
        <w:rPr>
          <w:rFonts w:asciiTheme="majorHAnsi" w:hAnsiTheme="majorHAnsi" w:cs="Cambria"/>
          <w:b/>
          <w:szCs w:val="22"/>
          <w:lang w:val="it-IT"/>
        </w:rPr>
        <w:t>Deciso</w:t>
      </w:r>
      <w:r w:rsidR="00C5631F" w:rsidRPr="000E6DD7">
        <w:rPr>
          <w:rFonts w:asciiTheme="majorHAnsi" w:hAnsiTheme="majorHAnsi" w:cs="Cambria"/>
          <w:b/>
          <w:szCs w:val="22"/>
          <w:lang w:val="it-IT"/>
        </w:rPr>
        <w:t xml:space="preserve"> piano di riacquisto delle azioni fino a 1 miliardo di euro</w:t>
      </w:r>
    </w:p>
    <w:p w14:paraId="7951B712" w14:textId="309FBF5E" w:rsidR="00CB3734" w:rsidRPr="007C0E9E" w:rsidRDefault="00C5631F" w:rsidP="00CB3734">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7C0E9E">
        <w:rPr>
          <w:rFonts w:asciiTheme="majorHAnsi" w:hAnsiTheme="majorHAnsi" w:cs="Cambria"/>
          <w:b/>
          <w:szCs w:val="22"/>
          <w:lang w:val="it-IT"/>
        </w:rPr>
        <w:t>Ottimi progressi nell’implementazione dell’agenda strategica di crescita:</w:t>
      </w:r>
    </w:p>
    <w:p w14:paraId="60987A45" w14:textId="2A798F1B" w:rsidR="00CB3734" w:rsidRPr="007C0E9E" w:rsidRDefault="00CB3734" w:rsidP="00C82DF4">
      <w:pPr>
        <w:pStyle w:val="Paragrafoelenco"/>
        <w:numPr>
          <w:ilvl w:val="1"/>
          <w:numId w:val="7"/>
        </w:numPr>
        <w:spacing w:after="80"/>
        <w:ind w:right="-108"/>
        <w:contextualSpacing w:val="0"/>
        <w:jc w:val="left"/>
        <w:rPr>
          <w:rFonts w:asciiTheme="majorHAnsi" w:hAnsiTheme="majorHAnsi" w:cs="Cambria"/>
          <w:b/>
          <w:szCs w:val="22"/>
          <w:lang w:val="it-IT"/>
        </w:rPr>
      </w:pPr>
      <w:r w:rsidRPr="007C0E9E">
        <w:rPr>
          <w:rFonts w:asciiTheme="majorHAnsi" w:hAnsiTheme="majorHAnsi" w:cs="Cambria"/>
          <w:b/>
          <w:szCs w:val="22"/>
          <w:lang w:val="it-IT"/>
        </w:rPr>
        <w:t xml:space="preserve">Consumer Brands: </w:t>
      </w:r>
      <w:r w:rsidR="00C82DF4" w:rsidRPr="007C0E9E">
        <w:rPr>
          <w:rFonts w:asciiTheme="majorHAnsi" w:hAnsiTheme="majorHAnsi" w:cs="Cambria"/>
          <w:b/>
          <w:szCs w:val="22"/>
          <w:lang w:val="it-IT"/>
        </w:rPr>
        <w:t xml:space="preserve">l’integrazione procede più rapida del previsto, finalizzate le misure di gestione del portafoglio, sinergie </w:t>
      </w:r>
      <w:r w:rsidR="000A1596" w:rsidRPr="007C0E9E">
        <w:rPr>
          <w:rFonts w:asciiTheme="majorHAnsi" w:hAnsiTheme="majorHAnsi" w:cs="Cambria"/>
          <w:b/>
          <w:szCs w:val="22"/>
          <w:lang w:val="it-IT"/>
        </w:rPr>
        <w:t xml:space="preserve">pienamente </w:t>
      </w:r>
      <w:r w:rsidR="00C82DF4" w:rsidRPr="007C0E9E">
        <w:rPr>
          <w:rFonts w:asciiTheme="majorHAnsi" w:hAnsiTheme="majorHAnsi" w:cs="Cambria"/>
          <w:b/>
          <w:szCs w:val="22"/>
          <w:lang w:val="it-IT"/>
        </w:rPr>
        <w:t>realizzabili entro la fine del 2025</w:t>
      </w:r>
    </w:p>
    <w:p w14:paraId="764026AB" w14:textId="5D414231" w:rsidR="000626BD" w:rsidRPr="007C0E9E" w:rsidRDefault="00CB3734" w:rsidP="000626BD">
      <w:pPr>
        <w:pStyle w:val="Paragrafoelenco"/>
        <w:numPr>
          <w:ilvl w:val="1"/>
          <w:numId w:val="7"/>
        </w:numPr>
        <w:spacing w:after="80"/>
        <w:ind w:right="-108"/>
        <w:contextualSpacing w:val="0"/>
        <w:jc w:val="left"/>
        <w:rPr>
          <w:rFonts w:asciiTheme="majorHAnsi" w:hAnsiTheme="majorHAnsi" w:cs="Cambria"/>
          <w:b/>
          <w:szCs w:val="22"/>
          <w:lang w:val="it-IT"/>
        </w:rPr>
      </w:pPr>
      <w:r w:rsidRPr="007C0E9E">
        <w:rPr>
          <w:rFonts w:asciiTheme="majorHAnsi" w:hAnsiTheme="majorHAnsi" w:cs="Cambria"/>
          <w:b/>
          <w:szCs w:val="22"/>
          <w:lang w:val="it-IT"/>
        </w:rPr>
        <w:t xml:space="preserve">Adhesive Technologies: </w:t>
      </w:r>
      <w:r w:rsidR="000626BD" w:rsidRPr="007C0E9E">
        <w:rPr>
          <w:rFonts w:asciiTheme="majorHAnsi" w:hAnsiTheme="majorHAnsi" w:cs="Cambria"/>
          <w:b/>
          <w:szCs w:val="22"/>
          <w:lang w:val="it-IT"/>
        </w:rPr>
        <w:t xml:space="preserve">buoni riscontri dalla nuova organizzazione </w:t>
      </w:r>
      <w:r w:rsidR="00C22788" w:rsidRPr="007C0E9E">
        <w:rPr>
          <w:rFonts w:asciiTheme="majorHAnsi" w:hAnsiTheme="majorHAnsi" w:cs="Cambria"/>
          <w:b/>
          <w:szCs w:val="22"/>
          <w:lang w:val="it-IT"/>
        </w:rPr>
        <w:t>avviata</w:t>
      </w:r>
      <w:r w:rsidR="000626BD" w:rsidRPr="007C0E9E">
        <w:rPr>
          <w:rFonts w:asciiTheme="majorHAnsi" w:hAnsiTheme="majorHAnsi" w:cs="Cambria"/>
          <w:b/>
          <w:szCs w:val="22"/>
          <w:lang w:val="it-IT"/>
        </w:rPr>
        <w:t xml:space="preserve"> nel</w:t>
      </w:r>
      <w:r w:rsidRPr="007C0E9E">
        <w:rPr>
          <w:rFonts w:asciiTheme="majorHAnsi" w:hAnsiTheme="majorHAnsi" w:cs="Cambria"/>
          <w:b/>
          <w:szCs w:val="22"/>
          <w:lang w:val="it-IT"/>
        </w:rPr>
        <w:t xml:space="preserve"> 2023</w:t>
      </w:r>
    </w:p>
    <w:p w14:paraId="21C487D5" w14:textId="72630737" w:rsidR="00CB3734" w:rsidRPr="000E6DD7" w:rsidRDefault="000626BD" w:rsidP="00EF1871">
      <w:pPr>
        <w:pStyle w:val="Paragrafoelenco"/>
        <w:numPr>
          <w:ilvl w:val="0"/>
          <w:numId w:val="7"/>
        </w:numPr>
        <w:spacing w:after="80"/>
        <w:ind w:left="284" w:right="-108" w:hanging="357"/>
        <w:contextualSpacing w:val="0"/>
        <w:jc w:val="left"/>
        <w:rPr>
          <w:rFonts w:asciiTheme="majorHAnsi" w:hAnsiTheme="majorHAnsi" w:cs="Cambria"/>
          <w:b/>
          <w:szCs w:val="22"/>
          <w:lang w:val="it-IT"/>
        </w:rPr>
      </w:pPr>
      <w:r w:rsidRPr="000E6DD7">
        <w:rPr>
          <w:rFonts w:asciiTheme="majorHAnsi" w:hAnsiTheme="majorHAnsi" w:cs="Cambria"/>
          <w:b/>
          <w:szCs w:val="22"/>
          <w:lang w:val="it-IT"/>
        </w:rPr>
        <w:t>Previsioni per l’anno fiscale</w:t>
      </w:r>
      <w:r w:rsidR="00CB3734" w:rsidRPr="000E6DD7">
        <w:rPr>
          <w:rFonts w:asciiTheme="majorHAnsi" w:hAnsiTheme="majorHAnsi" w:cs="Cambria"/>
          <w:b/>
          <w:szCs w:val="22"/>
          <w:lang w:val="it-IT"/>
        </w:rPr>
        <w:t xml:space="preserve"> 2025: </w:t>
      </w:r>
      <w:r w:rsidR="00892D7F" w:rsidRPr="000E6DD7">
        <w:rPr>
          <w:rFonts w:asciiTheme="majorHAnsi" w:hAnsiTheme="majorHAnsi" w:cs="Cambria"/>
          <w:b/>
          <w:szCs w:val="22"/>
          <w:lang w:val="it-IT"/>
        </w:rPr>
        <w:t>attesa</w:t>
      </w:r>
      <w:r w:rsidR="00232220" w:rsidRPr="000E6DD7">
        <w:rPr>
          <w:rFonts w:asciiTheme="majorHAnsi" w:hAnsiTheme="majorHAnsi" w:cs="Cambria"/>
          <w:b/>
          <w:szCs w:val="22"/>
          <w:lang w:val="it-IT"/>
        </w:rPr>
        <w:t xml:space="preserve"> la crescita della top e</w:t>
      </w:r>
      <w:r w:rsidR="00CB3734" w:rsidRPr="000E6DD7">
        <w:rPr>
          <w:rFonts w:asciiTheme="majorHAnsi" w:hAnsiTheme="majorHAnsi" w:cs="Cambria"/>
          <w:b/>
          <w:szCs w:val="22"/>
          <w:lang w:val="it-IT"/>
        </w:rPr>
        <w:t xml:space="preserve"> bottom line</w:t>
      </w:r>
      <w:r w:rsidR="00232220"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r w:rsidR="00232220" w:rsidRPr="000E6DD7">
        <w:rPr>
          <w:rFonts w:asciiTheme="majorHAnsi" w:hAnsiTheme="majorHAnsi" w:cs="Cambria"/>
          <w:b/>
          <w:szCs w:val="22"/>
          <w:lang w:val="it-IT"/>
        </w:rPr>
        <w:t>previsto un</w:t>
      </w:r>
      <w:r w:rsidR="00CA3FE1" w:rsidRPr="000E6DD7">
        <w:rPr>
          <w:rFonts w:asciiTheme="majorHAnsi" w:hAnsiTheme="majorHAnsi" w:cs="Cambria"/>
          <w:b/>
          <w:szCs w:val="22"/>
          <w:lang w:val="it-IT"/>
        </w:rPr>
        <w:t xml:space="preserve"> andamento</w:t>
      </w:r>
      <w:r w:rsidR="00232220" w:rsidRPr="000E6DD7">
        <w:rPr>
          <w:rFonts w:asciiTheme="majorHAnsi" w:hAnsiTheme="majorHAnsi" w:cs="Cambria"/>
          <w:b/>
          <w:szCs w:val="22"/>
          <w:lang w:val="it-IT"/>
        </w:rPr>
        <w:t xml:space="preserve"> lento nella prima parte dell’anno e un</w:t>
      </w:r>
      <w:r w:rsidR="00080372" w:rsidRPr="000E6DD7">
        <w:rPr>
          <w:rFonts w:asciiTheme="majorHAnsi" w:hAnsiTheme="majorHAnsi" w:cs="Cambria"/>
          <w:b/>
          <w:szCs w:val="22"/>
          <w:lang w:val="it-IT"/>
        </w:rPr>
        <w:t>a successiva accelerazione</w:t>
      </w:r>
    </w:p>
    <w:p w14:paraId="0B9BC788" w14:textId="7B8F8601" w:rsidR="00CB3734" w:rsidRPr="000E6DD7" w:rsidRDefault="00080372" w:rsidP="00080372">
      <w:pPr>
        <w:pStyle w:val="Paragrafoelenco"/>
        <w:numPr>
          <w:ilvl w:val="1"/>
          <w:numId w:val="7"/>
        </w:numPr>
        <w:spacing w:after="80"/>
        <w:ind w:right="-108"/>
        <w:contextualSpacing w:val="0"/>
        <w:jc w:val="left"/>
        <w:rPr>
          <w:rFonts w:asciiTheme="majorHAnsi" w:hAnsiTheme="majorHAnsi" w:cs="Cambria"/>
          <w:b/>
          <w:szCs w:val="22"/>
          <w:lang w:val="it-IT"/>
        </w:rPr>
      </w:pPr>
      <w:r w:rsidRPr="000E6DD7">
        <w:rPr>
          <w:rFonts w:asciiTheme="majorHAnsi" w:hAnsiTheme="majorHAnsi" w:cs="Cambria"/>
          <w:b/>
          <w:szCs w:val="22"/>
          <w:lang w:val="it-IT"/>
        </w:rPr>
        <w:t>fatturato organico</w:t>
      </w:r>
      <w:r w:rsidR="00CB3734" w:rsidRPr="000E6DD7">
        <w:rPr>
          <w:rFonts w:asciiTheme="majorHAnsi" w:hAnsiTheme="majorHAnsi" w:cs="Cambria"/>
          <w:b/>
          <w:szCs w:val="22"/>
          <w:lang w:val="it-IT"/>
        </w:rPr>
        <w:t xml:space="preserve">: </w:t>
      </w:r>
      <w:r w:rsidRPr="000E6DD7">
        <w:rPr>
          <w:rFonts w:asciiTheme="majorHAnsi" w:hAnsiTheme="majorHAnsi" w:cs="Cambria"/>
          <w:b/>
          <w:szCs w:val="22"/>
          <w:lang w:val="it-IT"/>
        </w:rPr>
        <w:t xml:space="preserve">crescita tra </w:t>
      </w:r>
      <w:r w:rsidR="00CB3734" w:rsidRPr="000E6DD7">
        <w:rPr>
          <w:rFonts w:asciiTheme="majorHAnsi" w:hAnsiTheme="majorHAnsi" w:cs="Cambria"/>
          <w:b/>
          <w:szCs w:val="22"/>
          <w:lang w:val="it-IT"/>
        </w:rPr>
        <w:t>1</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5 </w:t>
      </w:r>
      <w:r w:rsidRPr="000E6DD7">
        <w:rPr>
          <w:rFonts w:asciiTheme="majorHAnsi" w:hAnsiTheme="majorHAnsi" w:cs="Cambria"/>
          <w:b/>
          <w:szCs w:val="22"/>
          <w:lang w:val="it-IT"/>
        </w:rPr>
        <w:t>e</w:t>
      </w:r>
      <w:r w:rsidR="00CB3734" w:rsidRPr="000E6DD7">
        <w:rPr>
          <w:rFonts w:asciiTheme="majorHAnsi" w:hAnsiTheme="majorHAnsi" w:cs="Cambria"/>
          <w:b/>
          <w:szCs w:val="22"/>
          <w:lang w:val="it-IT"/>
        </w:rPr>
        <w:t xml:space="preserve"> 3</w:t>
      </w:r>
      <w:r w:rsidRPr="000E6DD7">
        <w:rPr>
          <w:rFonts w:asciiTheme="majorHAnsi" w:hAnsiTheme="majorHAnsi" w:cs="Cambria"/>
          <w:b/>
          <w:szCs w:val="22"/>
          <w:lang w:val="it-IT"/>
        </w:rPr>
        <w:t>,</w:t>
      </w:r>
      <w:r w:rsidR="00CB3734" w:rsidRPr="000E6DD7">
        <w:rPr>
          <w:rFonts w:asciiTheme="majorHAnsi" w:hAnsiTheme="majorHAnsi" w:cs="Cambria"/>
          <w:b/>
          <w:szCs w:val="22"/>
          <w:lang w:val="it-IT"/>
        </w:rPr>
        <w:t>5</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p>
    <w:p w14:paraId="72425504" w14:textId="1F5B816D" w:rsidR="00CB3734" w:rsidRPr="000E6DD7" w:rsidRDefault="00080372" w:rsidP="00080372">
      <w:pPr>
        <w:pStyle w:val="Paragrafoelenco"/>
        <w:numPr>
          <w:ilvl w:val="1"/>
          <w:numId w:val="7"/>
        </w:numPr>
        <w:spacing w:after="80"/>
        <w:ind w:right="-108"/>
        <w:contextualSpacing w:val="0"/>
        <w:jc w:val="left"/>
        <w:rPr>
          <w:rFonts w:asciiTheme="majorHAnsi" w:hAnsiTheme="majorHAnsi" w:cs="Cambria"/>
          <w:b/>
          <w:szCs w:val="22"/>
          <w:lang w:val="it-IT"/>
        </w:rPr>
      </w:pPr>
      <w:r w:rsidRPr="000E6DD7">
        <w:rPr>
          <w:rFonts w:asciiTheme="majorHAnsi" w:hAnsiTheme="majorHAnsi" w:cs="Cambria"/>
          <w:b/>
          <w:szCs w:val="22"/>
          <w:lang w:val="it-IT"/>
        </w:rPr>
        <w:t xml:space="preserve">margine </w:t>
      </w:r>
      <w:r w:rsidR="00CB3734" w:rsidRPr="000E6DD7">
        <w:rPr>
          <w:rFonts w:asciiTheme="majorHAnsi" w:hAnsiTheme="majorHAnsi" w:cs="Cambria"/>
          <w:b/>
          <w:szCs w:val="22"/>
          <w:lang w:val="it-IT"/>
        </w:rPr>
        <w:t xml:space="preserve">EBIT*: </w:t>
      </w:r>
      <w:r w:rsidRPr="000E6DD7">
        <w:rPr>
          <w:rFonts w:asciiTheme="majorHAnsi" w:hAnsiTheme="majorHAnsi" w:cs="Cambria"/>
          <w:b/>
          <w:szCs w:val="22"/>
          <w:lang w:val="it-IT"/>
        </w:rPr>
        <w:t xml:space="preserve">tra </w:t>
      </w:r>
      <w:r w:rsidR="00CB3734" w:rsidRPr="000E6DD7">
        <w:rPr>
          <w:rFonts w:asciiTheme="majorHAnsi" w:hAnsiTheme="majorHAnsi" w:cs="Cambria"/>
          <w:b/>
          <w:szCs w:val="22"/>
          <w:lang w:val="it-IT"/>
        </w:rPr>
        <w:t>14</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0 </w:t>
      </w:r>
      <w:r w:rsidRPr="000E6DD7">
        <w:rPr>
          <w:rFonts w:asciiTheme="majorHAnsi" w:hAnsiTheme="majorHAnsi" w:cs="Cambria"/>
          <w:b/>
          <w:szCs w:val="22"/>
          <w:lang w:val="it-IT"/>
        </w:rPr>
        <w:t>e</w:t>
      </w:r>
      <w:r w:rsidR="00CB3734" w:rsidRPr="000E6DD7">
        <w:rPr>
          <w:rFonts w:asciiTheme="majorHAnsi" w:hAnsiTheme="majorHAnsi" w:cs="Cambria"/>
          <w:b/>
          <w:szCs w:val="22"/>
          <w:lang w:val="it-IT"/>
        </w:rPr>
        <w:t xml:space="preserve"> 15</w:t>
      </w:r>
      <w:r w:rsidRPr="000E6DD7">
        <w:rPr>
          <w:rFonts w:asciiTheme="majorHAnsi" w:hAnsiTheme="majorHAnsi" w:cs="Cambria"/>
          <w:b/>
          <w:szCs w:val="22"/>
          <w:lang w:val="it-IT"/>
        </w:rPr>
        <w:t>,</w:t>
      </w:r>
      <w:r w:rsidR="00CB3734" w:rsidRPr="000E6DD7">
        <w:rPr>
          <w:rFonts w:asciiTheme="majorHAnsi" w:hAnsiTheme="majorHAnsi" w:cs="Cambria"/>
          <w:b/>
          <w:szCs w:val="22"/>
          <w:lang w:val="it-IT"/>
        </w:rPr>
        <w:t>5</w:t>
      </w:r>
      <w:r w:rsidRPr="000E6DD7">
        <w:rPr>
          <w:rFonts w:asciiTheme="majorHAnsi" w:hAnsiTheme="majorHAnsi" w:cs="Cambria"/>
          <w:b/>
          <w:szCs w:val="22"/>
          <w:lang w:val="it-IT"/>
        </w:rPr>
        <w:t>%</w:t>
      </w:r>
      <w:r w:rsidR="00CB3734" w:rsidRPr="000E6DD7">
        <w:rPr>
          <w:rFonts w:asciiTheme="majorHAnsi" w:hAnsiTheme="majorHAnsi" w:cs="Cambria"/>
          <w:b/>
          <w:szCs w:val="22"/>
          <w:lang w:val="it-IT"/>
        </w:rPr>
        <w:t xml:space="preserve"> </w:t>
      </w:r>
    </w:p>
    <w:p w14:paraId="4FE432C5" w14:textId="66F95B24" w:rsidR="00BB4824" w:rsidRPr="000E6DD7" w:rsidRDefault="00AC3164" w:rsidP="00BB4824">
      <w:pPr>
        <w:pStyle w:val="Paragrafoelenco"/>
        <w:numPr>
          <w:ilvl w:val="1"/>
          <w:numId w:val="7"/>
        </w:numPr>
        <w:rPr>
          <w:rFonts w:asciiTheme="majorHAnsi" w:hAnsiTheme="majorHAnsi" w:cs="Cambria"/>
          <w:b/>
          <w:szCs w:val="22"/>
          <w:lang w:val="it-IT"/>
        </w:rPr>
      </w:pPr>
      <w:r w:rsidRPr="000E6DD7">
        <w:rPr>
          <w:b/>
          <w:bCs/>
          <w:lang w:val="it-IT"/>
        </w:rPr>
        <w:lastRenderedPageBreak/>
        <w:t xml:space="preserve">utile per azione privilegiata </w:t>
      </w:r>
      <w:r w:rsidRPr="000E6DD7">
        <w:rPr>
          <w:rFonts w:asciiTheme="majorHAnsi" w:hAnsiTheme="majorHAnsi" w:cs="Cambria"/>
          <w:b/>
          <w:szCs w:val="22"/>
          <w:lang w:val="it-IT"/>
        </w:rPr>
        <w:t>(EPS)</w:t>
      </w:r>
      <w:r w:rsidR="00CB3734" w:rsidRPr="000E6DD7">
        <w:rPr>
          <w:rFonts w:asciiTheme="majorHAnsi" w:hAnsiTheme="majorHAnsi" w:cs="Cambria"/>
          <w:b/>
          <w:szCs w:val="22"/>
          <w:lang w:val="it-IT"/>
        </w:rPr>
        <w:t xml:space="preserve">*: </w:t>
      </w:r>
      <w:r w:rsidR="00942099" w:rsidRPr="000E6DD7">
        <w:rPr>
          <w:rFonts w:asciiTheme="majorHAnsi" w:hAnsiTheme="majorHAnsi" w:cs="Cambria"/>
          <w:b/>
          <w:szCs w:val="22"/>
          <w:lang w:val="it-IT"/>
        </w:rPr>
        <w:t xml:space="preserve">incremento nella fascia tra </w:t>
      </w:r>
      <w:r w:rsidR="00BB4824" w:rsidRPr="000E6DD7">
        <w:rPr>
          <w:rFonts w:asciiTheme="majorHAnsi" w:hAnsiTheme="majorHAnsi" w:cs="Cambria"/>
          <w:b/>
          <w:szCs w:val="22"/>
          <w:lang w:val="it-IT"/>
        </w:rPr>
        <w:t xml:space="preserve">bassa </w:t>
      </w:r>
      <w:r w:rsidR="00633DD3" w:rsidRPr="000E6DD7">
        <w:rPr>
          <w:rFonts w:asciiTheme="majorHAnsi" w:hAnsiTheme="majorHAnsi" w:cs="Cambria"/>
          <w:b/>
          <w:szCs w:val="22"/>
          <w:lang w:val="it-IT"/>
        </w:rPr>
        <w:t>e alta</w:t>
      </w:r>
      <w:r w:rsidR="00BB4824" w:rsidRPr="000E6DD7">
        <w:rPr>
          <w:rFonts w:asciiTheme="majorHAnsi" w:hAnsiTheme="majorHAnsi" w:cs="Cambria"/>
          <w:b/>
          <w:szCs w:val="22"/>
          <w:lang w:val="it-IT"/>
        </w:rPr>
        <w:t xml:space="preserve"> delle percentuali a una cifra</w:t>
      </w:r>
      <w:r w:rsidR="00633DD3" w:rsidRPr="000E6DD7">
        <w:rPr>
          <w:rFonts w:asciiTheme="majorHAnsi" w:hAnsiTheme="majorHAnsi" w:cs="Cambria"/>
          <w:b/>
          <w:szCs w:val="22"/>
          <w:lang w:val="it-IT"/>
        </w:rPr>
        <w:t xml:space="preserve"> (a tassi costanti di cambio)</w:t>
      </w:r>
      <w:r w:rsidR="00BB4824" w:rsidRPr="000E6DD7">
        <w:rPr>
          <w:rFonts w:asciiTheme="majorHAnsi" w:hAnsiTheme="majorHAnsi" w:cs="Cambria"/>
          <w:b/>
          <w:szCs w:val="22"/>
          <w:lang w:val="it-IT"/>
        </w:rPr>
        <w:t xml:space="preserve"> </w:t>
      </w:r>
    </w:p>
    <w:bookmarkEnd w:id="0"/>
    <w:p w14:paraId="3937FD21" w14:textId="77777777" w:rsidR="005948C2" w:rsidRPr="000E6DD7" w:rsidRDefault="005948C2" w:rsidP="00C80467">
      <w:pPr>
        <w:rPr>
          <w:sz w:val="16"/>
          <w:szCs w:val="16"/>
          <w:lang w:val="it-IT"/>
        </w:rPr>
      </w:pPr>
    </w:p>
    <w:p w14:paraId="6DD136D9" w14:textId="10F59A95" w:rsidR="00607DCD" w:rsidRPr="000E6DD7" w:rsidRDefault="002A3F36" w:rsidP="00C80467">
      <w:pPr>
        <w:rPr>
          <w:lang w:val="it-IT"/>
        </w:rPr>
      </w:pPr>
      <w:r w:rsidRPr="000E6DD7">
        <w:rPr>
          <w:sz w:val="16"/>
          <w:szCs w:val="16"/>
          <w:lang w:val="it-IT"/>
        </w:rPr>
        <w:t xml:space="preserve">* </w:t>
      </w:r>
      <w:r w:rsidR="005948C2" w:rsidRPr="000E6DD7">
        <w:rPr>
          <w:sz w:val="20"/>
          <w:szCs w:val="20"/>
          <w:lang w:val="it-IT"/>
        </w:rPr>
        <w:t>Depurato da ricavi e costi straordinari, e oneri di ristrutturazione</w:t>
      </w:r>
    </w:p>
    <w:p w14:paraId="2FCDF79D" w14:textId="77777777" w:rsidR="00607DCD" w:rsidRPr="000E6DD7" w:rsidRDefault="00607DCD" w:rsidP="00C80467">
      <w:pPr>
        <w:rPr>
          <w:lang w:val="it-IT"/>
        </w:rPr>
      </w:pPr>
    </w:p>
    <w:p w14:paraId="6985AEA8" w14:textId="7D815B49" w:rsidR="003136E6" w:rsidRPr="000E6DD7" w:rsidRDefault="000E5054" w:rsidP="001B7352">
      <w:pPr>
        <w:rPr>
          <w:rFonts w:cs="Segoe UI"/>
          <w:szCs w:val="22"/>
          <w:lang w:val="it-IT"/>
        </w:rPr>
      </w:pPr>
      <w:r w:rsidRPr="000E6DD7">
        <w:rPr>
          <w:rFonts w:cs="Segoe UI"/>
          <w:szCs w:val="22"/>
          <w:lang w:val="it-IT"/>
        </w:rPr>
        <w:br/>
      </w:r>
      <w:r w:rsidR="00C80467" w:rsidRPr="000E6DD7">
        <w:rPr>
          <w:rFonts w:cs="Segoe UI"/>
          <w:szCs w:val="22"/>
          <w:lang w:val="it-IT"/>
        </w:rPr>
        <w:t>Düsseldorf –</w:t>
      </w:r>
      <w:r w:rsidR="00167286" w:rsidRPr="000E6DD7">
        <w:rPr>
          <w:rFonts w:cs="Segoe UI"/>
          <w:szCs w:val="22"/>
          <w:lang w:val="it-IT"/>
        </w:rPr>
        <w:t xml:space="preserve"> </w:t>
      </w:r>
      <w:r w:rsidR="001B7352" w:rsidRPr="000E6DD7">
        <w:rPr>
          <w:rFonts w:cs="Segoe UI"/>
          <w:szCs w:val="22"/>
          <w:lang w:val="it-IT"/>
        </w:rPr>
        <w:t xml:space="preserve">“Il 2024 è stato </w:t>
      </w:r>
      <w:r w:rsidR="00FD4554" w:rsidRPr="000E6DD7">
        <w:rPr>
          <w:rFonts w:cs="Segoe UI"/>
          <w:szCs w:val="22"/>
          <w:lang w:val="it-IT"/>
        </w:rPr>
        <w:t>caratterizzato ancora una volta da grandi sfide e molta incerte</w:t>
      </w:r>
      <w:r w:rsidR="00EF6A69" w:rsidRPr="000E6DD7">
        <w:rPr>
          <w:rFonts w:cs="Segoe UI"/>
          <w:szCs w:val="22"/>
          <w:lang w:val="it-IT"/>
        </w:rPr>
        <w:t xml:space="preserve">zza nello scenario macroeconomico. Nonostante questo, </w:t>
      </w:r>
      <w:r w:rsidR="00447DA3" w:rsidRPr="000E6DD7">
        <w:rPr>
          <w:rFonts w:cs="Segoe UI"/>
          <w:szCs w:val="22"/>
          <w:lang w:val="it-IT"/>
        </w:rPr>
        <w:t>siamo</w:t>
      </w:r>
      <w:r w:rsidR="00EF6A69" w:rsidRPr="000E6DD7">
        <w:rPr>
          <w:rFonts w:cs="Segoe UI"/>
          <w:szCs w:val="22"/>
          <w:lang w:val="it-IT"/>
        </w:rPr>
        <w:t xml:space="preserve"> riuscit</w:t>
      </w:r>
      <w:r w:rsidR="00447DA3" w:rsidRPr="000E6DD7">
        <w:rPr>
          <w:rFonts w:cs="Segoe UI"/>
          <w:szCs w:val="22"/>
          <w:lang w:val="it-IT"/>
        </w:rPr>
        <w:t>i</w:t>
      </w:r>
      <w:r w:rsidR="00EF6A69" w:rsidRPr="000E6DD7">
        <w:rPr>
          <w:rFonts w:cs="Segoe UI"/>
          <w:szCs w:val="22"/>
          <w:lang w:val="it-IT"/>
        </w:rPr>
        <w:t xml:space="preserve"> a fare </w:t>
      </w:r>
      <w:r w:rsidR="00531C3E" w:rsidRPr="000E6DD7">
        <w:rPr>
          <w:rFonts w:cs="Segoe UI"/>
          <w:szCs w:val="22"/>
          <w:lang w:val="it-IT"/>
        </w:rPr>
        <w:t>progressi consistenti rispetto all’anno precedente</w:t>
      </w:r>
      <w:r w:rsidR="00447DA3" w:rsidRPr="000E6DD7">
        <w:rPr>
          <w:rFonts w:cs="Segoe UI"/>
          <w:szCs w:val="22"/>
          <w:lang w:val="it-IT"/>
        </w:rPr>
        <w:t>,</w:t>
      </w:r>
      <w:r w:rsidR="00531C3E" w:rsidRPr="000E6DD7">
        <w:rPr>
          <w:rFonts w:cs="Segoe UI"/>
          <w:szCs w:val="22"/>
          <w:lang w:val="it-IT"/>
        </w:rPr>
        <w:t xml:space="preserve"> </w:t>
      </w:r>
      <w:r w:rsidR="00447DA3" w:rsidRPr="000E6DD7">
        <w:rPr>
          <w:rFonts w:cs="Segoe UI"/>
          <w:szCs w:val="22"/>
          <w:lang w:val="it-IT"/>
        </w:rPr>
        <w:t>abbiamo</w:t>
      </w:r>
      <w:r w:rsidR="00531C3E" w:rsidRPr="000E6DD7">
        <w:rPr>
          <w:rFonts w:cs="Segoe UI"/>
          <w:szCs w:val="22"/>
          <w:lang w:val="it-IT"/>
        </w:rPr>
        <w:t xml:space="preserve"> raggiunto e persino superato alcuni traguardi importanti. I </w:t>
      </w:r>
      <w:r w:rsidR="00623750" w:rsidRPr="000E6DD7">
        <w:rPr>
          <w:rFonts w:cs="Segoe UI"/>
          <w:szCs w:val="22"/>
          <w:lang w:val="it-IT"/>
        </w:rPr>
        <w:t xml:space="preserve">solidi </w:t>
      </w:r>
      <w:r w:rsidR="00531C3E" w:rsidRPr="000E6DD7">
        <w:rPr>
          <w:rFonts w:cs="Segoe UI"/>
          <w:szCs w:val="22"/>
          <w:lang w:val="it-IT"/>
        </w:rPr>
        <w:t xml:space="preserve">risultati </w:t>
      </w:r>
      <w:r w:rsidR="00FF6756" w:rsidRPr="000E6DD7">
        <w:rPr>
          <w:rFonts w:cs="Segoe UI"/>
          <w:szCs w:val="22"/>
          <w:lang w:val="it-IT"/>
        </w:rPr>
        <w:t>ottenut</w:t>
      </w:r>
      <w:r w:rsidR="00BE1E56">
        <w:rPr>
          <w:rFonts w:cs="Segoe UI"/>
          <w:szCs w:val="22"/>
          <w:lang w:val="it-IT"/>
        </w:rPr>
        <w:t>i</w:t>
      </w:r>
      <w:r w:rsidR="00FF6756" w:rsidRPr="000E6DD7">
        <w:rPr>
          <w:rFonts w:cs="Segoe UI"/>
          <w:szCs w:val="22"/>
          <w:lang w:val="it-IT"/>
        </w:rPr>
        <w:t xml:space="preserve"> nel corso </w:t>
      </w:r>
      <w:r w:rsidR="00531C3E" w:rsidRPr="000E6DD7">
        <w:rPr>
          <w:rFonts w:cs="Segoe UI"/>
          <w:szCs w:val="22"/>
          <w:lang w:val="it-IT"/>
        </w:rPr>
        <w:t xml:space="preserve">del 2024 dimostrano </w:t>
      </w:r>
      <w:r w:rsidR="003136E6" w:rsidRPr="000E6DD7">
        <w:rPr>
          <w:rFonts w:cs="Segoe UI"/>
          <w:szCs w:val="22"/>
          <w:lang w:val="it-IT"/>
        </w:rPr>
        <w:t>la capacità di perseguire con successo la nostra agenda strategica di crescita</w:t>
      </w:r>
      <w:r w:rsidR="001B7352" w:rsidRPr="000E6DD7">
        <w:rPr>
          <w:rFonts w:cs="Segoe UI"/>
          <w:szCs w:val="22"/>
          <w:lang w:val="it-IT"/>
        </w:rPr>
        <w:t>”</w:t>
      </w:r>
      <w:r w:rsidR="003136E6" w:rsidRPr="000E6DD7">
        <w:rPr>
          <w:rFonts w:cs="Segoe UI"/>
          <w:szCs w:val="22"/>
          <w:lang w:val="it-IT"/>
        </w:rPr>
        <w:t>,</w:t>
      </w:r>
      <w:r w:rsidR="001B7352" w:rsidRPr="000E6DD7">
        <w:rPr>
          <w:rFonts w:cs="Segoe UI"/>
          <w:szCs w:val="22"/>
          <w:lang w:val="it-IT"/>
        </w:rPr>
        <w:t xml:space="preserve"> </w:t>
      </w:r>
      <w:r w:rsidR="003136E6" w:rsidRPr="000E6DD7">
        <w:rPr>
          <w:rFonts w:cs="Segoe UI"/>
          <w:szCs w:val="22"/>
          <w:lang w:val="it-IT"/>
        </w:rPr>
        <w:t>ha detto il CEO di</w:t>
      </w:r>
      <w:r w:rsidR="001B7352" w:rsidRPr="000E6DD7">
        <w:rPr>
          <w:rFonts w:cs="Segoe UI"/>
          <w:szCs w:val="22"/>
          <w:lang w:val="it-IT"/>
        </w:rPr>
        <w:t xml:space="preserve"> Henkel</w:t>
      </w:r>
      <w:r w:rsidR="003136E6" w:rsidRPr="000E6DD7">
        <w:rPr>
          <w:rFonts w:cs="Segoe UI"/>
          <w:szCs w:val="22"/>
          <w:lang w:val="it-IT"/>
        </w:rPr>
        <w:t>,</w:t>
      </w:r>
      <w:r w:rsidR="001B7352" w:rsidRPr="000E6DD7">
        <w:rPr>
          <w:rFonts w:cs="Segoe UI"/>
          <w:szCs w:val="22"/>
          <w:lang w:val="it-IT"/>
        </w:rPr>
        <w:t xml:space="preserve"> Carsten Knobel. </w:t>
      </w:r>
      <w:r w:rsidR="003136E6" w:rsidRPr="000E6DD7">
        <w:rPr>
          <w:rFonts w:cs="Segoe UI"/>
          <w:szCs w:val="22"/>
          <w:lang w:val="it-IT"/>
        </w:rPr>
        <w:t>“Nel 2024</w:t>
      </w:r>
      <w:r w:rsidR="000D485D" w:rsidRPr="000E6DD7">
        <w:rPr>
          <w:rFonts w:cs="Segoe UI"/>
          <w:szCs w:val="22"/>
          <w:lang w:val="it-IT"/>
        </w:rPr>
        <w:t xml:space="preserve"> </w:t>
      </w:r>
      <w:r w:rsidR="00682A94" w:rsidRPr="000E6DD7">
        <w:rPr>
          <w:rFonts w:cs="Segoe UI"/>
          <w:szCs w:val="22"/>
          <w:lang w:val="it-IT"/>
        </w:rPr>
        <w:t>è cresciuto il</w:t>
      </w:r>
      <w:r w:rsidR="000D485D" w:rsidRPr="000E6DD7">
        <w:rPr>
          <w:rFonts w:cs="Segoe UI"/>
          <w:szCs w:val="22"/>
          <w:lang w:val="it-IT"/>
        </w:rPr>
        <w:t xml:space="preserve"> fatturato organico</w:t>
      </w:r>
      <w:r w:rsidR="00682A94" w:rsidRPr="000E6DD7">
        <w:rPr>
          <w:rFonts w:cs="Segoe UI"/>
          <w:szCs w:val="22"/>
          <w:lang w:val="it-IT"/>
        </w:rPr>
        <w:t>,</w:t>
      </w:r>
      <w:r w:rsidR="000D485D" w:rsidRPr="000E6DD7">
        <w:rPr>
          <w:rFonts w:cs="Segoe UI"/>
          <w:szCs w:val="22"/>
          <w:lang w:val="it-IT"/>
        </w:rPr>
        <w:t xml:space="preserve"> </w:t>
      </w:r>
      <w:r w:rsidR="00682A94" w:rsidRPr="000E6DD7">
        <w:rPr>
          <w:rFonts w:cs="Segoe UI"/>
          <w:szCs w:val="22"/>
          <w:lang w:val="it-IT"/>
        </w:rPr>
        <w:t xml:space="preserve">abbiamo </w:t>
      </w:r>
      <w:r w:rsidR="000D485D" w:rsidRPr="000E6DD7">
        <w:rPr>
          <w:rFonts w:cs="Segoe UI"/>
          <w:szCs w:val="22"/>
          <w:lang w:val="it-IT"/>
        </w:rPr>
        <w:t xml:space="preserve">migliorato significativamente la </w:t>
      </w:r>
      <w:r w:rsidR="00F56E9C" w:rsidRPr="000E6DD7">
        <w:rPr>
          <w:rFonts w:cs="Segoe UI"/>
          <w:szCs w:val="22"/>
          <w:lang w:val="it-IT"/>
        </w:rPr>
        <w:t xml:space="preserve">profittabilità con un </w:t>
      </w:r>
      <w:r w:rsidR="002C0ABC" w:rsidRPr="000E6DD7">
        <w:rPr>
          <w:rFonts w:cs="Segoe UI"/>
          <w:szCs w:val="22"/>
          <w:lang w:val="it-IT"/>
        </w:rPr>
        <w:t>incremento</w:t>
      </w:r>
      <w:r w:rsidR="00F56E9C" w:rsidRPr="000E6DD7">
        <w:rPr>
          <w:rFonts w:cs="Segoe UI"/>
          <w:szCs w:val="22"/>
          <w:lang w:val="it-IT"/>
        </w:rPr>
        <w:t xml:space="preserve"> dei margini di 2,4 punti percentuali</w:t>
      </w:r>
      <w:r w:rsidR="00682A94" w:rsidRPr="000E6DD7">
        <w:rPr>
          <w:rFonts w:cs="Segoe UI"/>
          <w:szCs w:val="22"/>
          <w:lang w:val="it-IT"/>
        </w:rPr>
        <w:t xml:space="preserve">, sostenuto dall’eccellente sviluppo dei margini lordi, </w:t>
      </w:r>
      <w:r w:rsidR="002C0ABC" w:rsidRPr="000E6DD7">
        <w:rPr>
          <w:rFonts w:cs="Segoe UI"/>
          <w:szCs w:val="22"/>
          <w:lang w:val="it-IT"/>
        </w:rPr>
        <w:t xml:space="preserve">e aumentato del 25% gli utili per azione privilegiata. </w:t>
      </w:r>
      <w:r w:rsidR="001A14DA" w:rsidRPr="000E6DD7">
        <w:rPr>
          <w:rFonts w:cs="Segoe UI"/>
          <w:szCs w:val="22"/>
          <w:lang w:val="it-IT"/>
        </w:rPr>
        <w:t xml:space="preserve">Per raggiungere questi risultati è stato fondamentale accrescere il valore dei nostri prodotti per i clienti e i consumatori. </w:t>
      </w:r>
      <w:r w:rsidR="000664A8" w:rsidRPr="000E6DD7">
        <w:rPr>
          <w:rFonts w:cs="Segoe UI"/>
          <w:szCs w:val="22"/>
          <w:lang w:val="it-IT"/>
        </w:rPr>
        <w:t xml:space="preserve">Le sinergie create </w:t>
      </w:r>
      <w:r w:rsidR="00F747FB" w:rsidRPr="000E6DD7">
        <w:rPr>
          <w:rFonts w:cs="Segoe UI"/>
          <w:szCs w:val="22"/>
          <w:lang w:val="it-IT"/>
        </w:rPr>
        <w:t>dal</w:t>
      </w:r>
      <w:r w:rsidR="000664A8" w:rsidRPr="000E6DD7">
        <w:rPr>
          <w:rFonts w:cs="Segoe UI"/>
          <w:szCs w:val="22"/>
          <w:lang w:val="it-IT"/>
        </w:rPr>
        <w:t>l’integrazione di Consumer Brands, insieme alle misure già annunciate di ottimizzazione del portafoglio, hanno ulteriormente contribuito</w:t>
      </w:r>
      <w:r w:rsidR="007B35D0" w:rsidRPr="000E6DD7">
        <w:rPr>
          <w:rFonts w:cs="Segoe UI"/>
          <w:szCs w:val="22"/>
          <w:lang w:val="it-IT"/>
        </w:rPr>
        <w:t>”.</w:t>
      </w:r>
    </w:p>
    <w:p w14:paraId="556F15B2" w14:textId="77777777" w:rsidR="001B7352" w:rsidRPr="000E6DD7" w:rsidRDefault="001B7352" w:rsidP="001B7352">
      <w:pPr>
        <w:rPr>
          <w:rFonts w:cs="Segoe UI"/>
          <w:szCs w:val="22"/>
          <w:lang w:val="it-IT"/>
        </w:rPr>
      </w:pPr>
    </w:p>
    <w:p w14:paraId="21A02B7A" w14:textId="3CC05202" w:rsidR="001B7352" w:rsidRPr="000E6DD7" w:rsidRDefault="001B7352" w:rsidP="001B7352">
      <w:pPr>
        <w:rPr>
          <w:rFonts w:cs="Segoe UI"/>
          <w:szCs w:val="22"/>
          <w:lang w:val="it-IT"/>
        </w:rPr>
      </w:pPr>
      <w:r w:rsidRPr="000E6DD7">
        <w:rPr>
          <w:rFonts w:cs="Segoe UI"/>
          <w:szCs w:val="22"/>
          <w:lang w:val="it-IT"/>
        </w:rPr>
        <w:t>“</w:t>
      </w:r>
      <w:r w:rsidR="007B35D0" w:rsidRPr="000E6DD7">
        <w:rPr>
          <w:rFonts w:cs="Segoe UI"/>
          <w:szCs w:val="22"/>
          <w:lang w:val="it-IT"/>
        </w:rPr>
        <w:t>Abbiamo mantenuto una forte focalizzazione</w:t>
      </w:r>
      <w:r w:rsidR="0026571E" w:rsidRPr="000E6DD7">
        <w:rPr>
          <w:rFonts w:cs="Segoe UI"/>
          <w:szCs w:val="22"/>
          <w:lang w:val="it-IT"/>
        </w:rPr>
        <w:t xml:space="preserve"> sul nostro business e </w:t>
      </w:r>
      <w:r w:rsidR="00422D38" w:rsidRPr="000E6DD7">
        <w:rPr>
          <w:rFonts w:cs="Segoe UI"/>
          <w:szCs w:val="22"/>
          <w:lang w:val="it-IT"/>
        </w:rPr>
        <w:t>sul</w:t>
      </w:r>
      <w:r w:rsidR="0026571E" w:rsidRPr="000E6DD7">
        <w:rPr>
          <w:rFonts w:cs="Segoe UI"/>
          <w:szCs w:val="22"/>
          <w:lang w:val="it-IT"/>
        </w:rPr>
        <w:t xml:space="preserve">la crescita, </w:t>
      </w:r>
      <w:r w:rsidR="007A01D8" w:rsidRPr="000E6DD7">
        <w:rPr>
          <w:rFonts w:cs="Segoe UI"/>
          <w:szCs w:val="22"/>
          <w:lang w:val="it-IT"/>
        </w:rPr>
        <w:t xml:space="preserve">investendo </w:t>
      </w:r>
      <w:r w:rsidR="0026571E" w:rsidRPr="000E6DD7">
        <w:rPr>
          <w:rFonts w:cs="Segoe UI"/>
          <w:szCs w:val="22"/>
          <w:lang w:val="it-IT"/>
        </w:rPr>
        <w:t xml:space="preserve">ad esempio in attività di marketing </w:t>
      </w:r>
      <w:r w:rsidR="00AE76D2" w:rsidRPr="000E6DD7">
        <w:rPr>
          <w:rFonts w:cs="Segoe UI"/>
          <w:szCs w:val="22"/>
          <w:lang w:val="it-IT"/>
        </w:rPr>
        <w:t xml:space="preserve">rivolte al mercato consumer e </w:t>
      </w:r>
      <w:r w:rsidR="00422D38" w:rsidRPr="000E6DD7">
        <w:rPr>
          <w:rFonts w:cs="Segoe UI"/>
          <w:szCs w:val="22"/>
          <w:lang w:val="it-IT"/>
        </w:rPr>
        <w:t xml:space="preserve">accelerando </w:t>
      </w:r>
      <w:r w:rsidR="00AE76D2" w:rsidRPr="000E6DD7">
        <w:rPr>
          <w:rFonts w:cs="Segoe UI"/>
          <w:szCs w:val="22"/>
          <w:lang w:val="it-IT"/>
        </w:rPr>
        <w:t xml:space="preserve">l’innovazione </w:t>
      </w:r>
      <w:r w:rsidR="003E69D8" w:rsidRPr="000E6DD7">
        <w:rPr>
          <w:rFonts w:cs="Segoe UI"/>
          <w:szCs w:val="22"/>
          <w:lang w:val="it-IT"/>
        </w:rPr>
        <w:t xml:space="preserve">in entrambe le divisioni. Vogliamo che i nostri azionisti partecipino </w:t>
      </w:r>
      <w:r w:rsidR="00026187" w:rsidRPr="000E6DD7">
        <w:rPr>
          <w:rFonts w:cs="Segoe UI"/>
          <w:szCs w:val="22"/>
          <w:lang w:val="it-IT"/>
        </w:rPr>
        <w:t>al successo</w:t>
      </w:r>
      <w:r w:rsidR="003E69D8" w:rsidRPr="000E6DD7">
        <w:rPr>
          <w:rFonts w:cs="Segoe UI"/>
          <w:szCs w:val="22"/>
          <w:lang w:val="it-IT"/>
        </w:rPr>
        <w:t xml:space="preserve"> dell’azienda ed è per questo che</w:t>
      </w:r>
      <w:r w:rsidR="00026187" w:rsidRPr="000E6DD7">
        <w:rPr>
          <w:rFonts w:cs="Segoe UI"/>
          <w:szCs w:val="22"/>
          <w:lang w:val="it-IT"/>
        </w:rPr>
        <w:t xml:space="preserve">, al prossimo Annual General Meeting, </w:t>
      </w:r>
      <w:r w:rsidR="003E69D8" w:rsidRPr="000E6DD7">
        <w:rPr>
          <w:rFonts w:cs="Segoe UI"/>
          <w:szCs w:val="22"/>
          <w:lang w:val="it-IT"/>
        </w:rPr>
        <w:t xml:space="preserve">proporremo </w:t>
      </w:r>
      <w:r w:rsidR="00026187" w:rsidRPr="000E6DD7">
        <w:rPr>
          <w:rFonts w:cs="Segoe UI"/>
          <w:szCs w:val="22"/>
          <w:lang w:val="it-IT"/>
        </w:rPr>
        <w:t>l’</w:t>
      </w:r>
      <w:r w:rsidR="003E69D8" w:rsidRPr="000E6DD7">
        <w:rPr>
          <w:rFonts w:asciiTheme="majorHAnsi" w:hAnsiTheme="majorHAnsi" w:cs="Cambria"/>
          <w:bCs/>
          <w:szCs w:val="22"/>
          <w:lang w:val="it-IT"/>
        </w:rPr>
        <w:t>incremento</w:t>
      </w:r>
      <w:r w:rsidR="00026187" w:rsidRPr="000E6DD7">
        <w:rPr>
          <w:rFonts w:asciiTheme="majorHAnsi" w:hAnsiTheme="majorHAnsi" w:cs="Cambria"/>
          <w:bCs/>
          <w:szCs w:val="22"/>
          <w:lang w:val="it-IT"/>
        </w:rPr>
        <w:t xml:space="preserve"> </w:t>
      </w:r>
      <w:r w:rsidR="00D7752D" w:rsidRPr="000E6DD7">
        <w:rPr>
          <w:rFonts w:asciiTheme="majorHAnsi" w:hAnsiTheme="majorHAnsi" w:cs="Cambria"/>
          <w:bCs/>
          <w:szCs w:val="22"/>
          <w:lang w:val="it-IT"/>
        </w:rPr>
        <w:t xml:space="preserve">a doppia cifra </w:t>
      </w:r>
      <w:r w:rsidR="00026187" w:rsidRPr="000E6DD7">
        <w:rPr>
          <w:rFonts w:asciiTheme="majorHAnsi" w:hAnsiTheme="majorHAnsi" w:cs="Cambria"/>
          <w:bCs/>
          <w:szCs w:val="22"/>
          <w:lang w:val="it-IT"/>
        </w:rPr>
        <w:t>dei dividendi</w:t>
      </w:r>
      <w:r w:rsidR="00D7752D" w:rsidRPr="000E6DD7">
        <w:rPr>
          <w:rFonts w:asciiTheme="majorHAnsi" w:hAnsiTheme="majorHAnsi" w:cs="Cambria"/>
          <w:bCs/>
          <w:szCs w:val="22"/>
          <w:lang w:val="it-IT"/>
        </w:rPr>
        <w:t>. Abbiamo inoltre deciso un piano di riacquisto delle azioni per un valore fino a 1 miliardo di euro”, ha aggiunto</w:t>
      </w:r>
      <w:r w:rsidRPr="000E6DD7">
        <w:rPr>
          <w:rFonts w:cs="Segoe UI"/>
          <w:szCs w:val="22"/>
          <w:lang w:val="it-IT"/>
        </w:rPr>
        <w:t xml:space="preserve"> Knobel.</w:t>
      </w:r>
    </w:p>
    <w:p w14:paraId="18B0AAAF" w14:textId="77777777" w:rsidR="001B7352" w:rsidRPr="000E6DD7" w:rsidRDefault="001B7352" w:rsidP="001B7352">
      <w:pPr>
        <w:rPr>
          <w:rFonts w:cs="Segoe UI"/>
          <w:szCs w:val="22"/>
          <w:lang w:val="it-IT"/>
        </w:rPr>
      </w:pPr>
    </w:p>
    <w:p w14:paraId="593CD326" w14:textId="404FBB94" w:rsidR="0002285D" w:rsidRPr="000E6DD7" w:rsidRDefault="001B7352" w:rsidP="0046312F">
      <w:pPr>
        <w:rPr>
          <w:rFonts w:cs="Segoe UI"/>
          <w:szCs w:val="22"/>
          <w:lang w:val="it-IT"/>
        </w:rPr>
      </w:pPr>
      <w:r w:rsidRPr="000E6DD7">
        <w:rPr>
          <w:rFonts w:cs="Segoe UI"/>
          <w:szCs w:val="22"/>
          <w:lang w:val="it-IT"/>
        </w:rPr>
        <w:t>“</w:t>
      </w:r>
      <w:r w:rsidR="00D475D2" w:rsidRPr="000E6DD7">
        <w:rPr>
          <w:rFonts w:cs="Segoe UI"/>
          <w:szCs w:val="22"/>
          <w:lang w:val="it-IT"/>
        </w:rPr>
        <w:t xml:space="preserve">I risultati 2024 mostrano </w:t>
      </w:r>
      <w:r w:rsidR="00732019" w:rsidRPr="000E6DD7">
        <w:rPr>
          <w:rFonts w:cs="Segoe UI"/>
          <w:szCs w:val="22"/>
          <w:lang w:val="it-IT"/>
        </w:rPr>
        <w:t>con chiarezza</w:t>
      </w:r>
      <w:r w:rsidR="00D475D2" w:rsidRPr="000E6DD7">
        <w:rPr>
          <w:rFonts w:cs="Segoe UI"/>
          <w:szCs w:val="22"/>
          <w:lang w:val="it-IT"/>
        </w:rPr>
        <w:t xml:space="preserve"> che la trasformazione di Henkel sta progredendo </w:t>
      </w:r>
      <w:r w:rsidR="00732019" w:rsidRPr="000E6DD7">
        <w:rPr>
          <w:rFonts w:cs="Segoe UI"/>
          <w:szCs w:val="22"/>
          <w:lang w:val="it-IT"/>
        </w:rPr>
        <w:t xml:space="preserve">in </w:t>
      </w:r>
      <w:r w:rsidR="005813D6" w:rsidRPr="000E6DD7">
        <w:rPr>
          <w:rFonts w:cs="Segoe UI"/>
          <w:szCs w:val="22"/>
          <w:lang w:val="it-IT"/>
        </w:rPr>
        <w:t xml:space="preserve">modo efficace e, grazie all’agenda strategica di crescita fondata sul nostro purpose, siamo sulla strada giusta per </w:t>
      </w:r>
      <w:r w:rsidR="00C27D80" w:rsidRPr="000E6DD7">
        <w:rPr>
          <w:rFonts w:cs="Segoe UI"/>
          <w:szCs w:val="22"/>
          <w:lang w:val="it-IT"/>
        </w:rPr>
        <w:t xml:space="preserve">costruire il futuro dell’azienda”, ha </w:t>
      </w:r>
      <w:r w:rsidR="00136BA1" w:rsidRPr="000E6DD7">
        <w:rPr>
          <w:rFonts w:cs="Segoe UI"/>
          <w:szCs w:val="22"/>
          <w:lang w:val="it-IT"/>
        </w:rPr>
        <w:t>concluso Carsten Knobel. “</w:t>
      </w:r>
      <w:r w:rsidR="00B642B9" w:rsidRPr="000E6DD7">
        <w:rPr>
          <w:rFonts w:cs="Segoe UI"/>
          <w:szCs w:val="22"/>
          <w:lang w:val="it-IT"/>
        </w:rPr>
        <w:t>Nel</w:t>
      </w:r>
      <w:r w:rsidR="00136BA1" w:rsidRPr="000E6DD7">
        <w:rPr>
          <w:rFonts w:cs="Segoe UI"/>
          <w:szCs w:val="22"/>
          <w:lang w:val="it-IT"/>
        </w:rPr>
        <w:t xml:space="preserve"> 2025</w:t>
      </w:r>
      <w:r w:rsidR="00B642B9" w:rsidRPr="000E6DD7">
        <w:rPr>
          <w:rFonts w:cs="Segoe UI"/>
          <w:szCs w:val="22"/>
          <w:lang w:val="it-IT"/>
        </w:rPr>
        <w:t xml:space="preserve"> </w:t>
      </w:r>
      <w:r w:rsidR="00256EC2" w:rsidRPr="000E6DD7">
        <w:rPr>
          <w:rFonts w:cs="Segoe UI"/>
          <w:szCs w:val="22"/>
          <w:lang w:val="it-IT"/>
        </w:rPr>
        <w:t>ci aspettiamo un ulteriore sviluppo del fatturato e della marginalità</w:t>
      </w:r>
      <w:r w:rsidR="00B642B9" w:rsidRPr="000E6DD7">
        <w:rPr>
          <w:rFonts w:cs="Segoe UI"/>
          <w:szCs w:val="22"/>
          <w:lang w:val="it-IT"/>
        </w:rPr>
        <w:t>,</w:t>
      </w:r>
      <w:r w:rsidR="00256EC2" w:rsidRPr="000E6DD7">
        <w:rPr>
          <w:rFonts w:cs="Segoe UI"/>
          <w:szCs w:val="22"/>
          <w:lang w:val="it-IT"/>
        </w:rPr>
        <w:t xml:space="preserve"> nonostante lo scenario intorno a noi resti altamente impegnativo. Voglio ringraziare tutte le persone Henkel per lo straordinario impegno</w:t>
      </w:r>
      <w:r w:rsidR="00E24921" w:rsidRPr="000E6DD7">
        <w:rPr>
          <w:rFonts w:cs="Segoe UI"/>
          <w:szCs w:val="22"/>
          <w:lang w:val="it-IT"/>
        </w:rPr>
        <w:t xml:space="preserve"> e</w:t>
      </w:r>
      <w:r w:rsidR="00F24931" w:rsidRPr="000E6DD7">
        <w:rPr>
          <w:rFonts w:cs="Segoe UI"/>
          <w:szCs w:val="22"/>
          <w:lang w:val="it-IT"/>
        </w:rPr>
        <w:t xml:space="preserve"> l</w:t>
      </w:r>
      <w:r w:rsidR="00E24921" w:rsidRPr="000E6DD7">
        <w:rPr>
          <w:rFonts w:cs="Segoe UI"/>
          <w:szCs w:val="22"/>
          <w:lang w:val="it-IT"/>
        </w:rPr>
        <w:t>’ottimo</w:t>
      </w:r>
      <w:r w:rsidR="00F24931" w:rsidRPr="000E6DD7">
        <w:rPr>
          <w:rFonts w:cs="Segoe UI"/>
          <w:szCs w:val="22"/>
          <w:lang w:val="it-IT"/>
        </w:rPr>
        <w:t xml:space="preserve"> spirito di squadr</w:t>
      </w:r>
      <w:r w:rsidR="00E24921" w:rsidRPr="000E6DD7">
        <w:rPr>
          <w:rFonts w:cs="Segoe UI"/>
          <w:szCs w:val="22"/>
          <w:lang w:val="it-IT"/>
        </w:rPr>
        <w:t>a che, ancora una volta, ci hanno permesso di crescere</w:t>
      </w:r>
      <w:r w:rsidR="0046312F" w:rsidRPr="000E6DD7">
        <w:rPr>
          <w:rFonts w:cs="Segoe UI"/>
          <w:szCs w:val="22"/>
          <w:lang w:val="it-IT"/>
        </w:rPr>
        <w:t xml:space="preserve"> in un anno davvero sfidante”.</w:t>
      </w:r>
    </w:p>
    <w:p w14:paraId="186885F8" w14:textId="77777777" w:rsidR="0002285D" w:rsidRPr="000E6DD7" w:rsidRDefault="0002285D" w:rsidP="00A352FB">
      <w:pPr>
        <w:rPr>
          <w:rFonts w:cs="Segoe UI"/>
          <w:szCs w:val="22"/>
          <w:lang w:val="it-IT"/>
        </w:rPr>
      </w:pPr>
    </w:p>
    <w:p w14:paraId="198D4AFC" w14:textId="77777777" w:rsidR="009C5716" w:rsidRPr="000E6DD7" w:rsidRDefault="009C5716" w:rsidP="00A352FB">
      <w:pPr>
        <w:rPr>
          <w:rFonts w:cs="Segoe UI"/>
          <w:szCs w:val="22"/>
          <w:lang w:val="it-IT"/>
        </w:rPr>
      </w:pPr>
    </w:p>
    <w:p w14:paraId="60130796" w14:textId="3A91FC55" w:rsidR="00883974" w:rsidRPr="000E6DD7" w:rsidRDefault="00883974" w:rsidP="00883974">
      <w:pPr>
        <w:spacing w:after="120"/>
        <w:ind w:right="-108"/>
        <w:jc w:val="left"/>
        <w:rPr>
          <w:rFonts w:cs="Segoe UI"/>
          <w:b/>
          <w:bCs/>
          <w:szCs w:val="22"/>
          <w:lang w:val="it-IT"/>
        </w:rPr>
      </w:pPr>
      <w:r w:rsidRPr="000E6DD7">
        <w:rPr>
          <w:rFonts w:cs="Segoe UI"/>
          <w:b/>
          <w:bCs/>
          <w:szCs w:val="22"/>
          <w:lang w:val="it-IT"/>
        </w:rPr>
        <w:t>Previsioni per l’anno fiscale 2025</w:t>
      </w:r>
    </w:p>
    <w:p w14:paraId="126F65F9" w14:textId="045E03F9" w:rsidR="00883974" w:rsidRPr="000E6DD7" w:rsidRDefault="000E3697" w:rsidP="00883974">
      <w:pPr>
        <w:rPr>
          <w:rFonts w:cs="Segoe UI"/>
          <w:szCs w:val="22"/>
          <w:lang w:val="it-IT"/>
        </w:rPr>
      </w:pPr>
      <w:r w:rsidRPr="000E6DD7">
        <w:rPr>
          <w:rFonts w:cs="Segoe UI"/>
          <w:szCs w:val="22"/>
          <w:lang w:val="it-IT"/>
        </w:rPr>
        <w:t>La volatilità e l’incertezza dello scenario macroeconomico e geopolitico mondiale resteranno molto elevate per tutto l’anno.</w:t>
      </w:r>
    </w:p>
    <w:p w14:paraId="71587E64" w14:textId="77777777" w:rsidR="0074643E" w:rsidRDefault="0074643E" w:rsidP="00883974">
      <w:pPr>
        <w:rPr>
          <w:rFonts w:cs="Segoe UI"/>
          <w:szCs w:val="22"/>
          <w:lang w:val="it-IT"/>
        </w:rPr>
      </w:pPr>
    </w:p>
    <w:p w14:paraId="62D98F54" w14:textId="327340AB" w:rsidR="000E3697" w:rsidRPr="000E3697" w:rsidRDefault="000E3697" w:rsidP="000E3697">
      <w:pPr>
        <w:rPr>
          <w:rFonts w:cs="Segoe UI"/>
          <w:szCs w:val="22"/>
          <w:lang w:val="it-IT"/>
        </w:rPr>
      </w:pPr>
      <w:r w:rsidRPr="000E3697">
        <w:rPr>
          <w:rFonts w:cs="Segoe UI"/>
          <w:szCs w:val="22"/>
          <w:lang w:val="it-IT"/>
        </w:rPr>
        <w:lastRenderedPageBreak/>
        <w:t xml:space="preserve">L’andamento dell’economia globale lascia prevedere una moderata crescita nel 2025 con un impatto sull’incremento della domanda </w:t>
      </w:r>
      <w:r w:rsidR="000642B7">
        <w:rPr>
          <w:rFonts w:cs="Segoe UI"/>
          <w:szCs w:val="22"/>
          <w:lang w:val="it-IT"/>
        </w:rPr>
        <w:t>ne</w:t>
      </w:r>
      <w:r w:rsidRPr="000E3697">
        <w:rPr>
          <w:rFonts w:cs="Segoe UI"/>
          <w:szCs w:val="22"/>
          <w:lang w:val="it-IT"/>
        </w:rPr>
        <w:t xml:space="preserve">i mercati e </w:t>
      </w:r>
      <w:r w:rsidR="000642B7">
        <w:rPr>
          <w:rFonts w:cs="Segoe UI"/>
          <w:szCs w:val="22"/>
          <w:lang w:val="it-IT"/>
        </w:rPr>
        <w:t>ne</w:t>
      </w:r>
      <w:r w:rsidRPr="000E3697">
        <w:rPr>
          <w:rFonts w:cs="Segoe UI"/>
          <w:szCs w:val="22"/>
          <w:lang w:val="it-IT"/>
        </w:rPr>
        <w:t xml:space="preserve">i settori, sia industriale che consumer, in cui opera Henkel. Inflazione e tassi di interesse sono </w:t>
      </w:r>
      <w:r w:rsidR="004B26CD">
        <w:rPr>
          <w:rFonts w:cs="Segoe UI"/>
          <w:szCs w:val="22"/>
          <w:lang w:val="it-IT"/>
        </w:rPr>
        <w:t>attesi</w:t>
      </w:r>
      <w:r w:rsidRPr="000E3697">
        <w:rPr>
          <w:rFonts w:cs="Segoe UI"/>
          <w:szCs w:val="22"/>
          <w:lang w:val="it-IT"/>
        </w:rPr>
        <w:t xml:space="preserve"> in calo anche nel corso del 2025. </w:t>
      </w:r>
    </w:p>
    <w:p w14:paraId="26A11C8A" w14:textId="77777777" w:rsidR="000E3697" w:rsidRPr="000E6DD7" w:rsidRDefault="000E3697" w:rsidP="00883974">
      <w:pPr>
        <w:rPr>
          <w:rFonts w:cs="Segoe UI"/>
          <w:szCs w:val="22"/>
          <w:lang w:val="it-IT"/>
        </w:rPr>
      </w:pPr>
    </w:p>
    <w:p w14:paraId="75406AC2" w14:textId="7BDA7DCB" w:rsidR="00453D77" w:rsidRPr="000E6DD7" w:rsidRDefault="00453D77" w:rsidP="00883974">
      <w:pPr>
        <w:rPr>
          <w:rFonts w:cs="Segoe UI"/>
          <w:szCs w:val="22"/>
          <w:lang w:val="it-IT"/>
        </w:rPr>
      </w:pPr>
      <w:r w:rsidRPr="000E6DD7">
        <w:rPr>
          <w:rFonts w:cs="Segoe UI"/>
          <w:szCs w:val="22"/>
          <w:lang w:val="it-IT"/>
        </w:rPr>
        <w:t xml:space="preserve">Rispetto ai costi delle materie prime, Henkel </w:t>
      </w:r>
      <w:r w:rsidR="00712F85" w:rsidRPr="000E6DD7">
        <w:rPr>
          <w:rFonts w:cs="Segoe UI"/>
          <w:szCs w:val="22"/>
          <w:lang w:val="it-IT"/>
        </w:rPr>
        <w:t>prevede un aumento nella fascia bassa o media delle percentuali a una cifra</w:t>
      </w:r>
      <w:r w:rsidR="00B54FBD" w:rsidRPr="000E6DD7">
        <w:rPr>
          <w:rFonts w:cs="Segoe UI"/>
          <w:szCs w:val="22"/>
          <w:lang w:val="it-IT"/>
        </w:rPr>
        <w:t xml:space="preserve"> con</w:t>
      </w:r>
      <w:r w:rsidR="004F21C4" w:rsidRPr="000E6DD7">
        <w:rPr>
          <w:rFonts w:cs="Segoe UI"/>
          <w:szCs w:val="22"/>
          <w:lang w:val="it-IT"/>
        </w:rPr>
        <w:t>siderando la</w:t>
      </w:r>
      <w:r w:rsidR="00B54FBD" w:rsidRPr="000E6DD7">
        <w:rPr>
          <w:rFonts w:cs="Segoe UI"/>
          <w:szCs w:val="22"/>
          <w:lang w:val="it-IT"/>
        </w:rPr>
        <w:t xml:space="preserve"> media 2024</w:t>
      </w:r>
      <w:r w:rsidR="004F21C4" w:rsidRPr="000E6DD7">
        <w:rPr>
          <w:rFonts w:cs="Segoe UI"/>
          <w:szCs w:val="22"/>
          <w:lang w:val="it-IT"/>
        </w:rPr>
        <w:t xml:space="preserve">. Le oscillazioni valutarie avranno un impatto neutro o negativo sul fatturato, stimato nella fascia bassa delle percentuali a una cifra. </w:t>
      </w:r>
    </w:p>
    <w:p w14:paraId="7C8DC8E8" w14:textId="77777777" w:rsidR="00410264" w:rsidRPr="000E6DD7" w:rsidRDefault="00410264" w:rsidP="00883974">
      <w:pPr>
        <w:rPr>
          <w:rFonts w:cs="Segoe UI"/>
          <w:szCs w:val="22"/>
          <w:lang w:val="it-IT"/>
        </w:rPr>
      </w:pPr>
    </w:p>
    <w:p w14:paraId="7F082706" w14:textId="0A84B252" w:rsidR="00883974" w:rsidRPr="000E6DD7" w:rsidRDefault="00410264" w:rsidP="00883974">
      <w:pPr>
        <w:rPr>
          <w:rFonts w:cs="Segoe UI"/>
          <w:szCs w:val="22"/>
          <w:lang w:val="it-IT"/>
        </w:rPr>
      </w:pPr>
      <w:r w:rsidRPr="000E6DD7">
        <w:rPr>
          <w:rFonts w:cs="Segoe UI"/>
          <w:szCs w:val="22"/>
          <w:lang w:val="it-IT"/>
        </w:rPr>
        <w:t xml:space="preserve">Sulla base di queste considerazioni, </w:t>
      </w:r>
      <w:r w:rsidR="00FE66FB" w:rsidRPr="000E6DD7">
        <w:rPr>
          <w:rFonts w:cs="Segoe UI"/>
          <w:szCs w:val="22"/>
          <w:lang w:val="it-IT"/>
        </w:rPr>
        <w:t>nell’anno fiscal</w:t>
      </w:r>
      <w:r w:rsidR="004B26CD">
        <w:rPr>
          <w:rFonts w:cs="Segoe UI"/>
          <w:szCs w:val="22"/>
          <w:lang w:val="it-IT"/>
        </w:rPr>
        <w:t>e</w:t>
      </w:r>
      <w:r w:rsidR="00FE66FB" w:rsidRPr="000E6DD7">
        <w:rPr>
          <w:rFonts w:cs="Segoe UI"/>
          <w:szCs w:val="22"/>
          <w:lang w:val="it-IT"/>
        </w:rPr>
        <w:t xml:space="preserve"> 2025 Henkel stima una </w:t>
      </w:r>
      <w:r w:rsidR="00FE66FB" w:rsidRPr="000E6DD7">
        <w:rPr>
          <w:rFonts w:cs="Segoe UI"/>
          <w:b/>
          <w:bCs/>
          <w:szCs w:val="22"/>
          <w:lang w:val="it-IT"/>
        </w:rPr>
        <w:t>crescita del fatturato organico</w:t>
      </w:r>
      <w:r w:rsidR="00FE66FB" w:rsidRPr="000E6DD7">
        <w:rPr>
          <w:rFonts w:cs="Segoe UI"/>
          <w:szCs w:val="22"/>
          <w:lang w:val="it-IT"/>
        </w:rPr>
        <w:t xml:space="preserve"> compresa tra </w:t>
      </w:r>
      <w:r w:rsidR="00FE66FB" w:rsidRPr="000E6DD7">
        <w:rPr>
          <w:rFonts w:cs="Segoe UI"/>
          <w:lang w:val="it-IT"/>
        </w:rPr>
        <w:t xml:space="preserve">1,5 e 3,5%. Per la divisione Adhesive Technologies la crescita è attesa tra 2,0 e 4,0%, per Consumer Brands tra 1,0 e 3,0%. </w:t>
      </w:r>
      <w:r w:rsidR="00FE66FB" w:rsidRPr="000E6DD7">
        <w:rPr>
          <w:lang w:val="it-IT"/>
        </w:rPr>
        <w:t xml:space="preserve">Il </w:t>
      </w:r>
      <w:r w:rsidR="00FE66FB" w:rsidRPr="000E6DD7">
        <w:rPr>
          <w:b/>
          <w:bCs/>
          <w:lang w:val="it-IT"/>
        </w:rPr>
        <w:t>tasso depurato di ritorno sulle vendite</w:t>
      </w:r>
      <w:r w:rsidR="00FE66FB" w:rsidRPr="000E6DD7">
        <w:rPr>
          <w:lang w:val="it-IT"/>
        </w:rPr>
        <w:t xml:space="preserve"> (margine EBIT</w:t>
      </w:r>
      <w:r w:rsidR="002B4704" w:rsidRPr="000E6DD7">
        <w:rPr>
          <w:lang w:val="it-IT"/>
        </w:rPr>
        <w:t xml:space="preserve"> depurato</w:t>
      </w:r>
      <w:r w:rsidR="00FE66FB" w:rsidRPr="000E6DD7">
        <w:rPr>
          <w:lang w:val="it-IT"/>
        </w:rPr>
        <w:t>) è previsto tra 1</w:t>
      </w:r>
      <w:r w:rsidR="002B4704" w:rsidRPr="000E6DD7">
        <w:rPr>
          <w:lang w:val="it-IT"/>
        </w:rPr>
        <w:t>4</w:t>
      </w:r>
      <w:r w:rsidR="00FE66FB" w:rsidRPr="000E6DD7">
        <w:rPr>
          <w:lang w:val="it-IT"/>
        </w:rPr>
        <w:t>,</w:t>
      </w:r>
      <w:r w:rsidR="002B4704" w:rsidRPr="000E6DD7">
        <w:rPr>
          <w:lang w:val="it-IT"/>
        </w:rPr>
        <w:t>0</w:t>
      </w:r>
      <w:r w:rsidR="00FE66FB" w:rsidRPr="000E6DD7">
        <w:rPr>
          <w:lang w:val="it-IT"/>
        </w:rPr>
        <w:t xml:space="preserve"> e 1</w:t>
      </w:r>
      <w:r w:rsidR="002B4704" w:rsidRPr="000E6DD7">
        <w:rPr>
          <w:lang w:val="it-IT"/>
        </w:rPr>
        <w:t>5</w:t>
      </w:r>
      <w:r w:rsidR="00FE66FB" w:rsidRPr="000E6DD7">
        <w:rPr>
          <w:lang w:val="it-IT"/>
        </w:rPr>
        <w:t>,5%, con Adhesive Technologies tra 16,0 e 17,</w:t>
      </w:r>
      <w:r w:rsidR="0018566A" w:rsidRPr="000E6DD7">
        <w:rPr>
          <w:lang w:val="it-IT"/>
        </w:rPr>
        <w:t>5</w:t>
      </w:r>
      <w:r w:rsidR="00FE66FB" w:rsidRPr="000E6DD7">
        <w:rPr>
          <w:lang w:val="it-IT"/>
        </w:rPr>
        <w:t>%</w:t>
      </w:r>
      <w:r w:rsidR="0018566A" w:rsidRPr="000E6DD7">
        <w:rPr>
          <w:lang w:val="it-IT"/>
        </w:rPr>
        <w:t>,</w:t>
      </w:r>
      <w:r w:rsidR="00FE66FB" w:rsidRPr="000E6DD7">
        <w:rPr>
          <w:lang w:val="it-IT"/>
        </w:rPr>
        <w:t xml:space="preserve"> e Consumer Brands tra 13,</w:t>
      </w:r>
      <w:r w:rsidR="0018566A" w:rsidRPr="000E6DD7">
        <w:rPr>
          <w:lang w:val="it-IT"/>
        </w:rPr>
        <w:t>5</w:t>
      </w:r>
      <w:r w:rsidR="00FE66FB" w:rsidRPr="000E6DD7">
        <w:rPr>
          <w:lang w:val="it-IT"/>
        </w:rPr>
        <w:t xml:space="preserve"> e 1</w:t>
      </w:r>
      <w:r w:rsidR="0018566A" w:rsidRPr="000E6DD7">
        <w:rPr>
          <w:lang w:val="it-IT"/>
        </w:rPr>
        <w:t>5</w:t>
      </w:r>
      <w:r w:rsidR="00FE66FB" w:rsidRPr="000E6DD7">
        <w:rPr>
          <w:lang w:val="it-IT"/>
        </w:rPr>
        <w:t>,0%</w:t>
      </w:r>
      <w:r w:rsidR="0018566A" w:rsidRPr="000E6DD7">
        <w:rPr>
          <w:lang w:val="it-IT"/>
        </w:rPr>
        <w:t>.</w:t>
      </w:r>
      <w:r w:rsidR="00FE66FB" w:rsidRPr="000E6DD7">
        <w:rPr>
          <w:lang w:val="it-IT"/>
        </w:rPr>
        <w:t xml:space="preserve"> Per quanto riguarda l’</w:t>
      </w:r>
      <w:r w:rsidR="00FE66FB" w:rsidRPr="000E6DD7">
        <w:rPr>
          <w:b/>
          <w:bCs/>
          <w:lang w:val="it-IT"/>
        </w:rPr>
        <w:t xml:space="preserve">utile depurato per azione privilegiata </w:t>
      </w:r>
      <w:r w:rsidR="00FE66FB" w:rsidRPr="000E6DD7">
        <w:rPr>
          <w:lang w:val="it-IT"/>
        </w:rPr>
        <w:t xml:space="preserve">(EPS), l’incremento è stimato </w:t>
      </w:r>
      <w:r w:rsidR="002F21D4" w:rsidRPr="000E6DD7">
        <w:rPr>
          <w:lang w:val="it-IT"/>
        </w:rPr>
        <w:t>nella fascia tra bassa e alta delle percentuali a una cifra</w:t>
      </w:r>
      <w:r w:rsidR="004F25CA" w:rsidRPr="000E6DD7">
        <w:rPr>
          <w:lang w:val="it-IT"/>
        </w:rPr>
        <w:t>, a tassi costanti di cambio.</w:t>
      </w:r>
    </w:p>
    <w:p w14:paraId="03C6FF89" w14:textId="77777777" w:rsidR="00410264" w:rsidRPr="000E6DD7" w:rsidRDefault="00410264" w:rsidP="00883974">
      <w:pPr>
        <w:rPr>
          <w:rFonts w:cs="Segoe UI"/>
          <w:lang w:val="it-IT"/>
        </w:rPr>
      </w:pPr>
    </w:p>
    <w:p w14:paraId="5B9D216A" w14:textId="07A2C70E" w:rsidR="00883974" w:rsidRPr="000E6DD7" w:rsidRDefault="004F25CA" w:rsidP="00883974">
      <w:pPr>
        <w:rPr>
          <w:rFonts w:cs="Segoe UI"/>
          <w:lang w:val="it-IT"/>
        </w:rPr>
      </w:pPr>
      <w:r w:rsidRPr="000E6DD7">
        <w:rPr>
          <w:rFonts w:cs="Segoe UI"/>
          <w:lang w:val="it-IT"/>
        </w:rPr>
        <w:t>Nella prima parte dell’anno si prospetta un andamento lento</w:t>
      </w:r>
      <w:r w:rsidR="002660B3" w:rsidRPr="000E6DD7">
        <w:rPr>
          <w:rFonts w:cs="Segoe UI"/>
          <w:lang w:val="it-IT"/>
        </w:rPr>
        <w:t>, ma la crescita del fatturato organico dovrebbe accelerare nel corso del 2025</w:t>
      </w:r>
      <w:r w:rsidR="00BA78FD" w:rsidRPr="000E6DD7">
        <w:rPr>
          <w:rFonts w:cs="Segoe UI"/>
          <w:lang w:val="it-IT"/>
        </w:rPr>
        <w:t>, con un secondo semestre più forte del primo per entrambe le divisioni</w:t>
      </w:r>
      <w:r w:rsidR="00C6663C" w:rsidRPr="000E6DD7">
        <w:rPr>
          <w:rFonts w:cs="Segoe UI"/>
          <w:lang w:val="it-IT"/>
        </w:rPr>
        <w:t>. Ciò è dovuto all’incertezza dell’andamento dell’industria</w:t>
      </w:r>
      <w:r w:rsidR="00D23DDC" w:rsidRPr="000E6DD7">
        <w:rPr>
          <w:rFonts w:cs="Segoe UI"/>
          <w:lang w:val="it-IT"/>
        </w:rPr>
        <w:t>, dei mercati e della fiducia dei consumatori in alcuni mercati chiave, tra cui il Nord America.</w:t>
      </w:r>
    </w:p>
    <w:p w14:paraId="1DD4C71E" w14:textId="77777777" w:rsidR="004F25CA" w:rsidRPr="000E6DD7" w:rsidRDefault="004F25CA" w:rsidP="00883974">
      <w:pPr>
        <w:rPr>
          <w:rFonts w:cs="Segoe UI"/>
          <w:lang w:val="it-IT"/>
        </w:rPr>
      </w:pPr>
    </w:p>
    <w:p w14:paraId="11A095B5" w14:textId="77777777" w:rsidR="009C5716" w:rsidRPr="000E6DD7" w:rsidRDefault="009C5716" w:rsidP="00883974">
      <w:pPr>
        <w:rPr>
          <w:rFonts w:cs="Segoe UI"/>
          <w:lang w:val="it-IT"/>
        </w:rPr>
      </w:pPr>
    </w:p>
    <w:p w14:paraId="1767A7C5" w14:textId="542A6D39" w:rsidR="009C5716" w:rsidRPr="000E6DD7" w:rsidRDefault="00C227C4" w:rsidP="009C5716">
      <w:pPr>
        <w:spacing w:after="120"/>
        <w:rPr>
          <w:rFonts w:cs="Segoe UI"/>
          <w:b/>
          <w:bCs/>
          <w:szCs w:val="22"/>
          <w:lang w:val="it-IT"/>
        </w:rPr>
      </w:pPr>
      <w:r w:rsidRPr="000E6DD7">
        <w:rPr>
          <w:rFonts w:cs="Segoe UI"/>
          <w:b/>
          <w:bCs/>
          <w:szCs w:val="22"/>
          <w:lang w:val="it-IT" w:eastAsia="de-DE"/>
        </w:rPr>
        <w:t>Risultati dell’anno fiscale</w:t>
      </w:r>
      <w:r w:rsidR="009C5716" w:rsidRPr="000E6DD7">
        <w:rPr>
          <w:rFonts w:cs="Segoe UI"/>
          <w:b/>
          <w:bCs/>
          <w:szCs w:val="22"/>
          <w:lang w:val="it-IT" w:eastAsia="de-DE"/>
        </w:rPr>
        <w:t xml:space="preserve"> 2024</w:t>
      </w:r>
    </w:p>
    <w:p w14:paraId="15413C90" w14:textId="326AEB9E" w:rsidR="004319E1" w:rsidRPr="004319E1" w:rsidRDefault="00C227C4" w:rsidP="004319E1">
      <w:pPr>
        <w:rPr>
          <w:rFonts w:cs="Segoe UI"/>
          <w:szCs w:val="22"/>
          <w:lang w:val="it-IT"/>
        </w:rPr>
      </w:pPr>
      <w:r w:rsidRPr="000E6DD7">
        <w:rPr>
          <w:rFonts w:cs="Segoe UI"/>
          <w:szCs w:val="22"/>
          <w:lang w:val="it-IT"/>
        </w:rPr>
        <w:t xml:space="preserve">A livello di Gruppo, il </w:t>
      </w:r>
      <w:r w:rsidRPr="000E6DD7">
        <w:rPr>
          <w:rFonts w:cs="Segoe UI"/>
          <w:b/>
          <w:bCs/>
          <w:szCs w:val="22"/>
          <w:lang w:val="it-IT"/>
        </w:rPr>
        <w:t>fatturato</w:t>
      </w:r>
      <w:r w:rsidR="009C5716" w:rsidRPr="000E6DD7">
        <w:rPr>
          <w:rFonts w:cs="Segoe UI"/>
          <w:szCs w:val="22"/>
          <w:lang w:val="it-IT"/>
        </w:rPr>
        <w:t xml:space="preserve"> </w:t>
      </w:r>
      <w:r w:rsidRPr="000E6DD7">
        <w:rPr>
          <w:rFonts w:cs="Segoe UI"/>
          <w:szCs w:val="22"/>
          <w:lang w:val="it-IT"/>
        </w:rPr>
        <w:t>Henkel ha raggiunto i</w:t>
      </w:r>
      <w:r w:rsidR="009C5716" w:rsidRPr="000E6DD7">
        <w:rPr>
          <w:rFonts w:cs="Segoe UI"/>
          <w:szCs w:val="22"/>
          <w:lang w:val="it-IT"/>
        </w:rPr>
        <w:t xml:space="preserve"> 21</w:t>
      </w:r>
      <w:r w:rsidRPr="000E6DD7">
        <w:rPr>
          <w:rFonts w:cs="Segoe UI"/>
          <w:szCs w:val="22"/>
          <w:lang w:val="it-IT"/>
        </w:rPr>
        <w:t>.</w:t>
      </w:r>
      <w:r w:rsidR="009C5716" w:rsidRPr="000E6DD7">
        <w:rPr>
          <w:rFonts w:cs="Segoe UI"/>
          <w:szCs w:val="22"/>
          <w:lang w:val="it-IT"/>
        </w:rPr>
        <w:t>586 milion</w:t>
      </w:r>
      <w:r w:rsidRPr="000E6DD7">
        <w:rPr>
          <w:rFonts w:cs="Segoe UI"/>
          <w:szCs w:val="22"/>
          <w:lang w:val="it-IT"/>
        </w:rPr>
        <w:t>i di</w:t>
      </w:r>
      <w:r w:rsidR="009C5716" w:rsidRPr="000E6DD7">
        <w:rPr>
          <w:rFonts w:cs="Segoe UI"/>
          <w:szCs w:val="22"/>
          <w:lang w:val="it-IT"/>
        </w:rPr>
        <w:t xml:space="preserve"> euro </w:t>
      </w:r>
      <w:r w:rsidRPr="000E6DD7">
        <w:rPr>
          <w:rFonts w:cs="Segoe UI"/>
          <w:szCs w:val="22"/>
          <w:lang w:val="it-IT"/>
        </w:rPr>
        <w:t>nell’anno fiscale</w:t>
      </w:r>
      <w:r w:rsidR="009C5716" w:rsidRPr="000E6DD7">
        <w:rPr>
          <w:rFonts w:cs="Segoe UI"/>
          <w:szCs w:val="22"/>
          <w:lang w:val="it-IT"/>
        </w:rPr>
        <w:t xml:space="preserve"> 2024, </w:t>
      </w:r>
      <w:r w:rsidRPr="000E6DD7">
        <w:rPr>
          <w:rFonts w:cs="Segoe UI"/>
          <w:szCs w:val="22"/>
          <w:lang w:val="it-IT"/>
        </w:rPr>
        <w:t xml:space="preserve">con un incremento nominale dello 0,3% rispetto all’anno precedente. </w:t>
      </w:r>
      <w:r w:rsidR="00BA10FF" w:rsidRPr="000E6DD7">
        <w:rPr>
          <w:rFonts w:cs="Segoe UI"/>
          <w:szCs w:val="22"/>
          <w:lang w:val="it-IT"/>
        </w:rPr>
        <w:t>Le oscillazioni valutarie hanno pesato negativamente per l’1,8%</w:t>
      </w:r>
      <w:r w:rsidR="00CC4568" w:rsidRPr="000E6DD7">
        <w:rPr>
          <w:rFonts w:cs="Segoe UI"/>
          <w:szCs w:val="22"/>
          <w:lang w:val="it-IT"/>
        </w:rPr>
        <w:t>. Depurato dall’effetto dei cambi, il fatturato è cresciuto del 2,1%</w:t>
      </w:r>
      <w:r w:rsidR="000E6DD7" w:rsidRPr="000E6DD7">
        <w:rPr>
          <w:rFonts w:cs="Segoe UI"/>
          <w:szCs w:val="22"/>
          <w:lang w:val="it-IT"/>
        </w:rPr>
        <w:t xml:space="preserve">. </w:t>
      </w:r>
      <w:r w:rsidR="000E6DD7">
        <w:rPr>
          <w:rFonts w:cs="Segoe UI"/>
          <w:szCs w:val="22"/>
          <w:lang w:val="it-IT"/>
        </w:rPr>
        <w:t xml:space="preserve">Acquisizioni e disinvestimenti hanno inciso </w:t>
      </w:r>
      <w:r w:rsidR="00306055">
        <w:rPr>
          <w:rFonts w:cs="Segoe UI"/>
          <w:szCs w:val="22"/>
          <w:lang w:val="it-IT"/>
        </w:rPr>
        <w:t xml:space="preserve">sul fatturato per -0.4%, soprattutto </w:t>
      </w:r>
      <w:r w:rsidR="00FA37C2">
        <w:rPr>
          <w:rFonts w:cs="Segoe UI"/>
          <w:szCs w:val="22"/>
          <w:lang w:val="it-IT"/>
        </w:rPr>
        <w:t xml:space="preserve">per la cessione delle attività in Russia decisa nel 2023. La </w:t>
      </w:r>
      <w:r w:rsidR="00FA37C2" w:rsidRPr="00FA37C2">
        <w:rPr>
          <w:rFonts w:cs="Segoe UI"/>
          <w:b/>
          <w:bCs/>
          <w:szCs w:val="22"/>
          <w:lang w:val="it-IT"/>
        </w:rPr>
        <w:t>crescita organica del fatturato</w:t>
      </w:r>
      <w:r w:rsidR="00FA37C2">
        <w:rPr>
          <w:rFonts w:cs="Segoe UI"/>
          <w:szCs w:val="22"/>
          <w:lang w:val="it-IT"/>
        </w:rPr>
        <w:t>, ovvero depurata dall’effetto dei cambi e delle operazioni straordinarie</w:t>
      </w:r>
      <w:r w:rsidR="004A2315">
        <w:rPr>
          <w:rFonts w:cs="Segoe UI"/>
          <w:szCs w:val="22"/>
          <w:lang w:val="it-IT"/>
        </w:rPr>
        <w:t xml:space="preserve">, </w:t>
      </w:r>
      <w:r w:rsidR="00AD41EB">
        <w:rPr>
          <w:rFonts w:cs="Segoe UI"/>
          <w:szCs w:val="22"/>
          <w:lang w:val="it-IT"/>
        </w:rPr>
        <w:t xml:space="preserve">è </w:t>
      </w:r>
      <w:r w:rsidR="004319E1">
        <w:rPr>
          <w:rFonts w:cs="Segoe UI"/>
          <w:szCs w:val="22"/>
          <w:lang w:val="it-IT"/>
        </w:rPr>
        <w:t>stata del 2,6%, trainata</w:t>
      </w:r>
      <w:r w:rsidR="004319E1">
        <w:rPr>
          <w:rFonts w:cs="Segoe UI"/>
          <w:b/>
          <w:bCs/>
          <w:szCs w:val="22"/>
          <w:lang w:val="it-IT"/>
        </w:rPr>
        <w:t xml:space="preserve"> </w:t>
      </w:r>
      <w:r w:rsidR="004319E1" w:rsidRPr="004319E1">
        <w:rPr>
          <w:rFonts w:cs="Segoe UI"/>
          <w:szCs w:val="22"/>
          <w:lang w:val="it-IT"/>
        </w:rPr>
        <w:t>sia</w:t>
      </w:r>
      <w:r w:rsidR="004319E1">
        <w:rPr>
          <w:rFonts w:cs="Segoe UI"/>
          <w:szCs w:val="22"/>
          <w:lang w:val="it-IT"/>
        </w:rPr>
        <w:t xml:space="preserve"> dall’aumento dei prezzi sia dei volumi.</w:t>
      </w:r>
    </w:p>
    <w:p w14:paraId="3F76B56D" w14:textId="77777777" w:rsidR="009C5716" w:rsidRPr="000E6DD7" w:rsidRDefault="009C5716" w:rsidP="009C5716">
      <w:pPr>
        <w:rPr>
          <w:rFonts w:cs="Segoe UI"/>
          <w:szCs w:val="22"/>
          <w:lang w:val="it-IT"/>
        </w:rPr>
      </w:pPr>
    </w:p>
    <w:p w14:paraId="7C1071B1" w14:textId="0A743341" w:rsidR="00B94DCB" w:rsidRDefault="004319E1" w:rsidP="009C5716">
      <w:pPr>
        <w:rPr>
          <w:rFonts w:cs="Segoe UI"/>
          <w:szCs w:val="22"/>
          <w:lang w:val="it-IT"/>
        </w:rPr>
      </w:pPr>
      <w:r>
        <w:rPr>
          <w:rFonts w:cs="Segoe UI"/>
          <w:szCs w:val="22"/>
          <w:lang w:val="it-IT"/>
        </w:rPr>
        <w:t>La divisione</w:t>
      </w:r>
      <w:r w:rsidR="009C5716" w:rsidRPr="000E6DD7">
        <w:rPr>
          <w:rFonts w:cs="Segoe UI"/>
          <w:szCs w:val="22"/>
          <w:lang w:val="it-IT"/>
        </w:rPr>
        <w:t xml:space="preserve"> </w:t>
      </w:r>
      <w:r w:rsidR="009C5716" w:rsidRPr="000E6DD7">
        <w:rPr>
          <w:rFonts w:cs="Segoe UI"/>
          <w:b/>
          <w:bCs/>
          <w:szCs w:val="22"/>
          <w:lang w:val="it-IT"/>
        </w:rPr>
        <w:t>Adhesive Technologies</w:t>
      </w:r>
      <w:r w:rsidR="009C5716" w:rsidRPr="000E6DD7">
        <w:rPr>
          <w:rFonts w:cs="Segoe UI"/>
          <w:szCs w:val="22"/>
          <w:lang w:val="it-IT"/>
        </w:rPr>
        <w:t xml:space="preserve"> </w:t>
      </w:r>
      <w:r w:rsidR="00722C47">
        <w:rPr>
          <w:rFonts w:cs="Segoe UI"/>
          <w:szCs w:val="22"/>
          <w:lang w:val="it-IT"/>
        </w:rPr>
        <w:t xml:space="preserve">ha registrato un fatturato di </w:t>
      </w:r>
      <w:r w:rsidR="00722C47" w:rsidRPr="000E6DD7">
        <w:rPr>
          <w:rFonts w:cs="Segoe UI"/>
          <w:szCs w:val="22"/>
          <w:lang w:val="it-IT"/>
        </w:rPr>
        <w:t>10</w:t>
      </w:r>
      <w:r w:rsidR="00722C47">
        <w:rPr>
          <w:rFonts w:cs="Segoe UI"/>
          <w:szCs w:val="22"/>
          <w:lang w:val="it-IT"/>
        </w:rPr>
        <w:t>.</w:t>
      </w:r>
      <w:r w:rsidR="00722C47" w:rsidRPr="000E6DD7">
        <w:rPr>
          <w:rFonts w:cs="Segoe UI"/>
          <w:szCs w:val="22"/>
          <w:lang w:val="it-IT"/>
        </w:rPr>
        <w:t>970 milion</w:t>
      </w:r>
      <w:r w:rsidR="00722C47">
        <w:rPr>
          <w:rFonts w:cs="Segoe UI"/>
          <w:szCs w:val="22"/>
          <w:lang w:val="it-IT"/>
        </w:rPr>
        <w:t>i di</w:t>
      </w:r>
      <w:r w:rsidR="00722C47" w:rsidRPr="000E6DD7">
        <w:rPr>
          <w:rFonts w:cs="Segoe UI"/>
          <w:szCs w:val="22"/>
          <w:lang w:val="it-IT"/>
        </w:rPr>
        <w:t xml:space="preserve"> euro</w:t>
      </w:r>
      <w:r w:rsidR="00860B60">
        <w:rPr>
          <w:rFonts w:cs="Segoe UI"/>
          <w:szCs w:val="22"/>
          <w:lang w:val="it-IT"/>
        </w:rPr>
        <w:t>, con una crescita nominale dell’1,7% rispetto al 2023</w:t>
      </w:r>
      <w:r w:rsidR="00E72EEE">
        <w:rPr>
          <w:rFonts w:cs="Segoe UI"/>
          <w:szCs w:val="22"/>
          <w:lang w:val="it-IT"/>
        </w:rPr>
        <w:t xml:space="preserve"> e</w:t>
      </w:r>
      <w:r w:rsidR="00860B60">
        <w:rPr>
          <w:rFonts w:cs="Segoe UI"/>
          <w:szCs w:val="22"/>
          <w:lang w:val="it-IT"/>
        </w:rPr>
        <w:t xml:space="preserve"> </w:t>
      </w:r>
      <w:r w:rsidR="00797DBB">
        <w:rPr>
          <w:rFonts w:cs="Segoe UI"/>
          <w:szCs w:val="22"/>
          <w:lang w:val="it-IT"/>
        </w:rPr>
        <w:t>uno sviluppo</w:t>
      </w:r>
      <w:r w:rsidR="00860B60">
        <w:rPr>
          <w:rFonts w:cs="Segoe UI"/>
          <w:szCs w:val="22"/>
          <w:lang w:val="it-IT"/>
        </w:rPr>
        <w:t xml:space="preserve"> in termini organici del</w:t>
      </w:r>
      <w:r w:rsidR="00860B60" w:rsidRPr="000E6DD7">
        <w:rPr>
          <w:rFonts w:cs="Segoe UI"/>
          <w:szCs w:val="22"/>
          <w:lang w:val="it-IT"/>
        </w:rPr>
        <w:t xml:space="preserve"> 2</w:t>
      </w:r>
      <w:r w:rsidR="00860B60">
        <w:rPr>
          <w:rFonts w:cs="Segoe UI"/>
          <w:szCs w:val="22"/>
          <w:lang w:val="it-IT"/>
        </w:rPr>
        <w:t>,</w:t>
      </w:r>
      <w:r w:rsidR="00860B60" w:rsidRPr="000E6DD7">
        <w:rPr>
          <w:rFonts w:cs="Segoe UI"/>
          <w:szCs w:val="22"/>
          <w:lang w:val="it-IT"/>
        </w:rPr>
        <w:t>4</w:t>
      </w:r>
      <w:r w:rsidR="00860B60">
        <w:rPr>
          <w:rFonts w:cs="Segoe UI"/>
          <w:szCs w:val="22"/>
          <w:lang w:val="it-IT"/>
        </w:rPr>
        <w:t>%</w:t>
      </w:r>
      <w:r w:rsidR="00860B60" w:rsidRPr="000E6DD7">
        <w:rPr>
          <w:rFonts w:cs="Segoe UI"/>
          <w:szCs w:val="22"/>
          <w:lang w:val="it-IT"/>
        </w:rPr>
        <w:t xml:space="preserve">. </w:t>
      </w:r>
      <w:r w:rsidR="00A024DE">
        <w:rPr>
          <w:rFonts w:cs="Segoe UI"/>
          <w:szCs w:val="22"/>
          <w:lang w:val="it-IT"/>
        </w:rPr>
        <w:t xml:space="preserve">L’andamento </w:t>
      </w:r>
      <w:r w:rsidR="00771EC5">
        <w:rPr>
          <w:rFonts w:cs="Segoe UI"/>
          <w:szCs w:val="22"/>
          <w:lang w:val="it-IT"/>
        </w:rPr>
        <w:t>dei volumi è stato favorevole soprattutto nella seconda metà dell’anno</w:t>
      </w:r>
      <w:r w:rsidR="00E8581A">
        <w:rPr>
          <w:rFonts w:cs="Segoe UI"/>
          <w:szCs w:val="22"/>
          <w:lang w:val="it-IT"/>
        </w:rPr>
        <w:t xml:space="preserve"> </w:t>
      </w:r>
      <w:r w:rsidR="00B94DCB">
        <w:rPr>
          <w:rFonts w:cs="Segoe UI"/>
          <w:szCs w:val="22"/>
          <w:lang w:val="it-IT"/>
        </w:rPr>
        <w:t xml:space="preserve">grazie </w:t>
      </w:r>
      <w:r w:rsidR="00E8581A">
        <w:rPr>
          <w:rFonts w:cs="Segoe UI"/>
          <w:szCs w:val="22"/>
          <w:lang w:val="it-IT"/>
        </w:rPr>
        <w:t>alla ripresa della domanda in alcuni</w:t>
      </w:r>
      <w:r w:rsidR="00B94DCB">
        <w:rPr>
          <w:rFonts w:cs="Segoe UI"/>
          <w:szCs w:val="22"/>
          <w:lang w:val="it-IT"/>
        </w:rPr>
        <w:t xml:space="preserve"> mercat</w:t>
      </w:r>
      <w:r w:rsidR="00E8581A">
        <w:rPr>
          <w:rFonts w:cs="Segoe UI"/>
          <w:szCs w:val="22"/>
          <w:lang w:val="it-IT"/>
        </w:rPr>
        <w:t xml:space="preserve">i </w:t>
      </w:r>
      <w:r w:rsidR="00CF7B59">
        <w:rPr>
          <w:rFonts w:cs="Segoe UI"/>
          <w:szCs w:val="22"/>
          <w:lang w:val="it-IT"/>
        </w:rPr>
        <w:t>rilevanti, tra cui ad esempio il segmento</w:t>
      </w:r>
      <w:r w:rsidR="00B94DCB">
        <w:rPr>
          <w:rFonts w:cs="Segoe UI"/>
          <w:szCs w:val="22"/>
          <w:lang w:val="it-IT"/>
        </w:rPr>
        <w:t xml:space="preserve"> </w:t>
      </w:r>
      <w:r w:rsidR="00B94DCB" w:rsidRPr="000E6DD7">
        <w:rPr>
          <w:rFonts w:cs="Segoe UI"/>
          <w:szCs w:val="22"/>
          <w:lang w:val="it-IT"/>
        </w:rPr>
        <w:t>Mobility &amp; Electronics</w:t>
      </w:r>
      <w:r w:rsidR="00CF7B59">
        <w:rPr>
          <w:rFonts w:cs="Segoe UI"/>
          <w:szCs w:val="22"/>
          <w:lang w:val="it-IT"/>
        </w:rPr>
        <w:t>.</w:t>
      </w:r>
    </w:p>
    <w:p w14:paraId="62FAA590" w14:textId="77777777" w:rsidR="00340C42" w:rsidRDefault="00340C42" w:rsidP="009C5716">
      <w:pPr>
        <w:rPr>
          <w:rFonts w:cs="Segoe UI"/>
          <w:szCs w:val="22"/>
          <w:lang w:val="it-IT"/>
        </w:rPr>
      </w:pPr>
    </w:p>
    <w:p w14:paraId="7397FB06" w14:textId="56B8B478" w:rsidR="001C6677" w:rsidRDefault="001C6677" w:rsidP="009C5716">
      <w:pPr>
        <w:rPr>
          <w:rFonts w:cs="Segoe UI"/>
          <w:szCs w:val="22"/>
          <w:lang w:val="it-IT"/>
        </w:rPr>
      </w:pPr>
      <w:r>
        <w:rPr>
          <w:rFonts w:cs="Segoe UI"/>
          <w:szCs w:val="22"/>
          <w:lang w:val="it-IT"/>
        </w:rPr>
        <w:lastRenderedPageBreak/>
        <w:t>Il fatturato di</w:t>
      </w:r>
      <w:r w:rsidR="009C5716" w:rsidRPr="000E6DD7">
        <w:rPr>
          <w:rFonts w:cs="Segoe UI"/>
          <w:szCs w:val="22"/>
          <w:lang w:val="it-IT"/>
        </w:rPr>
        <w:t xml:space="preserve"> </w:t>
      </w:r>
      <w:r w:rsidR="009C5716" w:rsidRPr="000E6DD7">
        <w:rPr>
          <w:rFonts w:cs="Segoe UI"/>
          <w:b/>
          <w:bCs/>
          <w:szCs w:val="22"/>
          <w:lang w:val="it-IT"/>
        </w:rPr>
        <w:t>Consumer Brands</w:t>
      </w:r>
      <w:r w:rsidR="009C5716" w:rsidRPr="000E6DD7">
        <w:rPr>
          <w:rFonts w:cs="Segoe UI"/>
          <w:szCs w:val="22"/>
          <w:lang w:val="it-IT"/>
        </w:rPr>
        <w:t xml:space="preserve"> </w:t>
      </w:r>
      <w:r>
        <w:rPr>
          <w:rFonts w:cs="Segoe UI"/>
          <w:szCs w:val="22"/>
          <w:lang w:val="it-IT"/>
        </w:rPr>
        <w:t xml:space="preserve">è stato pari a </w:t>
      </w:r>
      <w:r w:rsidRPr="000E6DD7">
        <w:rPr>
          <w:rFonts w:cs="Segoe UI"/>
          <w:szCs w:val="22"/>
          <w:lang w:val="it-IT"/>
        </w:rPr>
        <w:t>10</w:t>
      </w:r>
      <w:r>
        <w:rPr>
          <w:rFonts w:cs="Segoe UI"/>
          <w:szCs w:val="22"/>
          <w:lang w:val="it-IT"/>
        </w:rPr>
        <w:t>.</w:t>
      </w:r>
      <w:r w:rsidRPr="000E6DD7">
        <w:rPr>
          <w:rFonts w:cs="Segoe UI"/>
          <w:szCs w:val="22"/>
          <w:lang w:val="it-IT"/>
        </w:rPr>
        <w:t>467 milion</w:t>
      </w:r>
      <w:r>
        <w:rPr>
          <w:rFonts w:cs="Segoe UI"/>
          <w:szCs w:val="22"/>
          <w:lang w:val="it-IT"/>
        </w:rPr>
        <w:t>i di</w:t>
      </w:r>
      <w:r w:rsidRPr="000E6DD7">
        <w:rPr>
          <w:rFonts w:cs="Segoe UI"/>
          <w:szCs w:val="22"/>
          <w:lang w:val="it-IT"/>
        </w:rPr>
        <w:t xml:space="preserve"> euro</w:t>
      </w:r>
      <w:r w:rsidR="00564D51">
        <w:rPr>
          <w:rFonts w:cs="Segoe UI"/>
          <w:szCs w:val="22"/>
          <w:lang w:val="it-IT"/>
        </w:rPr>
        <w:t>, in calo dello 0,9% in termini nominali rispetto all’anno precedente. La crescita organica è stata</w:t>
      </w:r>
      <w:r w:rsidR="00C4587F">
        <w:rPr>
          <w:rFonts w:cs="Segoe UI"/>
          <w:szCs w:val="22"/>
          <w:lang w:val="it-IT"/>
        </w:rPr>
        <w:t xml:space="preserve"> del 3%, sostenuta principalmente </w:t>
      </w:r>
      <w:r w:rsidR="00A237E1">
        <w:rPr>
          <w:rFonts w:cs="Segoe UI"/>
          <w:szCs w:val="22"/>
          <w:lang w:val="it-IT"/>
        </w:rPr>
        <w:t>dall’incremento dei prezzi e dallo sviluppo molto positivo del mercato</w:t>
      </w:r>
      <w:r w:rsidR="00354741">
        <w:rPr>
          <w:rFonts w:cs="Segoe UI"/>
          <w:szCs w:val="22"/>
          <w:lang w:val="it-IT"/>
        </w:rPr>
        <w:t xml:space="preserve"> Hair.</w:t>
      </w:r>
    </w:p>
    <w:p w14:paraId="10BA0731" w14:textId="77777777" w:rsidR="00D44822" w:rsidRDefault="00D44822" w:rsidP="009C5716">
      <w:pPr>
        <w:rPr>
          <w:rFonts w:cs="Segoe UI"/>
          <w:szCs w:val="22"/>
          <w:lang w:val="it-IT"/>
        </w:rPr>
      </w:pPr>
    </w:p>
    <w:p w14:paraId="23550EFC" w14:textId="77777777" w:rsidR="00FF056B" w:rsidRDefault="00D44822" w:rsidP="00A71DF2">
      <w:pPr>
        <w:rPr>
          <w:rFonts w:cs="Segoe UI"/>
          <w:szCs w:val="22"/>
          <w:lang w:val="it-IT"/>
        </w:rPr>
      </w:pPr>
      <w:r w:rsidRPr="00EA33B4">
        <w:rPr>
          <w:rFonts w:cs="Segoe UI"/>
          <w:szCs w:val="22"/>
          <w:lang w:val="it-IT"/>
        </w:rPr>
        <w:t xml:space="preserve">Il </w:t>
      </w:r>
      <w:r w:rsidRPr="00EA33B4">
        <w:rPr>
          <w:rFonts w:cs="Segoe UI"/>
          <w:b/>
          <w:bCs/>
          <w:szCs w:val="22"/>
          <w:lang w:val="it-IT"/>
        </w:rPr>
        <w:t>margine operativo depurato</w:t>
      </w:r>
      <w:r w:rsidRPr="00EA33B4">
        <w:rPr>
          <w:rFonts w:cs="Segoe UI"/>
          <w:szCs w:val="22"/>
          <w:lang w:val="it-IT"/>
        </w:rPr>
        <w:t xml:space="preserve"> (EBIT depurato) è aumentato in misura significativa del </w:t>
      </w:r>
      <w:r>
        <w:rPr>
          <w:rFonts w:cs="Segoe UI"/>
          <w:szCs w:val="22"/>
          <w:lang w:val="it-IT"/>
        </w:rPr>
        <w:t>2</w:t>
      </w:r>
      <w:r w:rsidRPr="00EA33B4">
        <w:rPr>
          <w:rFonts w:cs="Segoe UI"/>
          <w:szCs w:val="22"/>
          <w:lang w:val="it-IT"/>
        </w:rPr>
        <w:t>0,</w:t>
      </w:r>
      <w:r>
        <w:rPr>
          <w:rFonts w:cs="Segoe UI"/>
          <w:szCs w:val="22"/>
          <w:lang w:val="it-IT"/>
        </w:rPr>
        <w:t>9</w:t>
      </w:r>
      <w:r w:rsidRPr="00EA33B4">
        <w:rPr>
          <w:rFonts w:cs="Segoe UI"/>
          <w:szCs w:val="22"/>
          <w:lang w:val="it-IT"/>
        </w:rPr>
        <w:t xml:space="preserve">% a </w:t>
      </w:r>
      <w:r w:rsidR="00A71DF2">
        <w:rPr>
          <w:rFonts w:cs="Segoe UI"/>
          <w:szCs w:val="22"/>
          <w:lang w:val="it-IT"/>
        </w:rPr>
        <w:t>3.089</w:t>
      </w:r>
      <w:r w:rsidRPr="00EA33B4">
        <w:rPr>
          <w:rFonts w:cs="Segoe UI"/>
          <w:szCs w:val="22"/>
          <w:lang w:val="it-IT"/>
        </w:rPr>
        <w:t xml:space="preserve"> milioni di euro (anno precedente: 2.</w:t>
      </w:r>
      <w:r w:rsidR="00A71DF2">
        <w:rPr>
          <w:rFonts w:cs="Segoe UI"/>
          <w:szCs w:val="22"/>
          <w:lang w:val="it-IT"/>
        </w:rPr>
        <w:t>556</w:t>
      </w:r>
      <w:r w:rsidRPr="00EA33B4">
        <w:rPr>
          <w:rFonts w:cs="Segoe UI"/>
          <w:szCs w:val="22"/>
          <w:lang w:val="it-IT"/>
        </w:rPr>
        <w:t xml:space="preserve"> milioni di euro). </w:t>
      </w:r>
    </w:p>
    <w:p w14:paraId="750B5245" w14:textId="77777777" w:rsidR="00FF056B" w:rsidRDefault="00FF056B" w:rsidP="00A71DF2">
      <w:pPr>
        <w:rPr>
          <w:rFonts w:cs="Segoe UI"/>
          <w:szCs w:val="22"/>
          <w:lang w:val="it-IT"/>
        </w:rPr>
      </w:pPr>
    </w:p>
    <w:p w14:paraId="37E1C007" w14:textId="6E5BBDCC" w:rsidR="00D44822" w:rsidRPr="00EA33B4" w:rsidRDefault="00A71DF2" w:rsidP="00A71DF2">
      <w:pPr>
        <w:rPr>
          <w:rFonts w:cs="Segoe UI"/>
          <w:szCs w:val="22"/>
          <w:lang w:val="it-IT"/>
        </w:rPr>
      </w:pPr>
      <w:r>
        <w:rPr>
          <w:rFonts w:cs="Segoe UI"/>
          <w:szCs w:val="22"/>
          <w:lang w:val="it-IT"/>
        </w:rPr>
        <w:t>I</w:t>
      </w:r>
      <w:r w:rsidR="00D44822" w:rsidRPr="00EA33B4">
        <w:rPr>
          <w:rFonts w:cs="Segoe UI"/>
          <w:szCs w:val="22"/>
          <w:lang w:val="it-IT"/>
        </w:rPr>
        <w:t xml:space="preserve">l </w:t>
      </w:r>
      <w:r w:rsidR="00D44822" w:rsidRPr="00EA33B4">
        <w:rPr>
          <w:rFonts w:cs="Segoe UI"/>
          <w:b/>
          <w:bCs/>
          <w:szCs w:val="22"/>
          <w:lang w:val="it-IT"/>
        </w:rPr>
        <w:t>tasso depurato di ritorno sulle vendite</w:t>
      </w:r>
      <w:r w:rsidR="00D44822" w:rsidRPr="00EA33B4">
        <w:rPr>
          <w:rFonts w:cs="Segoe UI"/>
          <w:szCs w:val="22"/>
          <w:lang w:val="it-IT"/>
        </w:rPr>
        <w:t xml:space="preserve"> (margine EBIT depurato) è stato del</w:t>
      </w:r>
      <w:r w:rsidR="00FF056B">
        <w:rPr>
          <w:rFonts w:cs="Segoe UI"/>
          <w:szCs w:val="22"/>
          <w:lang w:val="it-IT"/>
        </w:rPr>
        <w:t xml:space="preserve"> 14</w:t>
      </w:r>
      <w:r w:rsidR="00D44822" w:rsidRPr="00EA33B4">
        <w:rPr>
          <w:rFonts w:cs="Segoe UI"/>
          <w:szCs w:val="22"/>
          <w:lang w:val="it-IT"/>
        </w:rPr>
        <w:t>,</w:t>
      </w:r>
      <w:r w:rsidR="00FF056B">
        <w:rPr>
          <w:rFonts w:cs="Segoe UI"/>
          <w:szCs w:val="22"/>
          <w:lang w:val="it-IT"/>
        </w:rPr>
        <w:t>3</w:t>
      </w:r>
      <w:r w:rsidR="00D44822" w:rsidRPr="00EA33B4">
        <w:rPr>
          <w:rFonts w:cs="Segoe UI"/>
          <w:szCs w:val="22"/>
          <w:lang w:val="it-IT"/>
        </w:rPr>
        <w:t>%, molto più alto dell’anno precedente (202</w:t>
      </w:r>
      <w:r w:rsidR="00FF056B">
        <w:rPr>
          <w:rFonts w:cs="Segoe UI"/>
          <w:szCs w:val="22"/>
          <w:lang w:val="it-IT"/>
        </w:rPr>
        <w:t>3</w:t>
      </w:r>
      <w:r w:rsidR="00D44822" w:rsidRPr="00EA33B4">
        <w:rPr>
          <w:rFonts w:cs="Segoe UI"/>
          <w:szCs w:val="22"/>
          <w:lang w:val="it-IT"/>
        </w:rPr>
        <w:t>: 1</w:t>
      </w:r>
      <w:r w:rsidR="00FF056B">
        <w:rPr>
          <w:rFonts w:cs="Segoe UI"/>
          <w:szCs w:val="22"/>
          <w:lang w:val="it-IT"/>
        </w:rPr>
        <w:t>1</w:t>
      </w:r>
      <w:r w:rsidR="00D44822" w:rsidRPr="00EA33B4">
        <w:rPr>
          <w:rFonts w:cs="Segoe UI"/>
          <w:szCs w:val="22"/>
          <w:lang w:val="it-IT"/>
        </w:rPr>
        <w:t>,</w:t>
      </w:r>
      <w:r w:rsidR="00FF056B">
        <w:rPr>
          <w:rFonts w:cs="Segoe UI"/>
          <w:szCs w:val="22"/>
          <w:lang w:val="it-IT"/>
        </w:rPr>
        <w:t>9</w:t>
      </w:r>
      <w:r w:rsidR="00D44822" w:rsidRPr="00EA33B4">
        <w:rPr>
          <w:rFonts w:cs="Segoe UI"/>
          <w:szCs w:val="22"/>
          <w:lang w:val="it-IT"/>
        </w:rPr>
        <w:t>%).</w:t>
      </w:r>
    </w:p>
    <w:p w14:paraId="1C16C0A9" w14:textId="77777777" w:rsidR="00D44822" w:rsidRDefault="00D44822" w:rsidP="009C5716">
      <w:pPr>
        <w:rPr>
          <w:rFonts w:cs="Segoe UI"/>
          <w:szCs w:val="22"/>
          <w:lang w:val="it-IT"/>
        </w:rPr>
      </w:pPr>
    </w:p>
    <w:p w14:paraId="221740EF" w14:textId="6F152753" w:rsidR="00FF056B" w:rsidRPr="00EA33B4" w:rsidRDefault="00FF056B" w:rsidP="00FF056B">
      <w:pPr>
        <w:rPr>
          <w:rFonts w:cs="Segoe UI"/>
          <w:szCs w:val="22"/>
          <w:lang w:val="it-IT"/>
        </w:rPr>
      </w:pPr>
      <w:r w:rsidRPr="00EA33B4">
        <w:rPr>
          <w:rFonts w:cs="Segoe UI"/>
          <w:szCs w:val="22"/>
          <w:lang w:val="it-IT"/>
        </w:rPr>
        <w:t>L’</w:t>
      </w:r>
      <w:r w:rsidRPr="00EA33B4">
        <w:rPr>
          <w:rFonts w:cs="Segoe UI"/>
          <w:b/>
          <w:bCs/>
          <w:szCs w:val="22"/>
          <w:lang w:val="it-IT"/>
        </w:rPr>
        <w:t>utile depurato per azione privilegiata</w:t>
      </w:r>
      <w:r w:rsidRPr="00EA33B4">
        <w:rPr>
          <w:rFonts w:cs="Segoe UI"/>
          <w:szCs w:val="22"/>
          <w:lang w:val="it-IT"/>
        </w:rPr>
        <w:t xml:space="preserve"> è cresciuto </w:t>
      </w:r>
      <w:r>
        <w:rPr>
          <w:rFonts w:cs="Segoe UI"/>
          <w:szCs w:val="22"/>
          <w:lang w:val="it-IT"/>
        </w:rPr>
        <w:t>del 23,2</w:t>
      </w:r>
      <w:r w:rsidRPr="00EA33B4">
        <w:rPr>
          <w:rFonts w:cs="Segoe UI"/>
          <w:szCs w:val="22"/>
          <w:lang w:val="it-IT"/>
        </w:rPr>
        <w:t xml:space="preserve">% a </w:t>
      </w:r>
      <w:r w:rsidR="00200739">
        <w:rPr>
          <w:rFonts w:cs="Segoe UI"/>
          <w:szCs w:val="22"/>
          <w:lang w:val="it-IT"/>
        </w:rPr>
        <w:t>5,36</w:t>
      </w:r>
      <w:r w:rsidRPr="00EA33B4">
        <w:rPr>
          <w:rFonts w:cs="Segoe UI"/>
          <w:szCs w:val="22"/>
          <w:lang w:val="it-IT"/>
        </w:rPr>
        <w:t xml:space="preserve"> euro (anno precedente: </w:t>
      </w:r>
      <w:r w:rsidR="00200739">
        <w:rPr>
          <w:rFonts w:cs="Segoe UI"/>
          <w:szCs w:val="22"/>
          <w:lang w:val="it-IT"/>
        </w:rPr>
        <w:t>4</w:t>
      </w:r>
      <w:r w:rsidRPr="00EA33B4">
        <w:rPr>
          <w:rFonts w:cs="Segoe UI"/>
          <w:szCs w:val="22"/>
          <w:lang w:val="it-IT"/>
        </w:rPr>
        <w:t>,</w:t>
      </w:r>
      <w:r w:rsidR="00200739">
        <w:rPr>
          <w:rFonts w:cs="Segoe UI"/>
          <w:szCs w:val="22"/>
          <w:lang w:val="it-IT"/>
        </w:rPr>
        <w:t>35</w:t>
      </w:r>
      <w:r w:rsidRPr="00EA33B4">
        <w:rPr>
          <w:rFonts w:cs="Segoe UI"/>
          <w:szCs w:val="22"/>
          <w:lang w:val="it-IT"/>
        </w:rPr>
        <w:t xml:space="preserve"> euro). A tassi costanti di cambio, l’utile è aumentato del 2</w:t>
      </w:r>
      <w:r w:rsidR="00200739">
        <w:rPr>
          <w:rFonts w:cs="Segoe UI"/>
          <w:szCs w:val="22"/>
          <w:lang w:val="it-IT"/>
        </w:rPr>
        <w:t>5</w:t>
      </w:r>
      <w:r w:rsidRPr="00EA33B4">
        <w:rPr>
          <w:rFonts w:cs="Segoe UI"/>
          <w:szCs w:val="22"/>
          <w:lang w:val="it-IT"/>
        </w:rPr>
        <w:t>,</w:t>
      </w:r>
      <w:r w:rsidR="00200739">
        <w:rPr>
          <w:rFonts w:cs="Segoe UI"/>
          <w:szCs w:val="22"/>
          <w:lang w:val="it-IT"/>
        </w:rPr>
        <w:t>1</w:t>
      </w:r>
      <w:r w:rsidRPr="00EA33B4">
        <w:rPr>
          <w:rFonts w:cs="Segoe UI"/>
          <w:szCs w:val="22"/>
          <w:lang w:val="it-IT"/>
        </w:rPr>
        <w:t>%.</w:t>
      </w:r>
    </w:p>
    <w:p w14:paraId="7122E69D" w14:textId="77777777" w:rsidR="00FF056B" w:rsidRPr="00EA33B4" w:rsidRDefault="00FF056B" w:rsidP="00FF056B">
      <w:pPr>
        <w:rPr>
          <w:rFonts w:cs="Segoe UI"/>
          <w:szCs w:val="22"/>
          <w:lang w:val="it-IT"/>
        </w:rPr>
      </w:pPr>
    </w:p>
    <w:p w14:paraId="62F61469" w14:textId="56064F4C" w:rsidR="00FF056B" w:rsidRPr="00EA33B4" w:rsidRDefault="00FF056B" w:rsidP="00FF056B">
      <w:pPr>
        <w:rPr>
          <w:rFonts w:cs="Segoe UI"/>
          <w:szCs w:val="22"/>
          <w:lang w:val="it-IT"/>
        </w:rPr>
      </w:pPr>
      <w:r w:rsidRPr="00EA33B4">
        <w:rPr>
          <w:rFonts w:cs="Segoe UI"/>
          <w:szCs w:val="22"/>
          <w:lang w:val="it-IT"/>
        </w:rPr>
        <w:t xml:space="preserve">Il </w:t>
      </w:r>
      <w:r w:rsidRPr="00EA33B4">
        <w:rPr>
          <w:rFonts w:cs="Segoe UI"/>
          <w:b/>
          <w:bCs/>
          <w:szCs w:val="22"/>
          <w:lang w:val="it-IT"/>
        </w:rPr>
        <w:t>capitale circolante netto</w:t>
      </w:r>
      <w:r w:rsidRPr="00EA33B4">
        <w:rPr>
          <w:rFonts w:cs="Segoe UI"/>
          <w:szCs w:val="22"/>
          <w:lang w:val="it-IT"/>
        </w:rPr>
        <w:t xml:space="preserve"> in percentuale sui ricavi è stato pari al </w:t>
      </w:r>
      <w:r w:rsidR="00200739">
        <w:rPr>
          <w:rFonts w:cs="Segoe UI"/>
          <w:szCs w:val="22"/>
          <w:lang w:val="it-IT"/>
        </w:rPr>
        <w:t>3</w:t>
      </w:r>
      <w:r w:rsidRPr="00EA33B4">
        <w:rPr>
          <w:rFonts w:cs="Segoe UI"/>
          <w:szCs w:val="22"/>
          <w:lang w:val="it-IT"/>
        </w:rPr>
        <w:t xml:space="preserve">%, più </w:t>
      </w:r>
      <w:r w:rsidR="00200739">
        <w:rPr>
          <w:rFonts w:cs="Segoe UI"/>
          <w:szCs w:val="22"/>
          <w:lang w:val="it-IT"/>
        </w:rPr>
        <w:t>alto</w:t>
      </w:r>
      <w:r w:rsidRPr="00EA33B4">
        <w:rPr>
          <w:rFonts w:cs="Segoe UI"/>
          <w:szCs w:val="22"/>
          <w:lang w:val="it-IT"/>
        </w:rPr>
        <w:t xml:space="preserve"> del precedente anno fiscale (202</w:t>
      </w:r>
      <w:r w:rsidR="00200739">
        <w:rPr>
          <w:rFonts w:cs="Segoe UI"/>
          <w:szCs w:val="22"/>
          <w:lang w:val="it-IT"/>
        </w:rPr>
        <w:t>3</w:t>
      </w:r>
      <w:r w:rsidRPr="00EA33B4">
        <w:rPr>
          <w:rFonts w:cs="Segoe UI"/>
          <w:szCs w:val="22"/>
          <w:lang w:val="it-IT"/>
        </w:rPr>
        <w:t xml:space="preserve">: </w:t>
      </w:r>
      <w:r w:rsidR="00200739">
        <w:rPr>
          <w:rFonts w:cs="Segoe UI"/>
          <w:szCs w:val="22"/>
          <w:lang w:val="it-IT"/>
        </w:rPr>
        <w:t>2,6</w:t>
      </w:r>
      <w:r w:rsidRPr="00EA33B4">
        <w:rPr>
          <w:rFonts w:cs="Segoe UI"/>
          <w:szCs w:val="22"/>
          <w:lang w:val="it-IT"/>
        </w:rPr>
        <w:t>%).</w:t>
      </w:r>
    </w:p>
    <w:p w14:paraId="2A0F2550" w14:textId="77777777" w:rsidR="00FF056B" w:rsidRDefault="00FF056B" w:rsidP="009C5716">
      <w:pPr>
        <w:rPr>
          <w:rFonts w:cs="Segoe UI"/>
          <w:szCs w:val="22"/>
          <w:lang w:val="it-IT"/>
        </w:rPr>
      </w:pPr>
    </w:p>
    <w:p w14:paraId="7FB223E6" w14:textId="275AD332" w:rsidR="002073FD" w:rsidRPr="00EA33B4" w:rsidRDefault="002073FD" w:rsidP="002073FD">
      <w:pPr>
        <w:rPr>
          <w:rFonts w:cs="Segoe UI"/>
          <w:szCs w:val="22"/>
          <w:lang w:val="it-IT"/>
        </w:rPr>
      </w:pPr>
      <w:r w:rsidRPr="00EA33B4">
        <w:rPr>
          <w:rFonts w:cs="Segoe UI"/>
          <w:szCs w:val="22"/>
          <w:lang w:val="it-IT"/>
        </w:rPr>
        <w:t>Il</w:t>
      </w:r>
      <w:r w:rsidRPr="00EA33B4">
        <w:rPr>
          <w:rFonts w:cs="Segoe UI"/>
          <w:b/>
          <w:bCs/>
          <w:szCs w:val="22"/>
          <w:lang w:val="it-IT"/>
        </w:rPr>
        <w:t xml:space="preserve"> flusso libero di cassa </w:t>
      </w:r>
      <w:r w:rsidRPr="00EA33B4">
        <w:rPr>
          <w:rFonts w:cs="Segoe UI"/>
          <w:szCs w:val="22"/>
          <w:lang w:val="it-IT"/>
        </w:rPr>
        <w:t xml:space="preserve">ha toccato </w:t>
      </w:r>
      <w:r>
        <w:rPr>
          <w:rFonts w:cs="Segoe UI"/>
          <w:szCs w:val="22"/>
          <w:lang w:val="it-IT"/>
        </w:rPr>
        <w:t>i</w:t>
      </w:r>
      <w:r w:rsidRPr="00EA33B4">
        <w:rPr>
          <w:rFonts w:cs="Segoe UI"/>
          <w:szCs w:val="22"/>
          <w:lang w:val="it-IT"/>
        </w:rPr>
        <w:t xml:space="preserve"> </w:t>
      </w:r>
      <w:r w:rsidRPr="000E6DD7">
        <w:rPr>
          <w:rFonts w:cs="Segoe UI"/>
          <w:szCs w:val="22"/>
          <w:lang w:val="it-IT"/>
        </w:rPr>
        <w:t>2</w:t>
      </w:r>
      <w:r>
        <w:rPr>
          <w:rFonts w:cs="Segoe UI"/>
          <w:szCs w:val="22"/>
          <w:lang w:val="it-IT"/>
        </w:rPr>
        <w:t>.</w:t>
      </w:r>
      <w:r w:rsidRPr="000E6DD7">
        <w:rPr>
          <w:rFonts w:cs="Segoe UI"/>
          <w:szCs w:val="22"/>
          <w:lang w:val="it-IT"/>
        </w:rPr>
        <w:t xml:space="preserve">362 </w:t>
      </w:r>
      <w:r w:rsidRPr="00EA33B4">
        <w:rPr>
          <w:rFonts w:cs="Segoe UI"/>
          <w:szCs w:val="22"/>
          <w:lang w:val="it-IT"/>
        </w:rPr>
        <w:t xml:space="preserve">milioni di euro, </w:t>
      </w:r>
      <w:r w:rsidR="000B67D7">
        <w:rPr>
          <w:rFonts w:cs="Segoe UI"/>
          <w:szCs w:val="22"/>
          <w:lang w:val="it-IT"/>
        </w:rPr>
        <w:t>in calo</w:t>
      </w:r>
      <w:r w:rsidRPr="00EA33B4">
        <w:rPr>
          <w:rFonts w:cs="Segoe UI"/>
          <w:szCs w:val="22"/>
          <w:lang w:val="it-IT"/>
        </w:rPr>
        <w:t xml:space="preserve"> rispetto all’anno precedente (202</w:t>
      </w:r>
      <w:r w:rsidR="000B67D7">
        <w:rPr>
          <w:rFonts w:cs="Segoe UI"/>
          <w:szCs w:val="22"/>
          <w:lang w:val="it-IT"/>
        </w:rPr>
        <w:t>3</w:t>
      </w:r>
      <w:r w:rsidRPr="00EA33B4">
        <w:rPr>
          <w:rFonts w:cs="Segoe UI"/>
          <w:szCs w:val="22"/>
          <w:lang w:val="it-IT"/>
        </w:rPr>
        <w:t>: 2.603 milioni di euro)</w:t>
      </w:r>
      <w:r w:rsidR="00701FA7">
        <w:rPr>
          <w:rFonts w:cs="Segoe UI"/>
          <w:szCs w:val="22"/>
          <w:lang w:val="it-IT"/>
        </w:rPr>
        <w:t>. Il risultato dell’anno scorso era stato positivamente impattato dalla normalizzazione del capitale circolante netto.</w:t>
      </w:r>
    </w:p>
    <w:p w14:paraId="70182E01" w14:textId="77777777" w:rsidR="002073FD" w:rsidRPr="00EA33B4" w:rsidRDefault="002073FD" w:rsidP="002073FD">
      <w:pPr>
        <w:rPr>
          <w:rFonts w:cs="Segoe UI"/>
          <w:szCs w:val="22"/>
          <w:lang w:val="it-IT"/>
        </w:rPr>
      </w:pPr>
    </w:p>
    <w:p w14:paraId="6AA9DB84" w14:textId="28C57DA0" w:rsidR="002073FD" w:rsidRPr="00EA33B4" w:rsidRDefault="002073FD" w:rsidP="002073FD">
      <w:pPr>
        <w:rPr>
          <w:rFonts w:cs="Segoe UI"/>
          <w:szCs w:val="22"/>
          <w:lang w:val="it-IT"/>
        </w:rPr>
      </w:pPr>
      <w:r w:rsidRPr="00EA33B4">
        <w:rPr>
          <w:rFonts w:cs="Segoe UI"/>
          <w:szCs w:val="22"/>
          <w:lang w:val="it-IT"/>
        </w:rPr>
        <w:t xml:space="preserve">In conseguenza di quanto illustrato, la </w:t>
      </w:r>
      <w:r w:rsidRPr="00EA33B4">
        <w:rPr>
          <w:rFonts w:cs="Segoe UI"/>
          <w:b/>
          <w:bCs/>
          <w:szCs w:val="22"/>
          <w:lang w:val="it-IT"/>
        </w:rPr>
        <w:t>posizione finanziaria netta</w:t>
      </w:r>
      <w:r w:rsidRPr="00EA33B4">
        <w:rPr>
          <w:rFonts w:cs="Segoe UI"/>
          <w:szCs w:val="22"/>
          <w:lang w:val="it-IT"/>
        </w:rPr>
        <w:t xml:space="preserve"> è </w:t>
      </w:r>
      <w:r w:rsidR="00AB1CDD">
        <w:rPr>
          <w:rFonts w:cs="Segoe UI"/>
          <w:szCs w:val="22"/>
          <w:lang w:val="it-IT"/>
        </w:rPr>
        <w:t>stata pari a -93</w:t>
      </w:r>
      <w:r w:rsidRPr="00EA33B4">
        <w:rPr>
          <w:rFonts w:cs="Segoe UI"/>
          <w:szCs w:val="22"/>
          <w:lang w:val="it-IT"/>
        </w:rPr>
        <w:t xml:space="preserve"> milioni di euro</w:t>
      </w:r>
      <w:r w:rsidR="00AB1CDD">
        <w:rPr>
          <w:rFonts w:cs="Segoe UI"/>
          <w:szCs w:val="22"/>
          <w:lang w:val="it-IT"/>
        </w:rPr>
        <w:t xml:space="preserve">, inferiore allo scorso anno </w:t>
      </w:r>
      <w:r w:rsidRPr="00EA33B4">
        <w:rPr>
          <w:rFonts w:cs="Segoe UI"/>
          <w:szCs w:val="22"/>
          <w:lang w:val="it-IT"/>
        </w:rPr>
        <w:t>(</w:t>
      </w:r>
      <w:r w:rsidR="00AB1CDD">
        <w:rPr>
          <w:rFonts w:cs="Segoe UI"/>
          <w:szCs w:val="22"/>
          <w:lang w:val="it-IT"/>
        </w:rPr>
        <w:t>12</w:t>
      </w:r>
      <w:r w:rsidRPr="00EA33B4">
        <w:rPr>
          <w:rFonts w:cs="Segoe UI"/>
          <w:szCs w:val="22"/>
          <w:lang w:val="it-IT"/>
        </w:rPr>
        <w:t xml:space="preserve"> milioni di euro al 31 dicembre 202</w:t>
      </w:r>
      <w:r w:rsidR="00AB1CDD">
        <w:rPr>
          <w:rFonts w:cs="Segoe UI"/>
          <w:szCs w:val="22"/>
          <w:lang w:val="it-IT"/>
        </w:rPr>
        <w:t>3</w:t>
      </w:r>
      <w:r w:rsidRPr="00EA33B4">
        <w:rPr>
          <w:rFonts w:cs="Segoe UI"/>
          <w:szCs w:val="22"/>
          <w:lang w:val="it-IT"/>
        </w:rPr>
        <w:t>)</w:t>
      </w:r>
      <w:r w:rsidR="00C8500D">
        <w:rPr>
          <w:rFonts w:cs="Segoe UI"/>
          <w:szCs w:val="22"/>
          <w:lang w:val="it-IT"/>
        </w:rPr>
        <w:t xml:space="preserve"> per effetto dei pagamenti sostenuti per le acquisizioni.</w:t>
      </w:r>
    </w:p>
    <w:p w14:paraId="3DEA2576" w14:textId="77777777" w:rsidR="009C5716" w:rsidRPr="000E6DD7" w:rsidRDefault="009C5716" w:rsidP="009C5716">
      <w:pPr>
        <w:rPr>
          <w:rFonts w:cs="Segoe UI"/>
          <w:szCs w:val="22"/>
          <w:lang w:val="it-IT"/>
        </w:rPr>
      </w:pPr>
    </w:p>
    <w:p w14:paraId="69B62795" w14:textId="38A94F8F" w:rsidR="00C8500D" w:rsidRPr="00EA33B4" w:rsidRDefault="00C8500D" w:rsidP="00DB3767">
      <w:pPr>
        <w:contextualSpacing/>
        <w:rPr>
          <w:rFonts w:cs="Segoe UI"/>
          <w:lang w:val="it-IT"/>
        </w:rPr>
      </w:pPr>
      <w:r w:rsidRPr="00EA33B4">
        <w:rPr>
          <w:rFonts w:cs="Segoe UI"/>
          <w:lang w:val="it-IT"/>
        </w:rPr>
        <w:t>Il prossimo 2</w:t>
      </w:r>
      <w:r>
        <w:rPr>
          <w:rFonts w:cs="Segoe UI"/>
          <w:lang w:val="it-IT"/>
        </w:rPr>
        <w:t>8</w:t>
      </w:r>
      <w:r w:rsidRPr="00EA33B4">
        <w:rPr>
          <w:rFonts w:cs="Segoe UI"/>
          <w:lang w:val="it-IT"/>
        </w:rPr>
        <w:t xml:space="preserve"> aprile, in occasione dell’Annual General Meeting, sarà proposto agli azionisti </w:t>
      </w:r>
      <w:r w:rsidR="00BA62E9">
        <w:rPr>
          <w:rFonts w:cs="Segoe UI"/>
          <w:lang w:val="it-IT"/>
        </w:rPr>
        <w:t>l’</w:t>
      </w:r>
      <w:r w:rsidR="00BA62E9" w:rsidRPr="00BA62E9">
        <w:rPr>
          <w:rFonts w:cs="Segoe UI"/>
          <w:b/>
          <w:bCs/>
          <w:lang w:val="it-IT"/>
        </w:rPr>
        <w:t xml:space="preserve">aumento del </w:t>
      </w:r>
      <w:r w:rsidRPr="00EA33B4">
        <w:rPr>
          <w:rFonts w:cs="Segoe UI"/>
          <w:b/>
          <w:bCs/>
          <w:lang w:val="it-IT"/>
        </w:rPr>
        <w:t>dividendo</w:t>
      </w:r>
      <w:r w:rsidRPr="00EA33B4">
        <w:rPr>
          <w:rFonts w:cs="Segoe UI"/>
          <w:lang w:val="it-IT"/>
        </w:rPr>
        <w:t xml:space="preserve"> rispetto all’anno passato</w:t>
      </w:r>
      <w:r w:rsidR="003B5C8C" w:rsidRPr="003B5C8C">
        <w:rPr>
          <w:rFonts w:cs="Segoe UI"/>
          <w:lang w:val="it-IT"/>
        </w:rPr>
        <w:t xml:space="preserve"> </w:t>
      </w:r>
      <w:r w:rsidR="003B5C8C">
        <w:rPr>
          <w:rFonts w:cs="Segoe UI"/>
          <w:lang w:val="it-IT"/>
        </w:rPr>
        <w:t>pari al 10,3%</w:t>
      </w:r>
      <w:r w:rsidRPr="00EA33B4">
        <w:rPr>
          <w:rFonts w:cs="Segoe UI"/>
          <w:lang w:val="it-IT"/>
        </w:rPr>
        <w:t xml:space="preserve">, ovvero </w:t>
      </w:r>
      <w:r w:rsidR="003B5C8C">
        <w:rPr>
          <w:rFonts w:cs="Segoe UI"/>
          <w:lang w:val="it-IT"/>
        </w:rPr>
        <w:t>2</w:t>
      </w:r>
      <w:r w:rsidRPr="00EA33B4">
        <w:rPr>
          <w:rFonts w:cs="Segoe UI"/>
          <w:lang w:val="it-IT"/>
        </w:rPr>
        <w:t>,</w:t>
      </w:r>
      <w:r w:rsidR="003B5C8C">
        <w:rPr>
          <w:rFonts w:cs="Segoe UI"/>
          <w:lang w:val="it-IT"/>
        </w:rPr>
        <w:t>04</w:t>
      </w:r>
      <w:r w:rsidRPr="00EA33B4">
        <w:rPr>
          <w:rFonts w:cs="Segoe UI"/>
          <w:lang w:val="it-IT"/>
        </w:rPr>
        <w:t xml:space="preserve"> euro per azione privilegiata e </w:t>
      </w:r>
      <w:r w:rsidR="003B5C8C">
        <w:rPr>
          <w:rFonts w:cs="Segoe UI"/>
          <w:lang w:val="it-IT"/>
        </w:rPr>
        <w:t>2,02</w:t>
      </w:r>
      <w:r w:rsidRPr="00EA33B4">
        <w:rPr>
          <w:rFonts w:cs="Segoe UI"/>
          <w:lang w:val="it-IT"/>
        </w:rPr>
        <w:t xml:space="preserve"> euro per azione ordinaria. Questo corrisponde a un rapporto di payout del </w:t>
      </w:r>
      <w:r w:rsidR="003B5C8C">
        <w:rPr>
          <w:rFonts w:cs="Segoe UI"/>
          <w:lang w:val="it-IT"/>
        </w:rPr>
        <w:t>37,9</w:t>
      </w:r>
      <w:r w:rsidRPr="00EA33B4">
        <w:rPr>
          <w:rFonts w:cs="Segoe UI"/>
          <w:lang w:val="it-IT"/>
        </w:rPr>
        <w:t xml:space="preserve">%, che è </w:t>
      </w:r>
      <w:r w:rsidR="00087E4E">
        <w:rPr>
          <w:rFonts w:cs="Segoe UI"/>
          <w:lang w:val="it-IT"/>
        </w:rPr>
        <w:t>nella</w:t>
      </w:r>
      <w:r w:rsidRPr="00EA33B4">
        <w:rPr>
          <w:rFonts w:cs="Segoe UI"/>
          <w:lang w:val="it-IT"/>
        </w:rPr>
        <w:t xml:space="preserve"> fascia tra il 30 e il 40% indicata come obiettivo</w:t>
      </w:r>
      <w:r w:rsidR="00087E4E">
        <w:rPr>
          <w:rFonts w:cs="Segoe UI"/>
          <w:lang w:val="it-IT"/>
        </w:rPr>
        <w:t>.</w:t>
      </w:r>
      <w:r w:rsidRPr="00EA33B4">
        <w:rPr>
          <w:rFonts w:cs="Segoe UI"/>
          <w:lang w:val="it-IT"/>
        </w:rPr>
        <w:t xml:space="preserve"> </w:t>
      </w:r>
      <w:r w:rsidR="00087E4E">
        <w:rPr>
          <w:rFonts w:cs="Segoe UI"/>
          <w:lang w:val="it-IT"/>
        </w:rPr>
        <w:t xml:space="preserve">L’incremento è possibile </w:t>
      </w:r>
      <w:r w:rsidR="00DB3767">
        <w:rPr>
          <w:rFonts w:cs="Segoe UI"/>
          <w:lang w:val="it-IT"/>
        </w:rPr>
        <w:t>grazie alla solida performance di Henkel e alla solida base finanziaria dell’azienda.</w:t>
      </w:r>
    </w:p>
    <w:p w14:paraId="36DCB324" w14:textId="3747D662" w:rsidR="009C5716" w:rsidRDefault="009C5716" w:rsidP="009C5716">
      <w:pPr>
        <w:spacing w:line="240" w:lineRule="auto"/>
        <w:jc w:val="left"/>
        <w:rPr>
          <w:rFonts w:cs="Segoe UI"/>
          <w:lang w:val="it-IT"/>
        </w:rPr>
      </w:pPr>
    </w:p>
    <w:p w14:paraId="5A07FFF7" w14:textId="77777777" w:rsidR="003E0872" w:rsidRPr="000E6DD7" w:rsidRDefault="003E0872" w:rsidP="003E0872">
      <w:pPr>
        <w:spacing w:after="120"/>
        <w:rPr>
          <w:rFonts w:cs="Segoe UI"/>
          <w:b/>
          <w:szCs w:val="22"/>
          <w:lang w:val="it-IT"/>
        </w:rPr>
      </w:pPr>
    </w:p>
    <w:p w14:paraId="7FF37BB2" w14:textId="196512AE" w:rsidR="003E0872" w:rsidRPr="000E6DD7" w:rsidRDefault="003E0872" w:rsidP="003E0872">
      <w:pPr>
        <w:spacing w:after="120"/>
        <w:rPr>
          <w:rFonts w:cs="Segoe UI"/>
          <w:bCs/>
          <w:szCs w:val="22"/>
          <w:lang w:val="it-IT"/>
        </w:rPr>
      </w:pPr>
      <w:r w:rsidRPr="000E6DD7">
        <w:rPr>
          <w:rFonts w:cs="Segoe UI"/>
          <w:b/>
          <w:szCs w:val="22"/>
          <w:lang w:val="it-IT"/>
        </w:rPr>
        <w:t xml:space="preserve">Nota: </w:t>
      </w:r>
      <w:r w:rsidRPr="000E6DD7">
        <w:rPr>
          <w:rFonts w:cs="Segoe UI"/>
          <w:bCs/>
          <w:szCs w:val="22"/>
          <w:lang w:val="it-IT"/>
        </w:rPr>
        <w:t xml:space="preserve">il comunicato stampa integrale è disponibile in inglese </w:t>
      </w:r>
      <w:r w:rsidR="00E1484A" w:rsidRPr="000E6DD7">
        <w:rPr>
          <w:rFonts w:cs="Segoe UI"/>
          <w:bCs/>
          <w:szCs w:val="22"/>
          <w:lang w:val="it-IT"/>
        </w:rPr>
        <w:t>su</w:t>
      </w:r>
      <w:r w:rsidRPr="000E6DD7">
        <w:rPr>
          <w:rFonts w:cs="Segoe UI"/>
          <w:bCs/>
          <w:szCs w:val="22"/>
          <w:lang w:val="it-IT"/>
        </w:rPr>
        <w:t xml:space="preserve"> </w:t>
      </w:r>
      <w:hyperlink r:id="rId12" w:history="1">
        <w:r w:rsidRPr="00224CBD">
          <w:rPr>
            <w:rStyle w:val="Collegamentoipertestuale"/>
            <w:rFonts w:cs="Segoe UI"/>
            <w:bCs/>
            <w:sz w:val="22"/>
            <w:szCs w:val="22"/>
            <w:lang w:val="it-IT"/>
          </w:rPr>
          <w:t>Henkel.com</w:t>
        </w:r>
      </w:hyperlink>
    </w:p>
    <w:p w14:paraId="0C4040D2" w14:textId="77777777" w:rsidR="003E0872" w:rsidRPr="000E6DD7" w:rsidRDefault="003E0872" w:rsidP="00AE4DA4">
      <w:pPr>
        <w:rPr>
          <w:rFonts w:cs="Segoe UI"/>
          <w:szCs w:val="22"/>
          <w:lang w:val="it-IT"/>
        </w:rPr>
      </w:pPr>
    </w:p>
    <w:p w14:paraId="049AF738" w14:textId="77777777" w:rsidR="00E779F7" w:rsidRPr="000E6DD7" w:rsidRDefault="00E779F7" w:rsidP="00263D33">
      <w:pPr>
        <w:rPr>
          <w:rFonts w:cs="Segoe UI"/>
          <w:szCs w:val="22"/>
          <w:lang w:val="it-IT"/>
        </w:rPr>
      </w:pPr>
    </w:p>
    <w:p w14:paraId="291D08FA" w14:textId="77777777" w:rsidR="001547C8" w:rsidRPr="000E6DD7" w:rsidRDefault="001547C8" w:rsidP="001547C8">
      <w:pPr>
        <w:spacing w:line="240" w:lineRule="auto"/>
        <w:jc w:val="left"/>
        <w:rPr>
          <w:rStyle w:val="AboutandContactHeadline"/>
          <w:rFonts w:cs="Segoe UI"/>
          <w:b w:val="0"/>
          <w:bCs w:val="0"/>
          <w:sz w:val="17"/>
          <w:szCs w:val="17"/>
          <w:lang w:val="it-IT"/>
        </w:rPr>
      </w:pPr>
      <w:r w:rsidRPr="000E6DD7">
        <w:rPr>
          <w:rStyle w:val="AboutandContactHeadline"/>
          <w:sz w:val="17"/>
          <w:szCs w:val="17"/>
          <w:lang w:val="it-IT"/>
        </w:rPr>
        <w:t xml:space="preserve">Informazioni su Henkel </w:t>
      </w:r>
    </w:p>
    <w:p w14:paraId="59EE1DFC" w14:textId="77777777" w:rsidR="001547C8" w:rsidRPr="000E6DD7" w:rsidRDefault="001547C8" w:rsidP="001547C8">
      <w:pPr>
        <w:rPr>
          <w:rStyle w:val="AboutandContactBody"/>
          <w:sz w:val="17"/>
          <w:szCs w:val="17"/>
          <w:lang w:val="it-IT"/>
        </w:rPr>
      </w:pPr>
    </w:p>
    <w:p w14:paraId="1F012B1C" w14:textId="2039AB9C" w:rsidR="001547C8" w:rsidRPr="000E6DD7" w:rsidRDefault="001547C8" w:rsidP="001547C8">
      <w:pPr>
        <w:rPr>
          <w:rStyle w:val="Collegamentoipertestuale"/>
          <w:rFonts w:asciiTheme="minorHAnsi" w:hAnsiTheme="minorHAnsi" w:cstheme="minorHAnsi"/>
          <w:b/>
          <w:bCs/>
          <w:color w:val="auto"/>
          <w:sz w:val="17"/>
          <w:szCs w:val="17"/>
          <w:u w:val="none"/>
          <w:lang w:val="it-IT"/>
        </w:rPr>
      </w:pPr>
      <w:r w:rsidRPr="000E6DD7">
        <w:rPr>
          <w:rStyle w:val="AboutandContactBody"/>
          <w:sz w:val="17"/>
          <w:szCs w:val="17"/>
          <w:lang w:val="it-IT"/>
        </w:rPr>
        <w:t xml:space="preserve">Con i suoi marchi, innovazioni e tecnologie, Henkel detiene posizioni di leadership sia nel settore industriale sia nel largo consumo. La business unit Adhesive Technologies è leader globale nel mercato degli adesivi, dei sigillanti e dei rivestimenti funzionali. Con Consumer Brands, l’azienda vanta posizioni di leadership nei segmenti della cura dei capelli, del bucato e </w:t>
      </w:r>
      <w:r w:rsidRPr="000E6DD7">
        <w:rPr>
          <w:rStyle w:val="AboutandContactBody"/>
          <w:sz w:val="17"/>
          <w:szCs w:val="17"/>
          <w:lang w:val="it-IT"/>
        </w:rPr>
        <w:lastRenderedPageBreak/>
        <w:t>della pulizia della casa in molti mercati e categorie in diversi Paesi del mondo. I tre marchi principali sono Loctite, Persil (Dixan in Italia) e Schwarzkopf. Nel 202</w:t>
      </w:r>
      <w:r w:rsidR="00D02A3B">
        <w:rPr>
          <w:rStyle w:val="AboutandContactBody"/>
          <w:sz w:val="17"/>
          <w:szCs w:val="17"/>
          <w:lang w:val="it-IT"/>
        </w:rPr>
        <w:t>4</w:t>
      </w:r>
      <w:r w:rsidRPr="000E6DD7">
        <w:rPr>
          <w:rStyle w:val="AboutandContactBody"/>
          <w:sz w:val="17"/>
          <w:szCs w:val="17"/>
          <w:lang w:val="it-IT"/>
        </w:rPr>
        <w:t xml:space="preserve"> Henkel ha registrato un fatturato complessivo di oltre 21,</w:t>
      </w:r>
      <w:r w:rsidR="00D02A3B">
        <w:rPr>
          <w:rStyle w:val="AboutandContactBody"/>
          <w:sz w:val="17"/>
          <w:szCs w:val="17"/>
          <w:lang w:val="it-IT"/>
        </w:rPr>
        <w:t>6</w:t>
      </w:r>
      <w:r w:rsidRPr="000E6DD7">
        <w:rPr>
          <w:rStyle w:val="AboutandContactBody"/>
          <w:sz w:val="17"/>
          <w:szCs w:val="17"/>
          <w:lang w:val="it-IT"/>
        </w:rPr>
        <w:t xml:space="preserve"> miliardi di euro, con un margine operativo depurato pari a circa </w:t>
      </w:r>
      <w:r w:rsidR="00D02A3B">
        <w:rPr>
          <w:rStyle w:val="AboutandContactBody"/>
          <w:sz w:val="17"/>
          <w:szCs w:val="17"/>
          <w:lang w:val="it-IT"/>
        </w:rPr>
        <w:t xml:space="preserve">3,1 </w:t>
      </w:r>
      <w:r w:rsidRPr="000E6DD7">
        <w:rPr>
          <w:rStyle w:val="AboutandContactBody"/>
          <w:sz w:val="17"/>
          <w:szCs w:val="17"/>
          <w:lang w:val="it-IT"/>
        </w:rPr>
        <w:t>miliardi di euro. Le azioni privilegiate Henkel sono quotate presso la Borsa tedesca secondo l'indice DAX. Lo sviluppo sostenibile ha una lunga tradizione in Henkel, che ha una chiara strategia di sostenibilità con obiettivi concreti. Fondata nel 1876, Henkel impiega circa 4</w:t>
      </w:r>
      <w:r w:rsidR="00276754">
        <w:rPr>
          <w:rStyle w:val="AboutandContactBody"/>
          <w:sz w:val="17"/>
          <w:szCs w:val="17"/>
          <w:lang w:val="it-IT"/>
        </w:rPr>
        <w:t>7</w:t>
      </w:r>
      <w:r w:rsidRPr="000E6DD7">
        <w:rPr>
          <w:rStyle w:val="AboutandContactBody"/>
          <w:sz w:val="17"/>
          <w:szCs w:val="17"/>
          <w:lang w:val="it-IT"/>
        </w:rPr>
        <w:t xml:space="preserve">.000 collaboratori nel mondo – un team eterogeneo, unito da una forte cultura aziendale, valori condivisi e un purpose comune: “Pionieri nel cuore per il bene di intere generazioni”. Per maggiori informazioni, visitate il sito </w:t>
      </w:r>
      <w:hyperlink r:id="rId13" w:history="1">
        <w:r w:rsidRPr="000E6DD7">
          <w:rPr>
            <w:rStyle w:val="Collegamentoipertestuale"/>
            <w:sz w:val="17"/>
            <w:szCs w:val="17"/>
            <w:lang w:val="it-IT"/>
          </w:rPr>
          <w:t>www.henkel.com</w:t>
        </w:r>
      </w:hyperlink>
      <w:r w:rsidRPr="000E6DD7">
        <w:rPr>
          <w:rStyle w:val="AboutandContactBody"/>
          <w:sz w:val="17"/>
          <w:szCs w:val="17"/>
          <w:lang w:val="it-IT"/>
        </w:rPr>
        <w:t xml:space="preserve"> </w:t>
      </w:r>
    </w:p>
    <w:p w14:paraId="0ADF8D7E" w14:textId="77777777" w:rsidR="001547C8" w:rsidRPr="000E6DD7" w:rsidRDefault="001547C8" w:rsidP="001547C8">
      <w:pPr>
        <w:tabs>
          <w:tab w:val="left" w:pos="1080"/>
          <w:tab w:val="left" w:pos="4500"/>
        </w:tabs>
        <w:spacing w:line="264" w:lineRule="auto"/>
        <w:rPr>
          <w:rStyle w:val="AboutandContactBody"/>
          <w:rFonts w:asciiTheme="majorHAnsi" w:hAnsiTheme="majorHAnsi" w:cs="Calibri Light"/>
          <w:bCs/>
          <w:szCs w:val="18"/>
          <w:lang w:val="it-IT"/>
        </w:rPr>
      </w:pPr>
    </w:p>
    <w:p w14:paraId="3D43D6B7" w14:textId="77777777" w:rsidR="001547C8" w:rsidRDefault="001547C8" w:rsidP="001547C8">
      <w:pPr>
        <w:tabs>
          <w:tab w:val="left" w:pos="1080"/>
          <w:tab w:val="left" w:pos="4500"/>
        </w:tabs>
        <w:spacing w:line="264" w:lineRule="auto"/>
        <w:rPr>
          <w:rStyle w:val="AboutandContactBody"/>
          <w:rFonts w:asciiTheme="majorHAnsi" w:hAnsiTheme="majorHAnsi" w:cs="Calibri Light"/>
          <w:bCs/>
          <w:szCs w:val="18"/>
          <w:lang w:val="it-IT"/>
        </w:rPr>
      </w:pPr>
    </w:p>
    <w:p w14:paraId="6E91104E" w14:textId="77777777" w:rsidR="001547C8" w:rsidRPr="000E6DD7" w:rsidRDefault="001547C8" w:rsidP="001547C8">
      <w:pPr>
        <w:tabs>
          <w:tab w:val="left" w:pos="1080"/>
          <w:tab w:val="left" w:pos="4500"/>
        </w:tabs>
        <w:rPr>
          <w:rStyle w:val="AboutandContactBody"/>
          <w:rFonts w:asciiTheme="majorHAnsi" w:hAnsiTheme="majorHAnsi" w:cstheme="majorHAnsi"/>
          <w:b/>
          <w:sz w:val="17"/>
          <w:szCs w:val="17"/>
          <w:lang w:val="it-IT"/>
        </w:rPr>
      </w:pPr>
      <w:r w:rsidRPr="000E6DD7">
        <w:rPr>
          <w:rStyle w:val="AboutandContactBody"/>
          <w:rFonts w:asciiTheme="majorHAnsi" w:hAnsiTheme="majorHAnsi" w:cstheme="majorHAnsi"/>
          <w:b/>
          <w:sz w:val="17"/>
          <w:szCs w:val="17"/>
          <w:lang w:val="it-IT"/>
        </w:rPr>
        <w:t xml:space="preserve">Per informazioni alla stampa: </w:t>
      </w:r>
    </w:p>
    <w:p w14:paraId="4E2B7AC5" w14:textId="77777777" w:rsidR="001547C8" w:rsidRPr="000E6DD7" w:rsidRDefault="001547C8" w:rsidP="001547C8">
      <w:pPr>
        <w:tabs>
          <w:tab w:val="left" w:pos="1080"/>
          <w:tab w:val="left" w:pos="4500"/>
        </w:tabs>
        <w:rPr>
          <w:rStyle w:val="AboutandContactBody"/>
          <w:rFonts w:asciiTheme="majorHAnsi" w:hAnsiTheme="majorHAnsi" w:cstheme="majorHAnsi"/>
          <w:b/>
          <w:sz w:val="17"/>
          <w:szCs w:val="17"/>
          <w:lang w:val="it-IT"/>
        </w:rPr>
      </w:pPr>
    </w:p>
    <w:p w14:paraId="7511A9E9" w14:textId="77777777" w:rsidR="001547C8" w:rsidRPr="000E6DD7" w:rsidRDefault="001547C8" w:rsidP="001547C8">
      <w:pPr>
        <w:tabs>
          <w:tab w:val="left" w:pos="1080"/>
          <w:tab w:val="left" w:pos="4500"/>
        </w:tabs>
        <w:rPr>
          <w:rStyle w:val="AboutandContactBody"/>
          <w:rFonts w:asciiTheme="majorHAnsi" w:hAnsiTheme="majorHAnsi" w:cstheme="majorHAnsi"/>
          <w:b/>
          <w:sz w:val="17"/>
          <w:szCs w:val="17"/>
          <w:lang w:val="it-IT"/>
        </w:rPr>
      </w:pPr>
      <w:r w:rsidRPr="000E6DD7">
        <w:rPr>
          <w:rStyle w:val="AboutandContactBody"/>
          <w:rFonts w:asciiTheme="majorHAnsi" w:hAnsiTheme="majorHAnsi" w:cstheme="majorHAnsi"/>
          <w:b/>
          <w:sz w:val="17"/>
          <w:szCs w:val="17"/>
          <w:lang w:val="it-IT"/>
        </w:rPr>
        <w:t>Giusi Viani</w:t>
      </w:r>
      <w:r w:rsidRPr="000E6DD7">
        <w:rPr>
          <w:rStyle w:val="AboutandContactBody"/>
          <w:rFonts w:asciiTheme="majorHAnsi" w:hAnsiTheme="majorHAnsi" w:cstheme="majorHAnsi"/>
          <w:b/>
          <w:sz w:val="17"/>
          <w:szCs w:val="17"/>
          <w:lang w:val="it-IT"/>
        </w:rPr>
        <w:tab/>
      </w:r>
      <w:r w:rsidRPr="000E6DD7">
        <w:rPr>
          <w:rStyle w:val="AboutandContactBody"/>
          <w:rFonts w:asciiTheme="majorHAnsi" w:hAnsiTheme="majorHAnsi" w:cstheme="majorHAnsi"/>
          <w:b/>
          <w:sz w:val="17"/>
          <w:szCs w:val="17"/>
          <w:lang w:val="it-IT"/>
        </w:rPr>
        <w:tab/>
        <w:t xml:space="preserve">Silvia Vergani </w:t>
      </w:r>
      <w:r w:rsidRPr="000E6DD7">
        <w:rPr>
          <w:rStyle w:val="AboutandContactBody"/>
          <w:rFonts w:asciiTheme="majorHAnsi" w:hAnsiTheme="majorHAnsi" w:cstheme="majorHAnsi"/>
          <w:b/>
          <w:sz w:val="17"/>
          <w:szCs w:val="17"/>
          <w:lang w:val="it-IT"/>
        </w:rPr>
        <w:tab/>
      </w:r>
    </w:p>
    <w:p w14:paraId="41B04163" w14:textId="77777777" w:rsidR="001547C8" w:rsidRPr="000E6DD7" w:rsidRDefault="001547C8" w:rsidP="001547C8">
      <w:pPr>
        <w:tabs>
          <w:tab w:val="left" w:pos="1080"/>
          <w:tab w:val="left" w:pos="4500"/>
        </w:tabs>
        <w:rPr>
          <w:rStyle w:val="AboutandContactBody"/>
          <w:rFonts w:asciiTheme="majorHAnsi" w:hAnsiTheme="majorHAnsi" w:cstheme="majorHAnsi"/>
          <w:b/>
          <w:sz w:val="17"/>
          <w:szCs w:val="17"/>
          <w:lang w:val="it-IT"/>
        </w:rPr>
      </w:pPr>
      <w:r w:rsidRPr="000E6DD7">
        <w:rPr>
          <w:rStyle w:val="AboutandContactBody"/>
          <w:rFonts w:asciiTheme="majorHAnsi" w:hAnsiTheme="majorHAnsi" w:cstheme="majorHAnsi"/>
          <w:bCs/>
          <w:sz w:val="17"/>
          <w:szCs w:val="17"/>
          <w:lang w:val="it-IT"/>
        </w:rPr>
        <w:t>Head of Corporate Communications, Henkel Italia</w:t>
      </w:r>
      <w:r w:rsidRPr="000E6DD7">
        <w:rPr>
          <w:rStyle w:val="AboutandContactBody"/>
          <w:rFonts w:asciiTheme="majorHAnsi" w:hAnsiTheme="majorHAnsi" w:cstheme="majorHAnsi"/>
          <w:b/>
          <w:sz w:val="17"/>
          <w:szCs w:val="17"/>
          <w:lang w:val="it-IT"/>
        </w:rPr>
        <w:tab/>
      </w:r>
      <w:r w:rsidRPr="000E6DD7">
        <w:rPr>
          <w:rStyle w:val="AboutandContactBody"/>
          <w:rFonts w:asciiTheme="majorHAnsi" w:hAnsiTheme="majorHAnsi" w:cstheme="majorHAnsi"/>
          <w:bCs/>
          <w:sz w:val="17"/>
          <w:szCs w:val="17"/>
          <w:lang w:val="it-IT"/>
        </w:rPr>
        <w:t>Corporate Communications Consultant, Henkel Italia</w:t>
      </w:r>
      <w:r w:rsidRPr="000E6DD7">
        <w:rPr>
          <w:rStyle w:val="AboutandContactBody"/>
          <w:rFonts w:asciiTheme="majorHAnsi" w:hAnsiTheme="majorHAnsi" w:cstheme="majorHAnsi"/>
          <w:b/>
          <w:sz w:val="17"/>
          <w:szCs w:val="17"/>
          <w:lang w:val="it-IT"/>
        </w:rPr>
        <w:t xml:space="preserve"> </w:t>
      </w:r>
    </w:p>
    <w:p w14:paraId="410D5E19" w14:textId="77777777" w:rsidR="001547C8" w:rsidRPr="000E6DD7" w:rsidRDefault="001547C8" w:rsidP="001547C8">
      <w:pPr>
        <w:tabs>
          <w:tab w:val="left" w:pos="1080"/>
          <w:tab w:val="left" w:pos="4500"/>
        </w:tabs>
        <w:rPr>
          <w:rStyle w:val="Collegamentoipertestuale"/>
          <w:rFonts w:asciiTheme="majorHAnsi" w:hAnsiTheme="majorHAnsi" w:cstheme="majorHAnsi"/>
          <w:bCs/>
          <w:sz w:val="17"/>
          <w:szCs w:val="17"/>
          <w:lang w:val="it-IT"/>
        </w:rPr>
      </w:pPr>
      <w:r w:rsidRPr="000E6DD7">
        <w:rPr>
          <w:rStyle w:val="AboutandContactBody"/>
          <w:rFonts w:asciiTheme="majorHAnsi" w:hAnsiTheme="majorHAnsi" w:cstheme="majorHAnsi"/>
          <w:bCs/>
          <w:sz w:val="17"/>
          <w:szCs w:val="17"/>
          <w:lang w:val="it-IT"/>
        </w:rPr>
        <w:t xml:space="preserve">E-mail: </w:t>
      </w:r>
      <w:hyperlink r:id="rId14" w:history="1">
        <w:r w:rsidRPr="000E6DD7">
          <w:rPr>
            <w:rStyle w:val="Collegamentoipertestuale"/>
            <w:rFonts w:asciiTheme="majorHAnsi" w:hAnsiTheme="majorHAnsi" w:cstheme="majorHAnsi"/>
            <w:bCs/>
            <w:sz w:val="17"/>
            <w:szCs w:val="17"/>
            <w:lang w:val="it-IT"/>
          </w:rPr>
          <w:t>giusi.viani@henkel.com</w:t>
        </w:r>
      </w:hyperlink>
      <w:r w:rsidRPr="000E6DD7">
        <w:rPr>
          <w:rStyle w:val="AboutandContactBody"/>
          <w:rFonts w:asciiTheme="majorHAnsi" w:hAnsiTheme="majorHAnsi" w:cstheme="majorHAnsi"/>
          <w:bCs/>
          <w:sz w:val="17"/>
          <w:szCs w:val="17"/>
          <w:lang w:val="it-IT"/>
        </w:rPr>
        <w:t xml:space="preserve"> </w:t>
      </w:r>
      <w:r w:rsidRPr="000E6DD7">
        <w:rPr>
          <w:rStyle w:val="AboutandContactBody"/>
          <w:rFonts w:asciiTheme="majorHAnsi" w:hAnsiTheme="majorHAnsi" w:cstheme="majorHAnsi"/>
          <w:bCs/>
          <w:sz w:val="17"/>
          <w:szCs w:val="17"/>
          <w:lang w:val="it-IT"/>
        </w:rPr>
        <w:tab/>
        <w:t xml:space="preserve">E-mail: </w:t>
      </w:r>
      <w:hyperlink r:id="rId15" w:history="1">
        <w:r w:rsidRPr="000E6DD7">
          <w:rPr>
            <w:rStyle w:val="Collegamentoipertestuale"/>
            <w:rFonts w:asciiTheme="majorHAnsi" w:hAnsiTheme="majorHAnsi" w:cstheme="majorHAnsi"/>
            <w:bCs/>
            <w:sz w:val="17"/>
            <w:szCs w:val="17"/>
            <w:lang w:val="it-IT"/>
          </w:rPr>
          <w:t>silvia.vergani@henkel.com</w:t>
        </w:r>
      </w:hyperlink>
    </w:p>
    <w:p w14:paraId="5E32D214" w14:textId="77777777" w:rsidR="005268DA" w:rsidRPr="000E6DD7" w:rsidRDefault="005268DA" w:rsidP="008359B8">
      <w:pPr>
        <w:pStyle w:val="He01Flietext"/>
        <w:rPr>
          <w:rStyle w:val="AboutandContactBody"/>
          <w:rFonts w:eastAsia="Times New Roman" w:cs="Times New Roman"/>
          <w:sz w:val="14"/>
          <w:szCs w:val="14"/>
          <w:lang w:val="it-IT"/>
        </w:rPr>
      </w:pPr>
    </w:p>
    <w:p w14:paraId="716EF5DB" w14:textId="77777777" w:rsidR="001547C8" w:rsidRPr="000E6DD7" w:rsidRDefault="001547C8" w:rsidP="008359B8">
      <w:pPr>
        <w:pStyle w:val="He01Flietext"/>
        <w:rPr>
          <w:rStyle w:val="AboutandContactBody"/>
          <w:rFonts w:eastAsia="Times New Roman" w:cs="Times New Roman"/>
          <w:sz w:val="14"/>
          <w:szCs w:val="14"/>
          <w:lang w:val="it-IT"/>
        </w:rPr>
      </w:pPr>
    </w:p>
    <w:p w14:paraId="32EA1D8F" w14:textId="5EB23CE1" w:rsidR="008359B8" w:rsidRPr="000E6DD7" w:rsidRDefault="008359B8" w:rsidP="000E5054">
      <w:pPr>
        <w:pStyle w:val="He01Flietext"/>
        <w:jc w:val="both"/>
        <w:rPr>
          <w:rStyle w:val="AboutandContactBody"/>
          <w:rFonts w:eastAsia="Times New Roman" w:cs="Times New Roman"/>
          <w:sz w:val="14"/>
          <w:szCs w:val="14"/>
          <w:lang w:val="it-IT"/>
        </w:rPr>
      </w:pPr>
      <w:r w:rsidRPr="000E6DD7">
        <w:rPr>
          <w:rStyle w:val="AboutandContactBody"/>
          <w:rFonts w:eastAsia="Times New Roman" w:cs="Times New Roman"/>
          <w:sz w:val="14"/>
          <w:szCs w:val="14"/>
          <w:lang w:val="it-IT"/>
        </w:rPr>
        <w:t>This document contains statements referring to future business development, financial performance and other events or developments of future relevance for Henkel that may constitute forward-looking statements. Statements with respect to the future are characterized by the use of words such as expect, intend, plan, anticipate, believe, estimate, and similar terms. Such statements are based on current estimates and assumptions made by the corporate management of Henkel AG &amp; Co. KGaA. These statements are not to be understood as in any way guaranteeing that those expectations will turn out to be accurate. Future performance and results actually achieved by Henkel AG &amp; Co. KGaA and its affiliated companies depend on a number of risks and uncertainties and may therefore differ materially (both positively and negatively) from the forward-looking statements. Many of these factors are outside Henkel’s control and cannot be accurately estimated in advance, such as the future economic environment and the actions of competitors and others involved in the marketplace. Henkel neither plans nor undertakes to update forward-looking statements.</w:t>
      </w:r>
    </w:p>
    <w:p w14:paraId="5A7CCB78" w14:textId="77777777" w:rsidR="008359B8" w:rsidRPr="000E6DD7" w:rsidRDefault="008359B8" w:rsidP="000E5054">
      <w:pPr>
        <w:pStyle w:val="He01Flietext"/>
        <w:jc w:val="both"/>
        <w:rPr>
          <w:rStyle w:val="AboutandContactBody"/>
          <w:rFonts w:eastAsia="Times New Roman" w:cs="Times New Roman"/>
          <w:sz w:val="14"/>
          <w:szCs w:val="14"/>
          <w:lang w:val="it-IT"/>
        </w:rPr>
      </w:pPr>
      <w:r w:rsidRPr="000E6DD7">
        <w:rPr>
          <w:rStyle w:val="AboutandContactBody"/>
          <w:rFonts w:eastAsia="Times New Roman" w:cs="Times New Roman"/>
          <w:sz w:val="14"/>
          <w:szCs w:val="14"/>
          <w:lang w:val="it-IT"/>
        </w:rPr>
        <w:t>This document includes supplemental financial indicators that are not clearly defined in the applicable financial reporting framework and that are or may be alternative performance measures. These supplemental financial indicators should not be viewed in isolation or as alternatives to measures of Henkel’s net assets and financial position or results of operations as presented in accordance with the applicable financial reporting framework in its Consolidated Financial Statements. Other companies that report or describe similarly titled alternative performance measures may calculate them differently.</w:t>
      </w:r>
    </w:p>
    <w:p w14:paraId="0096903E" w14:textId="77777777" w:rsidR="008359B8" w:rsidRPr="000E6DD7" w:rsidRDefault="008359B8" w:rsidP="000E5054">
      <w:pPr>
        <w:pStyle w:val="He01Flietext"/>
        <w:jc w:val="both"/>
        <w:rPr>
          <w:rStyle w:val="AboutandContactBody"/>
          <w:rFonts w:eastAsia="Times New Roman" w:cs="Times New Roman"/>
          <w:sz w:val="14"/>
          <w:szCs w:val="14"/>
          <w:lang w:val="it-IT"/>
        </w:rPr>
      </w:pPr>
      <w:r w:rsidRPr="000E6DD7">
        <w:rPr>
          <w:rStyle w:val="AboutandContactBody"/>
          <w:rFonts w:eastAsia="Times New Roman" w:cs="Times New Roman"/>
          <w:sz w:val="14"/>
          <w:szCs w:val="14"/>
          <w:lang w:val="it-IT"/>
        </w:rPr>
        <w:t>This document has been issued for information purposes only and is not intended to constitute an investment advice or an offer to sell, or a solicitation of an offer to buy, any securities.</w:t>
      </w:r>
    </w:p>
    <w:p w14:paraId="57290813" w14:textId="77777777" w:rsidR="00196A14" w:rsidRPr="000E6DD7" w:rsidRDefault="00196A14" w:rsidP="000E5054">
      <w:pPr>
        <w:tabs>
          <w:tab w:val="left" w:pos="1080"/>
          <w:tab w:val="left" w:pos="4500"/>
        </w:tabs>
        <w:spacing w:line="264" w:lineRule="auto"/>
        <w:rPr>
          <w:rFonts w:asciiTheme="majorHAnsi" w:eastAsia="PMingLiU" w:hAnsiTheme="majorHAnsi" w:cs="Calibri Light"/>
          <w:b/>
          <w:sz w:val="18"/>
          <w:szCs w:val="18"/>
          <w:lang w:val="it-IT"/>
        </w:rPr>
      </w:pPr>
    </w:p>
    <w:p w14:paraId="23552B25" w14:textId="61B864EC" w:rsidR="00A15D78" w:rsidRPr="000E6DD7" w:rsidRDefault="00A15D78" w:rsidP="008359B8">
      <w:pPr>
        <w:tabs>
          <w:tab w:val="left" w:pos="1080"/>
          <w:tab w:val="left" w:pos="4500"/>
        </w:tabs>
        <w:spacing w:line="264" w:lineRule="auto"/>
        <w:rPr>
          <w:rStyle w:val="AboutandContactBody"/>
          <w:rFonts w:eastAsia="PMingLiU"/>
          <w:color w:val="9A141B"/>
          <w:lang w:val="it-IT"/>
        </w:rPr>
      </w:pPr>
    </w:p>
    <w:sectPr w:rsidR="00A15D78" w:rsidRPr="000E6DD7" w:rsidSect="00A41DBE">
      <w:headerReference w:type="even" r:id="rId16"/>
      <w:footerReference w:type="default" r:id="rId17"/>
      <w:headerReference w:type="first" r:id="rId18"/>
      <w:footerReference w:type="first" r:id="rId19"/>
      <w:pgSz w:w="11907" w:h="16840" w:code="9"/>
      <w:pgMar w:top="1944" w:right="1411" w:bottom="1843"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D753C" w14:textId="77777777" w:rsidR="007723A9" w:rsidRDefault="007723A9">
      <w:r>
        <w:separator/>
      </w:r>
    </w:p>
  </w:endnote>
  <w:endnote w:type="continuationSeparator" w:id="0">
    <w:p w14:paraId="462D4236" w14:textId="77777777" w:rsidR="007723A9" w:rsidRDefault="007723A9">
      <w:r>
        <w:continuationSeparator/>
      </w:r>
    </w:p>
  </w:endnote>
  <w:endnote w:type="continuationNotice" w:id="1">
    <w:p w14:paraId="4EA03ABA" w14:textId="77777777" w:rsidR="007723A9" w:rsidRDefault="007723A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0C9" w14:textId="322B7E84" w:rsidR="00CF6F33" w:rsidRPr="00112A28" w:rsidRDefault="00112A28" w:rsidP="00112A28">
    <w:pPr>
      <w:pStyle w:val="Pidipagina"/>
      <w:tabs>
        <w:tab w:val="clear" w:pos="7083"/>
        <w:tab w:val="clear" w:pos="8640"/>
        <w:tab w:val="right" w:pos="9071"/>
      </w:tabs>
      <w:jc w:val="both"/>
    </w:pPr>
    <w:r w:rsidRPr="00BF6E82">
      <w:t>Henkel AG &amp; Co. KGaA</w:t>
    </w:r>
    <w:r>
      <w:tab/>
    </w:r>
    <w:r w:rsidR="008359B8">
      <w:t>Pag</w:t>
    </w:r>
    <w:r w:rsidR="00D0695F">
      <w:t>ina</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A058E" w14:textId="7072D6F8" w:rsidR="00CF6F33" w:rsidRPr="00992A11" w:rsidRDefault="009E5B95" w:rsidP="00992A11">
    <w:pPr>
      <w:pStyle w:val="Pidipagina"/>
    </w:pPr>
    <w:r w:rsidRPr="00E143D5">
      <w:drawing>
        <wp:inline distT="0" distB="0" distL="0" distR="0" wp14:anchorId="1C787FF5" wp14:editId="3BB9191E">
          <wp:extent cx="5139221" cy="548005"/>
          <wp:effectExtent l="0" t="0" r="444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219094" cy="556522"/>
                  </a:xfrm>
                  <a:prstGeom prst="rect">
                    <a:avLst/>
                  </a:prstGeom>
                  <a:ln>
                    <a:noFill/>
                  </a:ln>
                  <a:extLst>
                    <a:ext uri="{53640926-AAD7-44D8-BBD7-CCE9431645EC}">
                      <a14:shadowObscured xmlns:a14="http://schemas.microsoft.com/office/drawing/2010/main"/>
                    </a:ext>
                  </a:extLst>
                </pic:spPr>
              </pic:pic>
            </a:graphicData>
          </a:graphic>
        </wp:inline>
      </w:drawing>
    </w:r>
    <w:r w:rsidR="00F73EDC">
      <w:t>Pagina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9F840" w14:textId="77777777" w:rsidR="007723A9" w:rsidRDefault="007723A9">
      <w:r>
        <w:separator/>
      </w:r>
    </w:p>
  </w:footnote>
  <w:footnote w:type="continuationSeparator" w:id="0">
    <w:p w14:paraId="6DF0C06F" w14:textId="77777777" w:rsidR="007723A9" w:rsidRDefault="007723A9">
      <w:r>
        <w:continuationSeparator/>
      </w:r>
    </w:p>
  </w:footnote>
  <w:footnote w:type="continuationNotice" w:id="1">
    <w:p w14:paraId="27732C5A" w14:textId="77777777" w:rsidR="007723A9" w:rsidRDefault="007723A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6010" w14:textId="15F4833C"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653066876" name="Grafik 1653066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4BCF86A4" id="Group 16"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5F7B5C">
      <w:rPr>
        <w:noProof/>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AC"/>
    <w:multiLevelType w:val="hybridMultilevel"/>
    <w:tmpl w:val="13B0B26E"/>
    <w:lvl w:ilvl="0" w:tplc="7F22C7A8">
      <w:start w:val="1"/>
      <w:numFmt w:val="bullet"/>
      <w:pStyle w:val="He01FlietextAufzhlung1Ebene"/>
      <w:lvlText w:val=""/>
      <w:lvlJc w:val="left"/>
      <w:pPr>
        <w:ind w:left="36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E4621"/>
    <w:multiLevelType w:val="hybridMultilevel"/>
    <w:tmpl w:val="44BEA6F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4" w15:restartNumberingAfterBreak="0">
    <w:nsid w:val="1294669F"/>
    <w:multiLevelType w:val="hybridMultilevel"/>
    <w:tmpl w:val="541E7E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233B2"/>
    <w:multiLevelType w:val="hybridMultilevel"/>
    <w:tmpl w:val="70ECA632"/>
    <w:lvl w:ilvl="0" w:tplc="4B4C214C">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FFFFFFFF"/>
    <w:lvl w:ilvl="0" w:tplc="3FDAE620">
      <w:start w:val="1"/>
      <w:numFmt w:val="bullet"/>
      <w:pStyle w:val="He01FlietextAufzhlung2Ebene"/>
      <w:lvlText w:val="–"/>
      <w:lvlJc w:val="left"/>
      <w:pPr>
        <w:ind w:left="700" w:hanging="360"/>
      </w:pPr>
      <w:rPr>
        <w:rFonts w:ascii="Segoe UI" w:hAnsi="Segoe UI" w:hint="default"/>
        <w:color w:val="E1000F"/>
      </w:rPr>
    </w:lvl>
    <w:lvl w:ilvl="1" w:tplc="04070003" w:tentative="1">
      <w:start w:val="1"/>
      <w:numFmt w:val="bullet"/>
      <w:lvlText w:val="o"/>
      <w:lvlJc w:val="left"/>
      <w:pPr>
        <w:ind w:left="1780" w:hanging="360"/>
      </w:pPr>
      <w:rPr>
        <w:rFonts w:ascii="Courier New" w:hAnsi="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246F7BE2"/>
    <w:multiLevelType w:val="hybridMultilevel"/>
    <w:tmpl w:val="44144422"/>
    <w:lvl w:ilvl="0" w:tplc="FFFFFFFF">
      <w:start w:val="1"/>
      <w:numFmt w:val="bullet"/>
      <w:lvlText w:val=""/>
      <w:lvlJc w:val="left"/>
      <w:pPr>
        <w:ind w:left="360" w:hanging="360"/>
      </w:pPr>
      <w:rPr>
        <w:rFonts w:ascii="Wingdings" w:hAnsi="Wingdings" w:hint="default"/>
        <w:color w:val="E1000F"/>
      </w:rPr>
    </w:lvl>
    <w:lvl w:ilvl="1" w:tplc="0407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1" w15:restartNumberingAfterBreak="0">
    <w:nsid w:val="52C76F01"/>
    <w:multiLevelType w:val="hybridMultilevel"/>
    <w:tmpl w:val="D040BA96"/>
    <w:lvl w:ilvl="0" w:tplc="FFFFFFFF">
      <w:start w:val="1"/>
      <w:numFmt w:val="bullet"/>
      <w:lvlText w:val=""/>
      <w:lvlJc w:val="left"/>
      <w:pPr>
        <w:ind w:left="720" w:hanging="360"/>
      </w:pPr>
      <w:rPr>
        <w:rFonts w:ascii="Wingdings" w:hAnsi="Wingdings" w:hint="default"/>
        <w:color w:val="E1000F"/>
      </w:rPr>
    </w:lvl>
    <w:lvl w:ilvl="1" w:tplc="4B4C214C">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136284"/>
    <w:multiLevelType w:val="hybridMultilevel"/>
    <w:tmpl w:val="81B8DC94"/>
    <w:lvl w:ilvl="0" w:tplc="FFFFFFFF">
      <w:start w:val="1"/>
      <w:numFmt w:val="bullet"/>
      <w:lvlText w:val=""/>
      <w:lvlJc w:val="left"/>
      <w:pPr>
        <w:ind w:left="720" w:hanging="360"/>
      </w:pPr>
      <w:rPr>
        <w:rFonts w:ascii="Wingdings" w:hAnsi="Wingdings" w:hint="default"/>
        <w:color w:val="E1000F"/>
      </w:rPr>
    </w:lvl>
    <w:lvl w:ilvl="1" w:tplc="FFFFFFFF">
      <w:start w:val="1"/>
      <w:numFmt w:val="bullet"/>
      <w:lvlText w:val=""/>
      <w:lvlJc w:val="left"/>
      <w:pPr>
        <w:ind w:left="1440" w:hanging="360"/>
      </w:pPr>
      <w:rPr>
        <w:rFonts w:ascii="Wingdings" w:hAnsi="Wingdings" w:hint="default"/>
        <w:color w:val="E1000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2C72573"/>
    <w:multiLevelType w:val="hybridMultilevel"/>
    <w:tmpl w:val="D354C796"/>
    <w:lvl w:ilvl="0" w:tplc="4B4C214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6BB6FB3"/>
    <w:multiLevelType w:val="hybridMultilevel"/>
    <w:tmpl w:val="FD7E88F4"/>
    <w:lvl w:ilvl="0" w:tplc="A86EF76C">
      <w:start w:val="1"/>
      <w:numFmt w:val="bullet"/>
      <w:lvlText w:val=""/>
      <w:lvlJc w:val="left"/>
      <w:pPr>
        <w:ind w:left="720" w:hanging="360"/>
      </w:pPr>
      <w:rPr>
        <w:rFonts w:ascii="Wingdings" w:hAnsi="Wingdings" w:hint="default"/>
        <w:color w:val="E1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AB624AF"/>
    <w:multiLevelType w:val="hybridMultilevel"/>
    <w:tmpl w:val="F534948E"/>
    <w:lvl w:ilvl="0" w:tplc="4B4C214C">
      <w:start w:val="1"/>
      <w:numFmt w:val="bullet"/>
      <w:lvlText w:val=""/>
      <w:lvlJc w:val="left"/>
      <w:pPr>
        <w:ind w:left="720" w:hanging="360"/>
      </w:pPr>
      <w:rPr>
        <w:rFonts w:ascii="Wingdings" w:hAnsi="Wingdings" w:hint="default"/>
        <w:color w:val="E1000F"/>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EA90A4E"/>
    <w:multiLevelType w:val="hybridMultilevel"/>
    <w:tmpl w:val="27BE010E"/>
    <w:lvl w:ilvl="0" w:tplc="FFFFFFFF">
      <w:start w:val="1"/>
      <w:numFmt w:val="bullet"/>
      <w:lvlText w:val=""/>
      <w:lvlJc w:val="left"/>
      <w:pPr>
        <w:ind w:left="720" w:hanging="360"/>
      </w:pPr>
      <w:rPr>
        <w:rFonts w:ascii="Wingdings" w:hAnsi="Wingdings" w:hint="default"/>
        <w:color w:val="E1000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7AB00033"/>
    <w:multiLevelType w:val="hybridMultilevel"/>
    <w:tmpl w:val="44CCA5EE"/>
    <w:lvl w:ilvl="0" w:tplc="04070005">
      <w:start w:val="1"/>
      <w:numFmt w:val="bullet"/>
      <w:lvlText w:val=""/>
      <w:lvlJc w:val="left"/>
      <w:pPr>
        <w:ind w:left="360" w:hanging="360"/>
      </w:pPr>
      <w:rPr>
        <w:rFonts w:ascii="Wingdings" w:hAnsi="Wingdings" w:hint="default"/>
        <w:color w:val="E1000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7FA665EF"/>
    <w:multiLevelType w:val="hybridMultilevel"/>
    <w:tmpl w:val="48E87122"/>
    <w:lvl w:ilvl="0" w:tplc="B23C1DBE">
      <w:start w:val="1"/>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1322993">
    <w:abstractNumId w:val="2"/>
  </w:num>
  <w:num w:numId="2" w16cid:durableId="165293174">
    <w:abstractNumId w:val="1"/>
  </w:num>
  <w:num w:numId="3" w16cid:durableId="1508134485">
    <w:abstractNumId w:val="16"/>
  </w:num>
  <w:num w:numId="4" w16cid:durableId="1234970366">
    <w:abstractNumId w:val="10"/>
  </w:num>
  <w:num w:numId="5" w16cid:durableId="1008554684">
    <w:abstractNumId w:val="7"/>
  </w:num>
  <w:num w:numId="6" w16cid:durableId="933825870">
    <w:abstractNumId w:val="12"/>
  </w:num>
  <w:num w:numId="7" w16cid:durableId="912852597">
    <w:abstractNumId w:val="9"/>
  </w:num>
  <w:num w:numId="8" w16cid:durableId="1625698526">
    <w:abstractNumId w:val="15"/>
  </w:num>
  <w:num w:numId="9" w16cid:durableId="1415131532">
    <w:abstractNumId w:val="0"/>
  </w:num>
  <w:num w:numId="10" w16cid:durableId="1753891704">
    <w:abstractNumId w:val="19"/>
  </w:num>
  <w:num w:numId="11" w16cid:durableId="1821996854">
    <w:abstractNumId w:val="8"/>
  </w:num>
  <w:num w:numId="12" w16cid:durableId="1174342575">
    <w:abstractNumId w:val="0"/>
  </w:num>
  <w:num w:numId="13" w16cid:durableId="421489921">
    <w:abstractNumId w:val="3"/>
  </w:num>
  <w:num w:numId="14" w16cid:durableId="2017075722">
    <w:abstractNumId w:val="4"/>
  </w:num>
  <w:num w:numId="15" w16cid:durableId="809250421">
    <w:abstractNumId w:val="17"/>
  </w:num>
  <w:num w:numId="16" w16cid:durableId="642275258">
    <w:abstractNumId w:val="13"/>
  </w:num>
  <w:num w:numId="17" w16cid:durableId="1280260482">
    <w:abstractNumId w:val="11"/>
  </w:num>
  <w:num w:numId="18" w16cid:durableId="1581863752">
    <w:abstractNumId w:val="5"/>
  </w:num>
  <w:num w:numId="19" w16cid:durableId="1326934875">
    <w:abstractNumId w:val="14"/>
  </w:num>
  <w:num w:numId="20" w16cid:durableId="1780683395">
    <w:abstractNumId w:val="20"/>
  </w:num>
  <w:num w:numId="21" w16cid:durableId="359860641">
    <w:abstractNumId w:val="18"/>
  </w:num>
  <w:num w:numId="22" w16cid:durableId="865828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4AE8"/>
    <w:rsid w:val="00004F3C"/>
    <w:rsid w:val="00005267"/>
    <w:rsid w:val="00005B6A"/>
    <w:rsid w:val="000061E7"/>
    <w:rsid w:val="00006346"/>
    <w:rsid w:val="000069EB"/>
    <w:rsid w:val="00006A45"/>
    <w:rsid w:val="00014FC1"/>
    <w:rsid w:val="00016137"/>
    <w:rsid w:val="00020DC3"/>
    <w:rsid w:val="00021C67"/>
    <w:rsid w:val="0002285D"/>
    <w:rsid w:val="00024147"/>
    <w:rsid w:val="00024483"/>
    <w:rsid w:val="000256A9"/>
    <w:rsid w:val="00026187"/>
    <w:rsid w:val="00026EEE"/>
    <w:rsid w:val="000301F0"/>
    <w:rsid w:val="00030557"/>
    <w:rsid w:val="00030701"/>
    <w:rsid w:val="00030F51"/>
    <w:rsid w:val="00032894"/>
    <w:rsid w:val="000343EB"/>
    <w:rsid w:val="0003527B"/>
    <w:rsid w:val="00035A84"/>
    <w:rsid w:val="00040816"/>
    <w:rsid w:val="00040CC9"/>
    <w:rsid w:val="00041F81"/>
    <w:rsid w:val="000425ED"/>
    <w:rsid w:val="0004361D"/>
    <w:rsid w:val="00045CCB"/>
    <w:rsid w:val="000503C6"/>
    <w:rsid w:val="00050F4D"/>
    <w:rsid w:val="000510FC"/>
    <w:rsid w:val="00051555"/>
    <w:rsid w:val="00051E86"/>
    <w:rsid w:val="00054AFE"/>
    <w:rsid w:val="0005544E"/>
    <w:rsid w:val="000575F9"/>
    <w:rsid w:val="00061172"/>
    <w:rsid w:val="000618FC"/>
    <w:rsid w:val="000626BD"/>
    <w:rsid w:val="000642B7"/>
    <w:rsid w:val="00065466"/>
    <w:rsid w:val="00066072"/>
    <w:rsid w:val="000664A8"/>
    <w:rsid w:val="000665F3"/>
    <w:rsid w:val="00067071"/>
    <w:rsid w:val="00067A65"/>
    <w:rsid w:val="00067F67"/>
    <w:rsid w:val="00070652"/>
    <w:rsid w:val="00070757"/>
    <w:rsid w:val="00071284"/>
    <w:rsid w:val="00073AED"/>
    <w:rsid w:val="000751A7"/>
    <w:rsid w:val="0007746E"/>
    <w:rsid w:val="00077AF9"/>
    <w:rsid w:val="00077CEF"/>
    <w:rsid w:val="00080372"/>
    <w:rsid w:val="00080D10"/>
    <w:rsid w:val="00081241"/>
    <w:rsid w:val="00081692"/>
    <w:rsid w:val="00081EF8"/>
    <w:rsid w:val="00082417"/>
    <w:rsid w:val="00083012"/>
    <w:rsid w:val="0008357F"/>
    <w:rsid w:val="00083A35"/>
    <w:rsid w:val="00083A61"/>
    <w:rsid w:val="00083DAB"/>
    <w:rsid w:val="00083EF3"/>
    <w:rsid w:val="0008406B"/>
    <w:rsid w:val="00084918"/>
    <w:rsid w:val="000878CD"/>
    <w:rsid w:val="00087E4E"/>
    <w:rsid w:val="00087F85"/>
    <w:rsid w:val="00090DB6"/>
    <w:rsid w:val="00090E73"/>
    <w:rsid w:val="00091F11"/>
    <w:rsid w:val="00094235"/>
    <w:rsid w:val="00094922"/>
    <w:rsid w:val="000967F5"/>
    <w:rsid w:val="00096AD4"/>
    <w:rsid w:val="00097DB9"/>
    <w:rsid w:val="000A05E0"/>
    <w:rsid w:val="000A06FB"/>
    <w:rsid w:val="000A1596"/>
    <w:rsid w:val="000A31D3"/>
    <w:rsid w:val="000A373B"/>
    <w:rsid w:val="000A3832"/>
    <w:rsid w:val="000A3F71"/>
    <w:rsid w:val="000A50CF"/>
    <w:rsid w:val="000A511E"/>
    <w:rsid w:val="000A64B3"/>
    <w:rsid w:val="000A6A47"/>
    <w:rsid w:val="000A6C25"/>
    <w:rsid w:val="000A7B5F"/>
    <w:rsid w:val="000B005C"/>
    <w:rsid w:val="000B10DE"/>
    <w:rsid w:val="000B2D36"/>
    <w:rsid w:val="000B2E86"/>
    <w:rsid w:val="000B5D2F"/>
    <w:rsid w:val="000B5E32"/>
    <w:rsid w:val="000B6244"/>
    <w:rsid w:val="000B67D7"/>
    <w:rsid w:val="000B695A"/>
    <w:rsid w:val="000B72A8"/>
    <w:rsid w:val="000C0B39"/>
    <w:rsid w:val="000C210A"/>
    <w:rsid w:val="000C27E5"/>
    <w:rsid w:val="000C30D6"/>
    <w:rsid w:val="000C47D1"/>
    <w:rsid w:val="000C50A1"/>
    <w:rsid w:val="000C56DD"/>
    <w:rsid w:val="000C63F4"/>
    <w:rsid w:val="000D11CB"/>
    <w:rsid w:val="000D14C4"/>
    <w:rsid w:val="000D1672"/>
    <w:rsid w:val="000D178A"/>
    <w:rsid w:val="000D18CE"/>
    <w:rsid w:val="000D40C6"/>
    <w:rsid w:val="000D485D"/>
    <w:rsid w:val="000D52F6"/>
    <w:rsid w:val="000D6C67"/>
    <w:rsid w:val="000E0CAB"/>
    <w:rsid w:val="000E0E70"/>
    <w:rsid w:val="000E1B84"/>
    <w:rsid w:val="000E2F62"/>
    <w:rsid w:val="000E3697"/>
    <w:rsid w:val="000E38ED"/>
    <w:rsid w:val="000E3AF1"/>
    <w:rsid w:val="000E45C7"/>
    <w:rsid w:val="000E5054"/>
    <w:rsid w:val="000E6DD7"/>
    <w:rsid w:val="000E7F24"/>
    <w:rsid w:val="000F028C"/>
    <w:rsid w:val="000F03BE"/>
    <w:rsid w:val="000F1757"/>
    <w:rsid w:val="000F225B"/>
    <w:rsid w:val="000F333E"/>
    <w:rsid w:val="000F3BAB"/>
    <w:rsid w:val="000F41BC"/>
    <w:rsid w:val="000F48E9"/>
    <w:rsid w:val="000F4DAE"/>
    <w:rsid w:val="000F7ADB"/>
    <w:rsid w:val="000F7FAF"/>
    <w:rsid w:val="00100D8B"/>
    <w:rsid w:val="001016B4"/>
    <w:rsid w:val="00102045"/>
    <w:rsid w:val="00102264"/>
    <w:rsid w:val="00102FCB"/>
    <w:rsid w:val="00103537"/>
    <w:rsid w:val="00103B01"/>
    <w:rsid w:val="0010421C"/>
    <w:rsid w:val="0010465B"/>
    <w:rsid w:val="00104B36"/>
    <w:rsid w:val="0010570F"/>
    <w:rsid w:val="00105975"/>
    <w:rsid w:val="00107AFD"/>
    <w:rsid w:val="00110090"/>
    <w:rsid w:val="0011116D"/>
    <w:rsid w:val="00111386"/>
    <w:rsid w:val="001118DF"/>
    <w:rsid w:val="001118EA"/>
    <w:rsid w:val="00111F4D"/>
    <w:rsid w:val="00112A28"/>
    <w:rsid w:val="00113571"/>
    <w:rsid w:val="00114DDF"/>
    <w:rsid w:val="00115230"/>
    <w:rsid w:val="00115B5F"/>
    <w:rsid w:val="001162B4"/>
    <w:rsid w:val="00116DF3"/>
    <w:rsid w:val="00122B90"/>
    <w:rsid w:val="00122CBC"/>
    <w:rsid w:val="0012414B"/>
    <w:rsid w:val="00124FA3"/>
    <w:rsid w:val="00126C65"/>
    <w:rsid w:val="00126D4A"/>
    <w:rsid w:val="00130D87"/>
    <w:rsid w:val="00131762"/>
    <w:rsid w:val="001318EB"/>
    <w:rsid w:val="00132DA9"/>
    <w:rsid w:val="0013305B"/>
    <w:rsid w:val="001331FD"/>
    <w:rsid w:val="00133B99"/>
    <w:rsid w:val="00134407"/>
    <w:rsid w:val="0013569C"/>
    <w:rsid w:val="00135939"/>
    <w:rsid w:val="001369E3"/>
    <w:rsid w:val="00136BA1"/>
    <w:rsid w:val="001374BD"/>
    <w:rsid w:val="001375DD"/>
    <w:rsid w:val="00142EFB"/>
    <w:rsid w:val="001438BF"/>
    <w:rsid w:val="001443BD"/>
    <w:rsid w:val="00144A87"/>
    <w:rsid w:val="00145B62"/>
    <w:rsid w:val="00146193"/>
    <w:rsid w:val="00150698"/>
    <w:rsid w:val="00152022"/>
    <w:rsid w:val="00152026"/>
    <w:rsid w:val="00152A41"/>
    <w:rsid w:val="001547C8"/>
    <w:rsid w:val="001555A5"/>
    <w:rsid w:val="00157129"/>
    <w:rsid w:val="001577E9"/>
    <w:rsid w:val="001578EC"/>
    <w:rsid w:val="00157A59"/>
    <w:rsid w:val="0016138C"/>
    <w:rsid w:val="001627C0"/>
    <w:rsid w:val="00162D60"/>
    <w:rsid w:val="001640D5"/>
    <w:rsid w:val="00164B4E"/>
    <w:rsid w:val="001653D7"/>
    <w:rsid w:val="001659FB"/>
    <w:rsid w:val="00166F97"/>
    <w:rsid w:val="00167286"/>
    <w:rsid w:val="00172C99"/>
    <w:rsid w:val="001731CE"/>
    <w:rsid w:val="00174ABA"/>
    <w:rsid w:val="00175C72"/>
    <w:rsid w:val="00177B37"/>
    <w:rsid w:val="00180F93"/>
    <w:rsid w:val="00181B06"/>
    <w:rsid w:val="0018566A"/>
    <w:rsid w:val="0018672E"/>
    <w:rsid w:val="00187F34"/>
    <w:rsid w:val="00191DD2"/>
    <w:rsid w:val="0019380E"/>
    <w:rsid w:val="00196A14"/>
    <w:rsid w:val="0019762C"/>
    <w:rsid w:val="00197E9B"/>
    <w:rsid w:val="001A1185"/>
    <w:rsid w:val="001A14DA"/>
    <w:rsid w:val="001A1FEB"/>
    <w:rsid w:val="001A3D77"/>
    <w:rsid w:val="001A4C03"/>
    <w:rsid w:val="001A5492"/>
    <w:rsid w:val="001B1540"/>
    <w:rsid w:val="001B26B0"/>
    <w:rsid w:val="001B30F7"/>
    <w:rsid w:val="001B31F0"/>
    <w:rsid w:val="001B4862"/>
    <w:rsid w:val="001B5147"/>
    <w:rsid w:val="001B65FF"/>
    <w:rsid w:val="001B69A0"/>
    <w:rsid w:val="001B710A"/>
    <w:rsid w:val="001B7352"/>
    <w:rsid w:val="001B7648"/>
    <w:rsid w:val="001B771D"/>
    <w:rsid w:val="001B7C20"/>
    <w:rsid w:val="001C0B32"/>
    <w:rsid w:val="001C0B43"/>
    <w:rsid w:val="001C2C09"/>
    <w:rsid w:val="001C2D66"/>
    <w:rsid w:val="001C36F7"/>
    <w:rsid w:val="001C4BE1"/>
    <w:rsid w:val="001C5338"/>
    <w:rsid w:val="001C6677"/>
    <w:rsid w:val="001C7F21"/>
    <w:rsid w:val="001D0F91"/>
    <w:rsid w:val="001D1497"/>
    <w:rsid w:val="001D289A"/>
    <w:rsid w:val="001D5534"/>
    <w:rsid w:val="001D63D9"/>
    <w:rsid w:val="001D7ADF"/>
    <w:rsid w:val="001E0F71"/>
    <w:rsid w:val="001E17FB"/>
    <w:rsid w:val="001E255E"/>
    <w:rsid w:val="001E2B9B"/>
    <w:rsid w:val="001E2C06"/>
    <w:rsid w:val="001E35BA"/>
    <w:rsid w:val="001E3D56"/>
    <w:rsid w:val="001E49D3"/>
    <w:rsid w:val="001E4CCB"/>
    <w:rsid w:val="001E51A6"/>
    <w:rsid w:val="001E6D05"/>
    <w:rsid w:val="001E73E8"/>
    <w:rsid w:val="001E7C28"/>
    <w:rsid w:val="001F074E"/>
    <w:rsid w:val="001F11A1"/>
    <w:rsid w:val="001F1AB5"/>
    <w:rsid w:val="001F1BDF"/>
    <w:rsid w:val="001F1D6D"/>
    <w:rsid w:val="001F35F8"/>
    <w:rsid w:val="001F39FC"/>
    <w:rsid w:val="001F4AC3"/>
    <w:rsid w:val="001F4CAC"/>
    <w:rsid w:val="001F52E0"/>
    <w:rsid w:val="001F590C"/>
    <w:rsid w:val="001F7110"/>
    <w:rsid w:val="001F773D"/>
    <w:rsid w:val="001F7E96"/>
    <w:rsid w:val="002005F5"/>
    <w:rsid w:val="00200739"/>
    <w:rsid w:val="00202284"/>
    <w:rsid w:val="0020528D"/>
    <w:rsid w:val="0020543B"/>
    <w:rsid w:val="00205A66"/>
    <w:rsid w:val="002063CF"/>
    <w:rsid w:val="00206613"/>
    <w:rsid w:val="002069C1"/>
    <w:rsid w:val="002073FD"/>
    <w:rsid w:val="0020756B"/>
    <w:rsid w:val="00207E75"/>
    <w:rsid w:val="00207FF6"/>
    <w:rsid w:val="00210D86"/>
    <w:rsid w:val="0021158F"/>
    <w:rsid w:val="00212488"/>
    <w:rsid w:val="002129A6"/>
    <w:rsid w:val="00214355"/>
    <w:rsid w:val="002151DB"/>
    <w:rsid w:val="00220628"/>
    <w:rsid w:val="00221A45"/>
    <w:rsid w:val="00221BA0"/>
    <w:rsid w:val="00221FDF"/>
    <w:rsid w:val="00224CBD"/>
    <w:rsid w:val="002260C7"/>
    <w:rsid w:val="00227C9C"/>
    <w:rsid w:val="002304D2"/>
    <w:rsid w:val="00232220"/>
    <w:rsid w:val="002338C1"/>
    <w:rsid w:val="00233D04"/>
    <w:rsid w:val="00234ABD"/>
    <w:rsid w:val="00236491"/>
    <w:rsid w:val="00236C3B"/>
    <w:rsid w:val="00236E2A"/>
    <w:rsid w:val="002376B3"/>
    <w:rsid w:val="00237F62"/>
    <w:rsid w:val="00241E10"/>
    <w:rsid w:val="0024586A"/>
    <w:rsid w:val="0024601F"/>
    <w:rsid w:val="002502E1"/>
    <w:rsid w:val="00250F80"/>
    <w:rsid w:val="0025124F"/>
    <w:rsid w:val="002518A2"/>
    <w:rsid w:val="002528B3"/>
    <w:rsid w:val="002534C2"/>
    <w:rsid w:val="0025551F"/>
    <w:rsid w:val="00255F8C"/>
    <w:rsid w:val="00256174"/>
    <w:rsid w:val="00256EC2"/>
    <w:rsid w:val="00256F0C"/>
    <w:rsid w:val="00257231"/>
    <w:rsid w:val="00257681"/>
    <w:rsid w:val="00257A54"/>
    <w:rsid w:val="00260318"/>
    <w:rsid w:val="00261C23"/>
    <w:rsid w:val="00262807"/>
    <w:rsid w:val="00262C05"/>
    <w:rsid w:val="00263D33"/>
    <w:rsid w:val="0026571E"/>
    <w:rsid w:val="002658D5"/>
    <w:rsid w:val="002660B3"/>
    <w:rsid w:val="002673AA"/>
    <w:rsid w:val="002715AF"/>
    <w:rsid w:val="002717F0"/>
    <w:rsid w:val="0027301C"/>
    <w:rsid w:val="00273099"/>
    <w:rsid w:val="00276754"/>
    <w:rsid w:val="00281D14"/>
    <w:rsid w:val="00282C13"/>
    <w:rsid w:val="002833D8"/>
    <w:rsid w:val="00285669"/>
    <w:rsid w:val="0028668D"/>
    <w:rsid w:val="00286BF6"/>
    <w:rsid w:val="00287972"/>
    <w:rsid w:val="002903B7"/>
    <w:rsid w:val="00295E54"/>
    <w:rsid w:val="002962D7"/>
    <w:rsid w:val="00296C33"/>
    <w:rsid w:val="002A0D7B"/>
    <w:rsid w:val="002A0DF7"/>
    <w:rsid w:val="002A268C"/>
    <w:rsid w:val="002A2975"/>
    <w:rsid w:val="002A3F36"/>
    <w:rsid w:val="002A460D"/>
    <w:rsid w:val="002A4CEA"/>
    <w:rsid w:val="002A505B"/>
    <w:rsid w:val="002A5EE9"/>
    <w:rsid w:val="002A60E0"/>
    <w:rsid w:val="002B03A5"/>
    <w:rsid w:val="002B1AA8"/>
    <w:rsid w:val="002B1E87"/>
    <w:rsid w:val="002B4704"/>
    <w:rsid w:val="002B687A"/>
    <w:rsid w:val="002C0ABC"/>
    <w:rsid w:val="002C1344"/>
    <w:rsid w:val="002C252E"/>
    <w:rsid w:val="002C3A2A"/>
    <w:rsid w:val="002C458A"/>
    <w:rsid w:val="002C6552"/>
    <w:rsid w:val="002C6773"/>
    <w:rsid w:val="002C6F51"/>
    <w:rsid w:val="002C73EC"/>
    <w:rsid w:val="002D0FE0"/>
    <w:rsid w:val="002D269A"/>
    <w:rsid w:val="002D2A3D"/>
    <w:rsid w:val="002D39A1"/>
    <w:rsid w:val="002D3E72"/>
    <w:rsid w:val="002D3EAC"/>
    <w:rsid w:val="002D46A9"/>
    <w:rsid w:val="002D4955"/>
    <w:rsid w:val="002D5D1D"/>
    <w:rsid w:val="002D6EFD"/>
    <w:rsid w:val="002D74CF"/>
    <w:rsid w:val="002E0A45"/>
    <w:rsid w:val="002E0B17"/>
    <w:rsid w:val="002E26B4"/>
    <w:rsid w:val="002E3A3E"/>
    <w:rsid w:val="002E4FFB"/>
    <w:rsid w:val="002E63A7"/>
    <w:rsid w:val="002E650E"/>
    <w:rsid w:val="002E659A"/>
    <w:rsid w:val="002E6E2F"/>
    <w:rsid w:val="002E7DED"/>
    <w:rsid w:val="002F0334"/>
    <w:rsid w:val="002F21D4"/>
    <w:rsid w:val="002F2A7B"/>
    <w:rsid w:val="002F4AB2"/>
    <w:rsid w:val="002F5944"/>
    <w:rsid w:val="002F72FF"/>
    <w:rsid w:val="002F7BC2"/>
    <w:rsid w:val="002F7E11"/>
    <w:rsid w:val="0030037C"/>
    <w:rsid w:val="00300A73"/>
    <w:rsid w:val="00301C72"/>
    <w:rsid w:val="00304087"/>
    <w:rsid w:val="003053DC"/>
    <w:rsid w:val="003054B0"/>
    <w:rsid w:val="003057B1"/>
    <w:rsid w:val="00306055"/>
    <w:rsid w:val="003062AD"/>
    <w:rsid w:val="00310ACD"/>
    <w:rsid w:val="00310FD4"/>
    <w:rsid w:val="00312C23"/>
    <w:rsid w:val="003136E6"/>
    <w:rsid w:val="0031379F"/>
    <w:rsid w:val="00313A9C"/>
    <w:rsid w:val="00315009"/>
    <w:rsid w:val="0031510F"/>
    <w:rsid w:val="0031621E"/>
    <w:rsid w:val="00316A16"/>
    <w:rsid w:val="00320228"/>
    <w:rsid w:val="00320A26"/>
    <w:rsid w:val="003212F3"/>
    <w:rsid w:val="00321344"/>
    <w:rsid w:val="003214E8"/>
    <w:rsid w:val="00321788"/>
    <w:rsid w:val="0032234C"/>
    <w:rsid w:val="00325064"/>
    <w:rsid w:val="00325EC9"/>
    <w:rsid w:val="003279C6"/>
    <w:rsid w:val="0032B295"/>
    <w:rsid w:val="00331A3E"/>
    <w:rsid w:val="00332F13"/>
    <w:rsid w:val="0033451C"/>
    <w:rsid w:val="00335660"/>
    <w:rsid w:val="00335FBD"/>
    <w:rsid w:val="00336854"/>
    <w:rsid w:val="0033769B"/>
    <w:rsid w:val="0034015C"/>
    <w:rsid w:val="0034098D"/>
    <w:rsid w:val="00340C42"/>
    <w:rsid w:val="00341409"/>
    <w:rsid w:val="003417F1"/>
    <w:rsid w:val="00341CAE"/>
    <w:rsid w:val="003442F4"/>
    <w:rsid w:val="00344546"/>
    <w:rsid w:val="003455CF"/>
    <w:rsid w:val="00346DC7"/>
    <w:rsid w:val="0034716E"/>
    <w:rsid w:val="00350CB4"/>
    <w:rsid w:val="00353705"/>
    <w:rsid w:val="003542C7"/>
    <w:rsid w:val="00354741"/>
    <w:rsid w:val="00354C69"/>
    <w:rsid w:val="00354CB3"/>
    <w:rsid w:val="00355536"/>
    <w:rsid w:val="00355B37"/>
    <w:rsid w:val="003562E8"/>
    <w:rsid w:val="003614D7"/>
    <w:rsid w:val="0036357D"/>
    <w:rsid w:val="003649BC"/>
    <w:rsid w:val="00364F7E"/>
    <w:rsid w:val="00365E44"/>
    <w:rsid w:val="00365F6B"/>
    <w:rsid w:val="003662B1"/>
    <w:rsid w:val="003667AD"/>
    <w:rsid w:val="00367AA1"/>
    <w:rsid w:val="00370A5B"/>
    <w:rsid w:val="00372497"/>
    <w:rsid w:val="00372E36"/>
    <w:rsid w:val="00373D53"/>
    <w:rsid w:val="00375653"/>
    <w:rsid w:val="00375DFA"/>
    <w:rsid w:val="00375F7D"/>
    <w:rsid w:val="003767D3"/>
    <w:rsid w:val="00376EE9"/>
    <w:rsid w:val="00376FFC"/>
    <w:rsid w:val="00377CBB"/>
    <w:rsid w:val="00384F62"/>
    <w:rsid w:val="00385438"/>
    <w:rsid w:val="003854BB"/>
    <w:rsid w:val="003858E5"/>
    <w:rsid w:val="003877B6"/>
    <w:rsid w:val="00391539"/>
    <w:rsid w:val="003921B7"/>
    <w:rsid w:val="00393887"/>
    <w:rsid w:val="00393F1B"/>
    <w:rsid w:val="00394C6B"/>
    <w:rsid w:val="0039610B"/>
    <w:rsid w:val="003966D8"/>
    <w:rsid w:val="00397C2B"/>
    <w:rsid w:val="00397C90"/>
    <w:rsid w:val="003A0961"/>
    <w:rsid w:val="003A290F"/>
    <w:rsid w:val="003A4AAA"/>
    <w:rsid w:val="003A4B10"/>
    <w:rsid w:val="003A4E2E"/>
    <w:rsid w:val="003A4E62"/>
    <w:rsid w:val="003A5491"/>
    <w:rsid w:val="003A5A6A"/>
    <w:rsid w:val="003A67FD"/>
    <w:rsid w:val="003A775E"/>
    <w:rsid w:val="003B02F2"/>
    <w:rsid w:val="003B0BD0"/>
    <w:rsid w:val="003B0CDD"/>
    <w:rsid w:val="003B1069"/>
    <w:rsid w:val="003B1B03"/>
    <w:rsid w:val="003B38CC"/>
    <w:rsid w:val="003B390A"/>
    <w:rsid w:val="003B3D53"/>
    <w:rsid w:val="003B4E3A"/>
    <w:rsid w:val="003B5C8C"/>
    <w:rsid w:val="003B6373"/>
    <w:rsid w:val="003B79E1"/>
    <w:rsid w:val="003C0E8C"/>
    <w:rsid w:val="003C15DE"/>
    <w:rsid w:val="003C2096"/>
    <w:rsid w:val="003C2889"/>
    <w:rsid w:val="003C34C9"/>
    <w:rsid w:val="003C4EB2"/>
    <w:rsid w:val="003C5E05"/>
    <w:rsid w:val="003C63D0"/>
    <w:rsid w:val="003C7959"/>
    <w:rsid w:val="003D0BF4"/>
    <w:rsid w:val="003D3968"/>
    <w:rsid w:val="003D42AF"/>
    <w:rsid w:val="003D4AD2"/>
    <w:rsid w:val="003D5E11"/>
    <w:rsid w:val="003D73C0"/>
    <w:rsid w:val="003D74FF"/>
    <w:rsid w:val="003E031D"/>
    <w:rsid w:val="003E0872"/>
    <w:rsid w:val="003E3808"/>
    <w:rsid w:val="003E69D8"/>
    <w:rsid w:val="003E7305"/>
    <w:rsid w:val="003F0C1C"/>
    <w:rsid w:val="003F1AF3"/>
    <w:rsid w:val="003F22DC"/>
    <w:rsid w:val="003F25E4"/>
    <w:rsid w:val="003F4743"/>
    <w:rsid w:val="003F4804"/>
    <w:rsid w:val="003F4AAA"/>
    <w:rsid w:val="003F4D8D"/>
    <w:rsid w:val="003F66A4"/>
    <w:rsid w:val="00401508"/>
    <w:rsid w:val="00401688"/>
    <w:rsid w:val="004024D9"/>
    <w:rsid w:val="0040257E"/>
    <w:rsid w:val="0040386D"/>
    <w:rsid w:val="00404188"/>
    <w:rsid w:val="00406435"/>
    <w:rsid w:val="004066F9"/>
    <w:rsid w:val="00406CBE"/>
    <w:rsid w:val="004073DC"/>
    <w:rsid w:val="00407880"/>
    <w:rsid w:val="00410264"/>
    <w:rsid w:val="00412328"/>
    <w:rsid w:val="004128C1"/>
    <w:rsid w:val="004137C0"/>
    <w:rsid w:val="004138F3"/>
    <w:rsid w:val="00421F20"/>
    <w:rsid w:val="00422D38"/>
    <w:rsid w:val="00423B63"/>
    <w:rsid w:val="00423D30"/>
    <w:rsid w:val="004250AA"/>
    <w:rsid w:val="00427BEA"/>
    <w:rsid w:val="00427EDC"/>
    <w:rsid w:val="00430120"/>
    <w:rsid w:val="00430E6C"/>
    <w:rsid w:val="004313E7"/>
    <w:rsid w:val="004319E1"/>
    <w:rsid w:val="00432542"/>
    <w:rsid w:val="004339B2"/>
    <w:rsid w:val="00436CCB"/>
    <w:rsid w:val="00444A70"/>
    <w:rsid w:val="0044763B"/>
    <w:rsid w:val="00447DA3"/>
    <w:rsid w:val="00452696"/>
    <w:rsid w:val="00453D77"/>
    <w:rsid w:val="00453F32"/>
    <w:rsid w:val="00456A53"/>
    <w:rsid w:val="00456C0A"/>
    <w:rsid w:val="0046213C"/>
    <w:rsid w:val="00462518"/>
    <w:rsid w:val="0046266D"/>
    <w:rsid w:val="004629B3"/>
    <w:rsid w:val="00463022"/>
    <w:rsid w:val="0046312F"/>
    <w:rsid w:val="0046376E"/>
    <w:rsid w:val="00463B50"/>
    <w:rsid w:val="0046587C"/>
    <w:rsid w:val="0046690F"/>
    <w:rsid w:val="0046792B"/>
    <w:rsid w:val="00471116"/>
    <w:rsid w:val="00472FEC"/>
    <w:rsid w:val="00474FC4"/>
    <w:rsid w:val="00476830"/>
    <w:rsid w:val="0047696E"/>
    <w:rsid w:val="004770F6"/>
    <w:rsid w:val="004812D2"/>
    <w:rsid w:val="00483B28"/>
    <w:rsid w:val="004858E1"/>
    <w:rsid w:val="00485EF2"/>
    <w:rsid w:val="004864A1"/>
    <w:rsid w:val="004868C3"/>
    <w:rsid w:val="0048769E"/>
    <w:rsid w:val="00490A03"/>
    <w:rsid w:val="00490B0D"/>
    <w:rsid w:val="00490E5D"/>
    <w:rsid w:val="00492B0A"/>
    <w:rsid w:val="00492D88"/>
    <w:rsid w:val="00493327"/>
    <w:rsid w:val="0049382E"/>
    <w:rsid w:val="00494DBE"/>
    <w:rsid w:val="00495CE6"/>
    <w:rsid w:val="00497524"/>
    <w:rsid w:val="00497D5E"/>
    <w:rsid w:val="004A0044"/>
    <w:rsid w:val="004A144D"/>
    <w:rsid w:val="004A1D27"/>
    <w:rsid w:val="004A2315"/>
    <w:rsid w:val="004A323C"/>
    <w:rsid w:val="004A4DEC"/>
    <w:rsid w:val="004B0801"/>
    <w:rsid w:val="004B1117"/>
    <w:rsid w:val="004B1A6B"/>
    <w:rsid w:val="004B1FC8"/>
    <w:rsid w:val="004B26CD"/>
    <w:rsid w:val="004B339A"/>
    <w:rsid w:val="004B3B97"/>
    <w:rsid w:val="004B54E8"/>
    <w:rsid w:val="004B773C"/>
    <w:rsid w:val="004C0138"/>
    <w:rsid w:val="004C0686"/>
    <w:rsid w:val="004C12E8"/>
    <w:rsid w:val="004C130C"/>
    <w:rsid w:val="004C1578"/>
    <w:rsid w:val="004C174B"/>
    <w:rsid w:val="004C1C36"/>
    <w:rsid w:val="004C286B"/>
    <w:rsid w:val="004C33BA"/>
    <w:rsid w:val="004C35E9"/>
    <w:rsid w:val="004C47EA"/>
    <w:rsid w:val="004C4FEB"/>
    <w:rsid w:val="004C584B"/>
    <w:rsid w:val="004C6570"/>
    <w:rsid w:val="004C6717"/>
    <w:rsid w:val="004C678C"/>
    <w:rsid w:val="004C6B79"/>
    <w:rsid w:val="004C7345"/>
    <w:rsid w:val="004D059B"/>
    <w:rsid w:val="004D09E8"/>
    <w:rsid w:val="004D09F9"/>
    <w:rsid w:val="004D0E64"/>
    <w:rsid w:val="004D304E"/>
    <w:rsid w:val="004D32F5"/>
    <w:rsid w:val="004D4543"/>
    <w:rsid w:val="004D48A8"/>
    <w:rsid w:val="004D4CB6"/>
    <w:rsid w:val="004D4DCB"/>
    <w:rsid w:val="004E0907"/>
    <w:rsid w:val="004E20CF"/>
    <w:rsid w:val="004E2324"/>
    <w:rsid w:val="004E2820"/>
    <w:rsid w:val="004E28C9"/>
    <w:rsid w:val="004E3341"/>
    <w:rsid w:val="004E3679"/>
    <w:rsid w:val="004E5124"/>
    <w:rsid w:val="004E7BE2"/>
    <w:rsid w:val="004E7E3A"/>
    <w:rsid w:val="004F10C1"/>
    <w:rsid w:val="004F1C5E"/>
    <w:rsid w:val="004F21C4"/>
    <w:rsid w:val="004F25CA"/>
    <w:rsid w:val="004F3E47"/>
    <w:rsid w:val="004F4CC8"/>
    <w:rsid w:val="004F4F5A"/>
    <w:rsid w:val="004F51FF"/>
    <w:rsid w:val="004F56E7"/>
    <w:rsid w:val="004F5AD9"/>
    <w:rsid w:val="004F6052"/>
    <w:rsid w:val="004F7B18"/>
    <w:rsid w:val="00500955"/>
    <w:rsid w:val="00501494"/>
    <w:rsid w:val="0050159C"/>
    <w:rsid w:val="005022B7"/>
    <w:rsid w:val="00502E62"/>
    <w:rsid w:val="0050510C"/>
    <w:rsid w:val="00506B8A"/>
    <w:rsid w:val="00510369"/>
    <w:rsid w:val="005110D3"/>
    <w:rsid w:val="00514D57"/>
    <w:rsid w:val="00520A65"/>
    <w:rsid w:val="005218B8"/>
    <w:rsid w:val="0052212B"/>
    <w:rsid w:val="005221A8"/>
    <w:rsid w:val="005230C7"/>
    <w:rsid w:val="005254BF"/>
    <w:rsid w:val="0052625A"/>
    <w:rsid w:val="005266EA"/>
    <w:rsid w:val="005268DA"/>
    <w:rsid w:val="00527072"/>
    <w:rsid w:val="0053001D"/>
    <w:rsid w:val="00531C3E"/>
    <w:rsid w:val="00534B46"/>
    <w:rsid w:val="00534CE8"/>
    <w:rsid w:val="00535018"/>
    <w:rsid w:val="005355DB"/>
    <w:rsid w:val="00535866"/>
    <w:rsid w:val="005400DF"/>
    <w:rsid w:val="00540358"/>
    <w:rsid w:val="005409C5"/>
    <w:rsid w:val="00540A05"/>
    <w:rsid w:val="00540C12"/>
    <w:rsid w:val="00540D47"/>
    <w:rsid w:val="005420D2"/>
    <w:rsid w:val="005428D7"/>
    <w:rsid w:val="00542D43"/>
    <w:rsid w:val="00542E32"/>
    <w:rsid w:val="00544504"/>
    <w:rsid w:val="005463C3"/>
    <w:rsid w:val="005465A3"/>
    <w:rsid w:val="00547470"/>
    <w:rsid w:val="00547C7C"/>
    <w:rsid w:val="005506D5"/>
    <w:rsid w:val="00550864"/>
    <w:rsid w:val="00551D6C"/>
    <w:rsid w:val="00553580"/>
    <w:rsid w:val="00554F31"/>
    <w:rsid w:val="005550A8"/>
    <w:rsid w:val="0055571E"/>
    <w:rsid w:val="00556F67"/>
    <w:rsid w:val="00557849"/>
    <w:rsid w:val="00563009"/>
    <w:rsid w:val="005635B7"/>
    <w:rsid w:val="00564D51"/>
    <w:rsid w:val="005652E8"/>
    <w:rsid w:val="00567475"/>
    <w:rsid w:val="0056772E"/>
    <w:rsid w:val="00567A17"/>
    <w:rsid w:val="0057667C"/>
    <w:rsid w:val="00576BDA"/>
    <w:rsid w:val="00577DB4"/>
    <w:rsid w:val="005813D6"/>
    <w:rsid w:val="00581B1C"/>
    <w:rsid w:val="005826DA"/>
    <w:rsid w:val="00582943"/>
    <w:rsid w:val="00582D0E"/>
    <w:rsid w:val="00582E09"/>
    <w:rsid w:val="005833F0"/>
    <w:rsid w:val="00585FC8"/>
    <w:rsid w:val="00586280"/>
    <w:rsid w:val="005865FC"/>
    <w:rsid w:val="00586640"/>
    <w:rsid w:val="005869CE"/>
    <w:rsid w:val="00586CAF"/>
    <w:rsid w:val="005873E9"/>
    <w:rsid w:val="00587A90"/>
    <w:rsid w:val="00591180"/>
    <w:rsid w:val="00592E9F"/>
    <w:rsid w:val="005948C2"/>
    <w:rsid w:val="00595286"/>
    <w:rsid w:val="0059722C"/>
    <w:rsid w:val="005977A6"/>
    <w:rsid w:val="00597D07"/>
    <w:rsid w:val="00597DD6"/>
    <w:rsid w:val="005A01CF"/>
    <w:rsid w:val="005A11C7"/>
    <w:rsid w:val="005A16E6"/>
    <w:rsid w:val="005A2EB1"/>
    <w:rsid w:val="005A30D7"/>
    <w:rsid w:val="005A3846"/>
    <w:rsid w:val="005A5E6B"/>
    <w:rsid w:val="005A678F"/>
    <w:rsid w:val="005A7DE8"/>
    <w:rsid w:val="005A7E97"/>
    <w:rsid w:val="005B2CD2"/>
    <w:rsid w:val="005B632A"/>
    <w:rsid w:val="005B6A58"/>
    <w:rsid w:val="005C217B"/>
    <w:rsid w:val="005C2655"/>
    <w:rsid w:val="005C2D0E"/>
    <w:rsid w:val="005C5A83"/>
    <w:rsid w:val="005C7112"/>
    <w:rsid w:val="005D0561"/>
    <w:rsid w:val="005D0AD9"/>
    <w:rsid w:val="005D1A67"/>
    <w:rsid w:val="005D22F6"/>
    <w:rsid w:val="005D6774"/>
    <w:rsid w:val="005D68AA"/>
    <w:rsid w:val="005D6BD1"/>
    <w:rsid w:val="005E060E"/>
    <w:rsid w:val="005E0C30"/>
    <w:rsid w:val="005E1DCB"/>
    <w:rsid w:val="005E2377"/>
    <w:rsid w:val="005E33E0"/>
    <w:rsid w:val="005E3FBB"/>
    <w:rsid w:val="005E66B4"/>
    <w:rsid w:val="005E69D9"/>
    <w:rsid w:val="005E6CB1"/>
    <w:rsid w:val="005E7116"/>
    <w:rsid w:val="005E7971"/>
    <w:rsid w:val="005F17D1"/>
    <w:rsid w:val="005F27F4"/>
    <w:rsid w:val="005F2F9B"/>
    <w:rsid w:val="005F3239"/>
    <w:rsid w:val="005F39BF"/>
    <w:rsid w:val="005F566C"/>
    <w:rsid w:val="005F58F5"/>
    <w:rsid w:val="005F6567"/>
    <w:rsid w:val="005F676D"/>
    <w:rsid w:val="005F7A8A"/>
    <w:rsid w:val="005F7B5C"/>
    <w:rsid w:val="00600998"/>
    <w:rsid w:val="00600ACF"/>
    <w:rsid w:val="006019EB"/>
    <w:rsid w:val="006042BE"/>
    <w:rsid w:val="00605DFE"/>
    <w:rsid w:val="00607094"/>
    <w:rsid w:val="00607256"/>
    <w:rsid w:val="0060790C"/>
    <w:rsid w:val="0060791E"/>
    <w:rsid w:val="00607DCD"/>
    <w:rsid w:val="00611F08"/>
    <w:rsid w:val="00613BF1"/>
    <w:rsid w:val="006144B1"/>
    <w:rsid w:val="00614AAB"/>
    <w:rsid w:val="00615699"/>
    <w:rsid w:val="00615A5C"/>
    <w:rsid w:val="006177FF"/>
    <w:rsid w:val="0062077F"/>
    <w:rsid w:val="00621BC7"/>
    <w:rsid w:val="00622033"/>
    <w:rsid w:val="0062232C"/>
    <w:rsid w:val="00623750"/>
    <w:rsid w:val="00627FA3"/>
    <w:rsid w:val="00630644"/>
    <w:rsid w:val="006335F1"/>
    <w:rsid w:val="006336FD"/>
    <w:rsid w:val="00633B49"/>
    <w:rsid w:val="00633DD3"/>
    <w:rsid w:val="006345B6"/>
    <w:rsid w:val="00635616"/>
    <w:rsid w:val="00635712"/>
    <w:rsid w:val="00635984"/>
    <w:rsid w:val="00635F41"/>
    <w:rsid w:val="006368FF"/>
    <w:rsid w:val="006377D4"/>
    <w:rsid w:val="00640135"/>
    <w:rsid w:val="006402FF"/>
    <w:rsid w:val="00640BFB"/>
    <w:rsid w:val="00640D3C"/>
    <w:rsid w:val="0064107F"/>
    <w:rsid w:val="006426F7"/>
    <w:rsid w:val="0064350F"/>
    <w:rsid w:val="00643C36"/>
    <w:rsid w:val="00643D8A"/>
    <w:rsid w:val="00645A5C"/>
    <w:rsid w:val="00647AB9"/>
    <w:rsid w:val="00650894"/>
    <w:rsid w:val="0065112B"/>
    <w:rsid w:val="00652091"/>
    <w:rsid w:val="00652229"/>
    <w:rsid w:val="00652793"/>
    <w:rsid w:val="006528DE"/>
    <w:rsid w:val="00657789"/>
    <w:rsid w:val="00660320"/>
    <w:rsid w:val="0066187E"/>
    <w:rsid w:val="00662375"/>
    <w:rsid w:val="006626CA"/>
    <w:rsid w:val="00663487"/>
    <w:rsid w:val="00665511"/>
    <w:rsid w:val="00665D2D"/>
    <w:rsid w:val="006662DE"/>
    <w:rsid w:val="00670F88"/>
    <w:rsid w:val="00672382"/>
    <w:rsid w:val="00672D0F"/>
    <w:rsid w:val="006733BB"/>
    <w:rsid w:val="00676E80"/>
    <w:rsid w:val="00680F04"/>
    <w:rsid w:val="00681257"/>
    <w:rsid w:val="00681C3E"/>
    <w:rsid w:val="006822E9"/>
    <w:rsid w:val="00682643"/>
    <w:rsid w:val="00682A94"/>
    <w:rsid w:val="00682EB9"/>
    <w:rsid w:val="00682F1E"/>
    <w:rsid w:val="0068378C"/>
    <w:rsid w:val="006839D3"/>
    <w:rsid w:val="0068441A"/>
    <w:rsid w:val="0068699A"/>
    <w:rsid w:val="00690B19"/>
    <w:rsid w:val="006935F4"/>
    <w:rsid w:val="0069650C"/>
    <w:rsid w:val="006A0A3C"/>
    <w:rsid w:val="006A1ED8"/>
    <w:rsid w:val="006A59E9"/>
    <w:rsid w:val="006A5AB1"/>
    <w:rsid w:val="006A75B8"/>
    <w:rsid w:val="006A79F0"/>
    <w:rsid w:val="006B0231"/>
    <w:rsid w:val="006B048F"/>
    <w:rsid w:val="006B359D"/>
    <w:rsid w:val="006B47EE"/>
    <w:rsid w:val="006B499F"/>
    <w:rsid w:val="006B54C6"/>
    <w:rsid w:val="006B617F"/>
    <w:rsid w:val="006C1FB8"/>
    <w:rsid w:val="006C2A70"/>
    <w:rsid w:val="006C2BB0"/>
    <w:rsid w:val="006C30F6"/>
    <w:rsid w:val="006C33BE"/>
    <w:rsid w:val="006C39FA"/>
    <w:rsid w:val="006C4B3D"/>
    <w:rsid w:val="006C5B53"/>
    <w:rsid w:val="006C7E78"/>
    <w:rsid w:val="006D064D"/>
    <w:rsid w:val="006D098F"/>
    <w:rsid w:val="006D20E3"/>
    <w:rsid w:val="006D2218"/>
    <w:rsid w:val="006D33E1"/>
    <w:rsid w:val="006D4996"/>
    <w:rsid w:val="006D535B"/>
    <w:rsid w:val="006D54AB"/>
    <w:rsid w:val="006D5525"/>
    <w:rsid w:val="006D58E5"/>
    <w:rsid w:val="006D63C2"/>
    <w:rsid w:val="006E1084"/>
    <w:rsid w:val="006E10B2"/>
    <w:rsid w:val="006E1FA9"/>
    <w:rsid w:val="006E2D24"/>
    <w:rsid w:val="006E3006"/>
    <w:rsid w:val="006E4F02"/>
    <w:rsid w:val="006E5032"/>
    <w:rsid w:val="006E5BDA"/>
    <w:rsid w:val="006E6935"/>
    <w:rsid w:val="006E7AC9"/>
    <w:rsid w:val="006F0FC7"/>
    <w:rsid w:val="006F39A9"/>
    <w:rsid w:val="006F3D9D"/>
    <w:rsid w:val="006F4A38"/>
    <w:rsid w:val="006F524E"/>
    <w:rsid w:val="006F5743"/>
    <w:rsid w:val="006F5D57"/>
    <w:rsid w:val="006F643F"/>
    <w:rsid w:val="006F670F"/>
    <w:rsid w:val="006F77F3"/>
    <w:rsid w:val="0070063C"/>
    <w:rsid w:val="00700D69"/>
    <w:rsid w:val="007017B9"/>
    <w:rsid w:val="00701FA7"/>
    <w:rsid w:val="00702921"/>
    <w:rsid w:val="00703272"/>
    <w:rsid w:val="0070362C"/>
    <w:rsid w:val="0070471B"/>
    <w:rsid w:val="00705BBE"/>
    <w:rsid w:val="007063E6"/>
    <w:rsid w:val="0070733C"/>
    <w:rsid w:val="007102D5"/>
    <w:rsid w:val="00710C5D"/>
    <w:rsid w:val="00712F85"/>
    <w:rsid w:val="0071348C"/>
    <w:rsid w:val="00714E99"/>
    <w:rsid w:val="007163FB"/>
    <w:rsid w:val="00717273"/>
    <w:rsid w:val="00720FD4"/>
    <w:rsid w:val="007212C9"/>
    <w:rsid w:val="00722C47"/>
    <w:rsid w:val="00722C50"/>
    <w:rsid w:val="00723C6D"/>
    <w:rsid w:val="007243A5"/>
    <w:rsid w:val="00724550"/>
    <w:rsid w:val="00724737"/>
    <w:rsid w:val="00724AF2"/>
    <w:rsid w:val="00727DE1"/>
    <w:rsid w:val="00730624"/>
    <w:rsid w:val="0073096C"/>
    <w:rsid w:val="0073100D"/>
    <w:rsid w:val="00731368"/>
    <w:rsid w:val="007314E4"/>
    <w:rsid w:val="00732019"/>
    <w:rsid w:val="00733429"/>
    <w:rsid w:val="00733A46"/>
    <w:rsid w:val="00733BCC"/>
    <w:rsid w:val="00735E2D"/>
    <w:rsid w:val="007366CF"/>
    <w:rsid w:val="00736F2C"/>
    <w:rsid w:val="00740055"/>
    <w:rsid w:val="007416AC"/>
    <w:rsid w:val="007419C8"/>
    <w:rsid w:val="00741D9F"/>
    <w:rsid w:val="00742398"/>
    <w:rsid w:val="007432A9"/>
    <w:rsid w:val="00743B63"/>
    <w:rsid w:val="00745C0B"/>
    <w:rsid w:val="00746050"/>
    <w:rsid w:val="00746118"/>
    <w:rsid w:val="0074643E"/>
    <w:rsid w:val="00746C7F"/>
    <w:rsid w:val="007507B5"/>
    <w:rsid w:val="0075091D"/>
    <w:rsid w:val="00750EC4"/>
    <w:rsid w:val="00751831"/>
    <w:rsid w:val="0075201B"/>
    <w:rsid w:val="00753A24"/>
    <w:rsid w:val="0075430D"/>
    <w:rsid w:val="007558B1"/>
    <w:rsid w:val="0075779F"/>
    <w:rsid w:val="0076354B"/>
    <w:rsid w:val="007658F3"/>
    <w:rsid w:val="007661FA"/>
    <w:rsid w:val="00766EA2"/>
    <w:rsid w:val="00767034"/>
    <w:rsid w:val="007712DB"/>
    <w:rsid w:val="00771EC5"/>
    <w:rsid w:val="00772188"/>
    <w:rsid w:val="0077222A"/>
    <w:rsid w:val="007723A9"/>
    <w:rsid w:val="00773909"/>
    <w:rsid w:val="0077411B"/>
    <w:rsid w:val="0077433B"/>
    <w:rsid w:val="00774E1E"/>
    <w:rsid w:val="00780700"/>
    <w:rsid w:val="0078078A"/>
    <w:rsid w:val="0078118A"/>
    <w:rsid w:val="007813D0"/>
    <w:rsid w:val="007845AC"/>
    <w:rsid w:val="00785993"/>
    <w:rsid w:val="00785A0D"/>
    <w:rsid w:val="00785FC4"/>
    <w:rsid w:val="007863BF"/>
    <w:rsid w:val="007866E2"/>
    <w:rsid w:val="00786BA3"/>
    <w:rsid w:val="00790993"/>
    <w:rsid w:val="0079202F"/>
    <w:rsid w:val="0079203E"/>
    <w:rsid w:val="007921BF"/>
    <w:rsid w:val="00792596"/>
    <w:rsid w:val="007934C3"/>
    <w:rsid w:val="00794903"/>
    <w:rsid w:val="00795486"/>
    <w:rsid w:val="00795AF2"/>
    <w:rsid w:val="00795E4F"/>
    <w:rsid w:val="00797DBB"/>
    <w:rsid w:val="007A01D8"/>
    <w:rsid w:val="007A0287"/>
    <w:rsid w:val="007A09FC"/>
    <w:rsid w:val="007A2AAD"/>
    <w:rsid w:val="007A4432"/>
    <w:rsid w:val="007A59E9"/>
    <w:rsid w:val="007A784E"/>
    <w:rsid w:val="007A7E31"/>
    <w:rsid w:val="007B02A0"/>
    <w:rsid w:val="007B07C8"/>
    <w:rsid w:val="007B278C"/>
    <w:rsid w:val="007B2DAD"/>
    <w:rsid w:val="007B35D0"/>
    <w:rsid w:val="007B3774"/>
    <w:rsid w:val="007B459E"/>
    <w:rsid w:val="007B4939"/>
    <w:rsid w:val="007B499C"/>
    <w:rsid w:val="007B4D4B"/>
    <w:rsid w:val="007B58C6"/>
    <w:rsid w:val="007B5AFE"/>
    <w:rsid w:val="007B5EE2"/>
    <w:rsid w:val="007B76D8"/>
    <w:rsid w:val="007C0646"/>
    <w:rsid w:val="007C0E9E"/>
    <w:rsid w:val="007C1E5E"/>
    <w:rsid w:val="007C1E9D"/>
    <w:rsid w:val="007C3AE3"/>
    <w:rsid w:val="007C6C51"/>
    <w:rsid w:val="007D0000"/>
    <w:rsid w:val="007D1647"/>
    <w:rsid w:val="007D2A02"/>
    <w:rsid w:val="007D5EA2"/>
    <w:rsid w:val="007D6144"/>
    <w:rsid w:val="007D62A4"/>
    <w:rsid w:val="007D6A53"/>
    <w:rsid w:val="007D6CE5"/>
    <w:rsid w:val="007E0917"/>
    <w:rsid w:val="007E1736"/>
    <w:rsid w:val="007E1E31"/>
    <w:rsid w:val="007E25DD"/>
    <w:rsid w:val="007E2887"/>
    <w:rsid w:val="007E3318"/>
    <w:rsid w:val="007E667D"/>
    <w:rsid w:val="007E6EA1"/>
    <w:rsid w:val="007E7784"/>
    <w:rsid w:val="007F0F63"/>
    <w:rsid w:val="007F27CC"/>
    <w:rsid w:val="007F2B1E"/>
    <w:rsid w:val="007F4590"/>
    <w:rsid w:val="007F4B5D"/>
    <w:rsid w:val="007F62B4"/>
    <w:rsid w:val="007F7DF9"/>
    <w:rsid w:val="00800B4E"/>
    <w:rsid w:val="00800FD6"/>
    <w:rsid w:val="00801517"/>
    <w:rsid w:val="00804966"/>
    <w:rsid w:val="0080510A"/>
    <w:rsid w:val="0080596A"/>
    <w:rsid w:val="00805CBF"/>
    <w:rsid w:val="008079E2"/>
    <w:rsid w:val="00810AC4"/>
    <w:rsid w:val="0081218E"/>
    <w:rsid w:val="0081228B"/>
    <w:rsid w:val="00813492"/>
    <w:rsid w:val="008134A4"/>
    <w:rsid w:val="00814DE2"/>
    <w:rsid w:val="00816ED1"/>
    <w:rsid w:val="008174AE"/>
    <w:rsid w:val="008177EE"/>
    <w:rsid w:val="00817895"/>
    <w:rsid w:val="00817AE8"/>
    <w:rsid w:val="00817DE8"/>
    <w:rsid w:val="00821218"/>
    <w:rsid w:val="008229F5"/>
    <w:rsid w:val="008259DE"/>
    <w:rsid w:val="0082699A"/>
    <w:rsid w:val="00827F2A"/>
    <w:rsid w:val="00832633"/>
    <w:rsid w:val="0083342C"/>
    <w:rsid w:val="00833869"/>
    <w:rsid w:val="00833A2B"/>
    <w:rsid w:val="00833CEB"/>
    <w:rsid w:val="008359B8"/>
    <w:rsid w:val="0083662B"/>
    <w:rsid w:val="008372D2"/>
    <w:rsid w:val="008372ED"/>
    <w:rsid w:val="008377BC"/>
    <w:rsid w:val="00844C17"/>
    <w:rsid w:val="00846017"/>
    <w:rsid w:val="00847726"/>
    <w:rsid w:val="008502EE"/>
    <w:rsid w:val="00851033"/>
    <w:rsid w:val="00851A55"/>
    <w:rsid w:val="00851CB1"/>
    <w:rsid w:val="00852511"/>
    <w:rsid w:val="0085252F"/>
    <w:rsid w:val="008527CF"/>
    <w:rsid w:val="008558EF"/>
    <w:rsid w:val="00855FD0"/>
    <w:rsid w:val="00857408"/>
    <w:rsid w:val="008578A9"/>
    <w:rsid w:val="00857A17"/>
    <w:rsid w:val="0086072A"/>
    <w:rsid w:val="0086088F"/>
    <w:rsid w:val="00860B60"/>
    <w:rsid w:val="00861422"/>
    <w:rsid w:val="008614F1"/>
    <w:rsid w:val="0086162F"/>
    <w:rsid w:val="00862FD6"/>
    <w:rsid w:val="008639B3"/>
    <w:rsid w:val="00863C1A"/>
    <w:rsid w:val="00863DA3"/>
    <w:rsid w:val="0086470F"/>
    <w:rsid w:val="00865882"/>
    <w:rsid w:val="008663EA"/>
    <w:rsid w:val="00866CDD"/>
    <w:rsid w:val="008712FE"/>
    <w:rsid w:val="0087142D"/>
    <w:rsid w:val="00872928"/>
    <w:rsid w:val="00872DA6"/>
    <w:rsid w:val="00873416"/>
    <w:rsid w:val="00873956"/>
    <w:rsid w:val="0087538C"/>
    <w:rsid w:val="00875CB0"/>
    <w:rsid w:val="008770CC"/>
    <w:rsid w:val="00877800"/>
    <w:rsid w:val="00877C32"/>
    <w:rsid w:val="0088094B"/>
    <w:rsid w:val="00880E72"/>
    <w:rsid w:val="0088176E"/>
    <w:rsid w:val="0088191A"/>
    <w:rsid w:val="008825EE"/>
    <w:rsid w:val="00882DD2"/>
    <w:rsid w:val="00882DE4"/>
    <w:rsid w:val="0088313E"/>
    <w:rsid w:val="00883974"/>
    <w:rsid w:val="0088596E"/>
    <w:rsid w:val="00885D26"/>
    <w:rsid w:val="00886C54"/>
    <w:rsid w:val="00886F34"/>
    <w:rsid w:val="008870ED"/>
    <w:rsid w:val="008877FC"/>
    <w:rsid w:val="00892D7F"/>
    <w:rsid w:val="008975BE"/>
    <w:rsid w:val="0089796A"/>
    <w:rsid w:val="0089799B"/>
    <w:rsid w:val="008A2375"/>
    <w:rsid w:val="008A2D41"/>
    <w:rsid w:val="008A37D2"/>
    <w:rsid w:val="008A54B6"/>
    <w:rsid w:val="008A56FE"/>
    <w:rsid w:val="008A7DEB"/>
    <w:rsid w:val="008B17FF"/>
    <w:rsid w:val="008B1B65"/>
    <w:rsid w:val="008B3557"/>
    <w:rsid w:val="008B39E0"/>
    <w:rsid w:val="008B4302"/>
    <w:rsid w:val="008B548B"/>
    <w:rsid w:val="008B5E05"/>
    <w:rsid w:val="008B605A"/>
    <w:rsid w:val="008B642A"/>
    <w:rsid w:val="008C027E"/>
    <w:rsid w:val="008C093B"/>
    <w:rsid w:val="008C0E76"/>
    <w:rsid w:val="008C2665"/>
    <w:rsid w:val="008C6041"/>
    <w:rsid w:val="008C68D0"/>
    <w:rsid w:val="008C68FF"/>
    <w:rsid w:val="008C74E3"/>
    <w:rsid w:val="008D0936"/>
    <w:rsid w:val="008D1329"/>
    <w:rsid w:val="008D39B2"/>
    <w:rsid w:val="008D403B"/>
    <w:rsid w:val="008D4707"/>
    <w:rsid w:val="008D76C5"/>
    <w:rsid w:val="008E0A04"/>
    <w:rsid w:val="008E0AFA"/>
    <w:rsid w:val="008E3436"/>
    <w:rsid w:val="008E411B"/>
    <w:rsid w:val="008E4F56"/>
    <w:rsid w:val="008E4FBF"/>
    <w:rsid w:val="008E6D91"/>
    <w:rsid w:val="008E75D3"/>
    <w:rsid w:val="008E7A2A"/>
    <w:rsid w:val="008E7E48"/>
    <w:rsid w:val="008F02E9"/>
    <w:rsid w:val="008F0CE4"/>
    <w:rsid w:val="008F0EFC"/>
    <w:rsid w:val="008F125E"/>
    <w:rsid w:val="008F1CC5"/>
    <w:rsid w:val="008F2B54"/>
    <w:rsid w:val="008F2CC5"/>
    <w:rsid w:val="008F2F3B"/>
    <w:rsid w:val="008F3098"/>
    <w:rsid w:val="008F3408"/>
    <w:rsid w:val="008F4C1E"/>
    <w:rsid w:val="008F4D2F"/>
    <w:rsid w:val="008F510A"/>
    <w:rsid w:val="008F55A2"/>
    <w:rsid w:val="008F64E2"/>
    <w:rsid w:val="00900078"/>
    <w:rsid w:val="00900235"/>
    <w:rsid w:val="00900D3C"/>
    <w:rsid w:val="009038F2"/>
    <w:rsid w:val="00906292"/>
    <w:rsid w:val="00910EBE"/>
    <w:rsid w:val="00914B5B"/>
    <w:rsid w:val="00916732"/>
    <w:rsid w:val="00917162"/>
    <w:rsid w:val="009172B9"/>
    <w:rsid w:val="009178AA"/>
    <w:rsid w:val="00923001"/>
    <w:rsid w:val="0092358D"/>
    <w:rsid w:val="009238BF"/>
    <w:rsid w:val="009251CC"/>
    <w:rsid w:val="0092714E"/>
    <w:rsid w:val="00927661"/>
    <w:rsid w:val="00931E24"/>
    <w:rsid w:val="009324F0"/>
    <w:rsid w:val="0093478F"/>
    <w:rsid w:val="00936826"/>
    <w:rsid w:val="00940B3D"/>
    <w:rsid w:val="00942002"/>
    <w:rsid w:val="00942099"/>
    <w:rsid w:val="00942359"/>
    <w:rsid w:val="009446D6"/>
    <w:rsid w:val="00946166"/>
    <w:rsid w:val="0094623A"/>
    <w:rsid w:val="00946FC5"/>
    <w:rsid w:val="00947885"/>
    <w:rsid w:val="009504AB"/>
    <w:rsid w:val="00951212"/>
    <w:rsid w:val="00951818"/>
    <w:rsid w:val="00952168"/>
    <w:rsid w:val="009527FE"/>
    <w:rsid w:val="009529B2"/>
    <w:rsid w:val="009535A6"/>
    <w:rsid w:val="009538D0"/>
    <w:rsid w:val="0095421F"/>
    <w:rsid w:val="009555CA"/>
    <w:rsid w:val="00955D69"/>
    <w:rsid w:val="00960539"/>
    <w:rsid w:val="009605B1"/>
    <w:rsid w:val="00960C9A"/>
    <w:rsid w:val="00960CBC"/>
    <w:rsid w:val="00963A06"/>
    <w:rsid w:val="00965192"/>
    <w:rsid w:val="00965286"/>
    <w:rsid w:val="00967DD4"/>
    <w:rsid w:val="009700B1"/>
    <w:rsid w:val="00970ECF"/>
    <w:rsid w:val="00971261"/>
    <w:rsid w:val="00971FD4"/>
    <w:rsid w:val="009722CB"/>
    <w:rsid w:val="009739A0"/>
    <w:rsid w:val="00974EE4"/>
    <w:rsid w:val="00974F84"/>
    <w:rsid w:val="00975193"/>
    <w:rsid w:val="00975D5B"/>
    <w:rsid w:val="00976216"/>
    <w:rsid w:val="009767C7"/>
    <w:rsid w:val="00977D30"/>
    <w:rsid w:val="00980AAE"/>
    <w:rsid w:val="00980E69"/>
    <w:rsid w:val="0098334C"/>
    <w:rsid w:val="009839AE"/>
    <w:rsid w:val="00984643"/>
    <w:rsid w:val="0098576C"/>
    <w:rsid w:val="0098579A"/>
    <w:rsid w:val="00986885"/>
    <w:rsid w:val="00991475"/>
    <w:rsid w:val="009918DD"/>
    <w:rsid w:val="0099195A"/>
    <w:rsid w:val="00991BD2"/>
    <w:rsid w:val="00992407"/>
    <w:rsid w:val="00992A11"/>
    <w:rsid w:val="00994681"/>
    <w:rsid w:val="0099486A"/>
    <w:rsid w:val="0099492D"/>
    <w:rsid w:val="00995FCE"/>
    <w:rsid w:val="009A06FC"/>
    <w:rsid w:val="009A0B33"/>
    <w:rsid w:val="009A0E26"/>
    <w:rsid w:val="009A16EC"/>
    <w:rsid w:val="009A22C2"/>
    <w:rsid w:val="009A4222"/>
    <w:rsid w:val="009A743E"/>
    <w:rsid w:val="009A7CF6"/>
    <w:rsid w:val="009B0D38"/>
    <w:rsid w:val="009B1B55"/>
    <w:rsid w:val="009B29B7"/>
    <w:rsid w:val="009B3199"/>
    <w:rsid w:val="009B3B37"/>
    <w:rsid w:val="009B63F4"/>
    <w:rsid w:val="009B7D1F"/>
    <w:rsid w:val="009C088E"/>
    <w:rsid w:val="009C17DC"/>
    <w:rsid w:val="009C37AB"/>
    <w:rsid w:val="009C4584"/>
    <w:rsid w:val="009C4C7A"/>
    <w:rsid w:val="009C4D35"/>
    <w:rsid w:val="009C5716"/>
    <w:rsid w:val="009C5E51"/>
    <w:rsid w:val="009C7B68"/>
    <w:rsid w:val="009D1522"/>
    <w:rsid w:val="009D3972"/>
    <w:rsid w:val="009D51F0"/>
    <w:rsid w:val="009D7252"/>
    <w:rsid w:val="009E1FF6"/>
    <w:rsid w:val="009E3CAF"/>
    <w:rsid w:val="009E3F48"/>
    <w:rsid w:val="009E434F"/>
    <w:rsid w:val="009E53A5"/>
    <w:rsid w:val="009E5B95"/>
    <w:rsid w:val="009E5CCE"/>
    <w:rsid w:val="009E5EB4"/>
    <w:rsid w:val="009E6BA8"/>
    <w:rsid w:val="009F563C"/>
    <w:rsid w:val="009F610E"/>
    <w:rsid w:val="00A00DA9"/>
    <w:rsid w:val="00A00E4B"/>
    <w:rsid w:val="00A00F7E"/>
    <w:rsid w:val="00A024DE"/>
    <w:rsid w:val="00A044D6"/>
    <w:rsid w:val="00A04ADB"/>
    <w:rsid w:val="00A04F89"/>
    <w:rsid w:val="00A05F11"/>
    <w:rsid w:val="00A1190C"/>
    <w:rsid w:val="00A11E0F"/>
    <w:rsid w:val="00A12378"/>
    <w:rsid w:val="00A141E9"/>
    <w:rsid w:val="00A15D78"/>
    <w:rsid w:val="00A15EBE"/>
    <w:rsid w:val="00A163C3"/>
    <w:rsid w:val="00A17F5B"/>
    <w:rsid w:val="00A20196"/>
    <w:rsid w:val="00A216E5"/>
    <w:rsid w:val="00A237E1"/>
    <w:rsid w:val="00A24752"/>
    <w:rsid w:val="00A26744"/>
    <w:rsid w:val="00A26CB6"/>
    <w:rsid w:val="00A30A00"/>
    <w:rsid w:val="00A32F82"/>
    <w:rsid w:val="00A32F8B"/>
    <w:rsid w:val="00A3431E"/>
    <w:rsid w:val="00A34F9F"/>
    <w:rsid w:val="00A352FB"/>
    <w:rsid w:val="00A36481"/>
    <w:rsid w:val="00A36675"/>
    <w:rsid w:val="00A3756F"/>
    <w:rsid w:val="00A41CC3"/>
    <w:rsid w:val="00A41DBE"/>
    <w:rsid w:val="00A42D6F"/>
    <w:rsid w:val="00A43870"/>
    <w:rsid w:val="00A44642"/>
    <w:rsid w:val="00A4474B"/>
    <w:rsid w:val="00A45A62"/>
    <w:rsid w:val="00A462DC"/>
    <w:rsid w:val="00A4657C"/>
    <w:rsid w:val="00A46C7E"/>
    <w:rsid w:val="00A51DB8"/>
    <w:rsid w:val="00A52E0B"/>
    <w:rsid w:val="00A52FA1"/>
    <w:rsid w:val="00A54AC5"/>
    <w:rsid w:val="00A54C2A"/>
    <w:rsid w:val="00A55DC3"/>
    <w:rsid w:val="00A566EC"/>
    <w:rsid w:val="00A56D41"/>
    <w:rsid w:val="00A56DEC"/>
    <w:rsid w:val="00A60529"/>
    <w:rsid w:val="00A60899"/>
    <w:rsid w:val="00A608D3"/>
    <w:rsid w:val="00A60F91"/>
    <w:rsid w:val="00A611D0"/>
    <w:rsid w:val="00A61353"/>
    <w:rsid w:val="00A61481"/>
    <w:rsid w:val="00A616F1"/>
    <w:rsid w:val="00A61A48"/>
    <w:rsid w:val="00A629D6"/>
    <w:rsid w:val="00A6364F"/>
    <w:rsid w:val="00A637C9"/>
    <w:rsid w:val="00A64E2B"/>
    <w:rsid w:val="00A65490"/>
    <w:rsid w:val="00A66361"/>
    <w:rsid w:val="00A66D5A"/>
    <w:rsid w:val="00A66DB1"/>
    <w:rsid w:val="00A67A92"/>
    <w:rsid w:val="00A70DC6"/>
    <w:rsid w:val="00A71DF2"/>
    <w:rsid w:val="00A74FDC"/>
    <w:rsid w:val="00A77192"/>
    <w:rsid w:val="00A8089F"/>
    <w:rsid w:val="00A821BE"/>
    <w:rsid w:val="00A842D5"/>
    <w:rsid w:val="00A85A62"/>
    <w:rsid w:val="00A87870"/>
    <w:rsid w:val="00A903F3"/>
    <w:rsid w:val="00A90F18"/>
    <w:rsid w:val="00A90FFB"/>
    <w:rsid w:val="00A9149D"/>
    <w:rsid w:val="00A91A70"/>
    <w:rsid w:val="00A9302F"/>
    <w:rsid w:val="00A940AF"/>
    <w:rsid w:val="00A957F6"/>
    <w:rsid w:val="00A959CF"/>
    <w:rsid w:val="00A96801"/>
    <w:rsid w:val="00A97316"/>
    <w:rsid w:val="00A979DC"/>
    <w:rsid w:val="00AA010B"/>
    <w:rsid w:val="00AA0D54"/>
    <w:rsid w:val="00AA1B85"/>
    <w:rsid w:val="00AA3013"/>
    <w:rsid w:val="00AA3290"/>
    <w:rsid w:val="00AA46F0"/>
    <w:rsid w:val="00AA4CA2"/>
    <w:rsid w:val="00AA6481"/>
    <w:rsid w:val="00AA6E4F"/>
    <w:rsid w:val="00AA7270"/>
    <w:rsid w:val="00AB0C08"/>
    <w:rsid w:val="00AB12AC"/>
    <w:rsid w:val="00AB1CB6"/>
    <w:rsid w:val="00AB1CDD"/>
    <w:rsid w:val="00AB1D9A"/>
    <w:rsid w:val="00AB4A1F"/>
    <w:rsid w:val="00AB5C61"/>
    <w:rsid w:val="00AC3164"/>
    <w:rsid w:val="00AC3540"/>
    <w:rsid w:val="00AC3D15"/>
    <w:rsid w:val="00AC5055"/>
    <w:rsid w:val="00AC58DC"/>
    <w:rsid w:val="00AD0C22"/>
    <w:rsid w:val="00AD1AD7"/>
    <w:rsid w:val="00AD1AE2"/>
    <w:rsid w:val="00AD1DC6"/>
    <w:rsid w:val="00AD3290"/>
    <w:rsid w:val="00AD41EB"/>
    <w:rsid w:val="00AD442C"/>
    <w:rsid w:val="00AD44FE"/>
    <w:rsid w:val="00AD5A37"/>
    <w:rsid w:val="00AD73BF"/>
    <w:rsid w:val="00AE05A4"/>
    <w:rsid w:val="00AE177E"/>
    <w:rsid w:val="00AE25FC"/>
    <w:rsid w:val="00AE400C"/>
    <w:rsid w:val="00AE49F1"/>
    <w:rsid w:val="00AE4A1C"/>
    <w:rsid w:val="00AE4B7A"/>
    <w:rsid w:val="00AE4DA4"/>
    <w:rsid w:val="00AE5532"/>
    <w:rsid w:val="00AE74D8"/>
    <w:rsid w:val="00AE76D2"/>
    <w:rsid w:val="00AE796C"/>
    <w:rsid w:val="00AF0B6F"/>
    <w:rsid w:val="00AF1D69"/>
    <w:rsid w:val="00AF30D0"/>
    <w:rsid w:val="00AF41FA"/>
    <w:rsid w:val="00AF71EB"/>
    <w:rsid w:val="00B00988"/>
    <w:rsid w:val="00B01405"/>
    <w:rsid w:val="00B03639"/>
    <w:rsid w:val="00B052E8"/>
    <w:rsid w:val="00B05CCA"/>
    <w:rsid w:val="00B077D3"/>
    <w:rsid w:val="00B100C9"/>
    <w:rsid w:val="00B10AC8"/>
    <w:rsid w:val="00B10E8A"/>
    <w:rsid w:val="00B11099"/>
    <w:rsid w:val="00B1118A"/>
    <w:rsid w:val="00B13CE1"/>
    <w:rsid w:val="00B14271"/>
    <w:rsid w:val="00B16270"/>
    <w:rsid w:val="00B22578"/>
    <w:rsid w:val="00B23C16"/>
    <w:rsid w:val="00B23C52"/>
    <w:rsid w:val="00B247C7"/>
    <w:rsid w:val="00B259E1"/>
    <w:rsid w:val="00B2685D"/>
    <w:rsid w:val="00B26D1E"/>
    <w:rsid w:val="00B27573"/>
    <w:rsid w:val="00B30295"/>
    <w:rsid w:val="00B30351"/>
    <w:rsid w:val="00B31D62"/>
    <w:rsid w:val="00B33837"/>
    <w:rsid w:val="00B33C2A"/>
    <w:rsid w:val="00B34A14"/>
    <w:rsid w:val="00B35967"/>
    <w:rsid w:val="00B363D9"/>
    <w:rsid w:val="00B372CC"/>
    <w:rsid w:val="00B400FD"/>
    <w:rsid w:val="00B403AF"/>
    <w:rsid w:val="00B422EC"/>
    <w:rsid w:val="00B44875"/>
    <w:rsid w:val="00B44C07"/>
    <w:rsid w:val="00B46320"/>
    <w:rsid w:val="00B4657A"/>
    <w:rsid w:val="00B471F4"/>
    <w:rsid w:val="00B47F0A"/>
    <w:rsid w:val="00B50B6B"/>
    <w:rsid w:val="00B53E7E"/>
    <w:rsid w:val="00B54329"/>
    <w:rsid w:val="00B54885"/>
    <w:rsid w:val="00B54BFF"/>
    <w:rsid w:val="00B54FBD"/>
    <w:rsid w:val="00B554C9"/>
    <w:rsid w:val="00B56AD9"/>
    <w:rsid w:val="00B56EE3"/>
    <w:rsid w:val="00B57158"/>
    <w:rsid w:val="00B5778D"/>
    <w:rsid w:val="00B614C0"/>
    <w:rsid w:val="00B61D0B"/>
    <w:rsid w:val="00B63235"/>
    <w:rsid w:val="00B634AB"/>
    <w:rsid w:val="00B63624"/>
    <w:rsid w:val="00B642B9"/>
    <w:rsid w:val="00B64763"/>
    <w:rsid w:val="00B6678B"/>
    <w:rsid w:val="00B7037B"/>
    <w:rsid w:val="00B71295"/>
    <w:rsid w:val="00B719F6"/>
    <w:rsid w:val="00B726D4"/>
    <w:rsid w:val="00B72969"/>
    <w:rsid w:val="00B758FD"/>
    <w:rsid w:val="00B76807"/>
    <w:rsid w:val="00B77D24"/>
    <w:rsid w:val="00B8214F"/>
    <w:rsid w:val="00B82B43"/>
    <w:rsid w:val="00B82B48"/>
    <w:rsid w:val="00B84B3D"/>
    <w:rsid w:val="00B85133"/>
    <w:rsid w:val="00B8643A"/>
    <w:rsid w:val="00B86A4F"/>
    <w:rsid w:val="00B93035"/>
    <w:rsid w:val="00B940EB"/>
    <w:rsid w:val="00B9431C"/>
    <w:rsid w:val="00B94DCB"/>
    <w:rsid w:val="00B94F52"/>
    <w:rsid w:val="00B951FF"/>
    <w:rsid w:val="00B95798"/>
    <w:rsid w:val="00B958E8"/>
    <w:rsid w:val="00B97637"/>
    <w:rsid w:val="00B97E4A"/>
    <w:rsid w:val="00BA09B2"/>
    <w:rsid w:val="00BA0F35"/>
    <w:rsid w:val="00BA10FF"/>
    <w:rsid w:val="00BA12BC"/>
    <w:rsid w:val="00BA465D"/>
    <w:rsid w:val="00BA52C0"/>
    <w:rsid w:val="00BA5B46"/>
    <w:rsid w:val="00BA62E9"/>
    <w:rsid w:val="00BA63D4"/>
    <w:rsid w:val="00BA6409"/>
    <w:rsid w:val="00BA78FD"/>
    <w:rsid w:val="00BB10E9"/>
    <w:rsid w:val="00BB2D73"/>
    <w:rsid w:val="00BB400D"/>
    <w:rsid w:val="00BB45BA"/>
    <w:rsid w:val="00BB4824"/>
    <w:rsid w:val="00BB48B2"/>
    <w:rsid w:val="00BB4A3A"/>
    <w:rsid w:val="00BB4D6A"/>
    <w:rsid w:val="00BB5D0B"/>
    <w:rsid w:val="00BB629C"/>
    <w:rsid w:val="00BC046A"/>
    <w:rsid w:val="00BC0995"/>
    <w:rsid w:val="00BC1761"/>
    <w:rsid w:val="00BC19ED"/>
    <w:rsid w:val="00BC513A"/>
    <w:rsid w:val="00BC6C56"/>
    <w:rsid w:val="00BC6DE2"/>
    <w:rsid w:val="00BC6E62"/>
    <w:rsid w:val="00BD013A"/>
    <w:rsid w:val="00BD2510"/>
    <w:rsid w:val="00BD3A53"/>
    <w:rsid w:val="00BD5A19"/>
    <w:rsid w:val="00BD656A"/>
    <w:rsid w:val="00BD6D1B"/>
    <w:rsid w:val="00BE13AB"/>
    <w:rsid w:val="00BE188F"/>
    <w:rsid w:val="00BE1E56"/>
    <w:rsid w:val="00BE2403"/>
    <w:rsid w:val="00BE2D0A"/>
    <w:rsid w:val="00BE47D4"/>
    <w:rsid w:val="00BE793A"/>
    <w:rsid w:val="00BE7A0B"/>
    <w:rsid w:val="00BF114D"/>
    <w:rsid w:val="00BF2B82"/>
    <w:rsid w:val="00BF2CEB"/>
    <w:rsid w:val="00BF3F53"/>
    <w:rsid w:val="00BF432A"/>
    <w:rsid w:val="00BF477F"/>
    <w:rsid w:val="00BF5D70"/>
    <w:rsid w:val="00BF6E82"/>
    <w:rsid w:val="00BF6F27"/>
    <w:rsid w:val="00C019F1"/>
    <w:rsid w:val="00C060C7"/>
    <w:rsid w:val="00C06DCC"/>
    <w:rsid w:val="00C07F92"/>
    <w:rsid w:val="00C10EA4"/>
    <w:rsid w:val="00C11D25"/>
    <w:rsid w:val="00C122C4"/>
    <w:rsid w:val="00C13217"/>
    <w:rsid w:val="00C15BEC"/>
    <w:rsid w:val="00C15DB5"/>
    <w:rsid w:val="00C16D26"/>
    <w:rsid w:val="00C208E2"/>
    <w:rsid w:val="00C20D11"/>
    <w:rsid w:val="00C21897"/>
    <w:rsid w:val="00C22788"/>
    <w:rsid w:val="00C227C4"/>
    <w:rsid w:val="00C2288E"/>
    <w:rsid w:val="00C22B54"/>
    <w:rsid w:val="00C24279"/>
    <w:rsid w:val="00C24C17"/>
    <w:rsid w:val="00C27D80"/>
    <w:rsid w:val="00C31595"/>
    <w:rsid w:val="00C31B25"/>
    <w:rsid w:val="00C3309D"/>
    <w:rsid w:val="00C3411D"/>
    <w:rsid w:val="00C34357"/>
    <w:rsid w:val="00C34829"/>
    <w:rsid w:val="00C363B8"/>
    <w:rsid w:val="00C3758F"/>
    <w:rsid w:val="00C407CA"/>
    <w:rsid w:val="00C40B88"/>
    <w:rsid w:val="00C42DE4"/>
    <w:rsid w:val="00C430A4"/>
    <w:rsid w:val="00C431FE"/>
    <w:rsid w:val="00C44489"/>
    <w:rsid w:val="00C44FC2"/>
    <w:rsid w:val="00C4587F"/>
    <w:rsid w:val="00C479FE"/>
    <w:rsid w:val="00C47D87"/>
    <w:rsid w:val="00C47FCD"/>
    <w:rsid w:val="00C50FA6"/>
    <w:rsid w:val="00C5376E"/>
    <w:rsid w:val="00C554C1"/>
    <w:rsid w:val="00C55AEE"/>
    <w:rsid w:val="00C5631F"/>
    <w:rsid w:val="00C564EB"/>
    <w:rsid w:val="00C5701B"/>
    <w:rsid w:val="00C60387"/>
    <w:rsid w:val="00C6069A"/>
    <w:rsid w:val="00C61BDC"/>
    <w:rsid w:val="00C64D40"/>
    <w:rsid w:val="00C65957"/>
    <w:rsid w:val="00C66218"/>
    <w:rsid w:val="00C6663C"/>
    <w:rsid w:val="00C677C9"/>
    <w:rsid w:val="00C70DBC"/>
    <w:rsid w:val="00C71E80"/>
    <w:rsid w:val="00C74994"/>
    <w:rsid w:val="00C7750A"/>
    <w:rsid w:val="00C80467"/>
    <w:rsid w:val="00C808A6"/>
    <w:rsid w:val="00C82DF4"/>
    <w:rsid w:val="00C84AC6"/>
    <w:rsid w:val="00C8500D"/>
    <w:rsid w:val="00C855DB"/>
    <w:rsid w:val="00C855F3"/>
    <w:rsid w:val="00C86270"/>
    <w:rsid w:val="00C86C49"/>
    <w:rsid w:val="00C87307"/>
    <w:rsid w:val="00C90C20"/>
    <w:rsid w:val="00C948CF"/>
    <w:rsid w:val="00C94D1A"/>
    <w:rsid w:val="00C94F6F"/>
    <w:rsid w:val="00C95798"/>
    <w:rsid w:val="00C95A74"/>
    <w:rsid w:val="00C97091"/>
    <w:rsid w:val="00C97260"/>
    <w:rsid w:val="00C97391"/>
    <w:rsid w:val="00CA14A5"/>
    <w:rsid w:val="00CA1A7C"/>
    <w:rsid w:val="00CA1AB8"/>
    <w:rsid w:val="00CA2001"/>
    <w:rsid w:val="00CA2B10"/>
    <w:rsid w:val="00CA3F11"/>
    <w:rsid w:val="00CA3FE1"/>
    <w:rsid w:val="00CA5256"/>
    <w:rsid w:val="00CA5564"/>
    <w:rsid w:val="00CA6B0D"/>
    <w:rsid w:val="00CB078E"/>
    <w:rsid w:val="00CB3734"/>
    <w:rsid w:val="00CB3782"/>
    <w:rsid w:val="00CB4D20"/>
    <w:rsid w:val="00CB5B6C"/>
    <w:rsid w:val="00CB74E3"/>
    <w:rsid w:val="00CB7970"/>
    <w:rsid w:val="00CC02BF"/>
    <w:rsid w:val="00CC052E"/>
    <w:rsid w:val="00CC067A"/>
    <w:rsid w:val="00CC06E5"/>
    <w:rsid w:val="00CC07E4"/>
    <w:rsid w:val="00CC0B14"/>
    <w:rsid w:val="00CC1079"/>
    <w:rsid w:val="00CC4568"/>
    <w:rsid w:val="00CC5B9C"/>
    <w:rsid w:val="00CD02DF"/>
    <w:rsid w:val="00CD0E0B"/>
    <w:rsid w:val="00CD10A5"/>
    <w:rsid w:val="00CD16BE"/>
    <w:rsid w:val="00CD179F"/>
    <w:rsid w:val="00CD1F32"/>
    <w:rsid w:val="00CD2268"/>
    <w:rsid w:val="00CD44C3"/>
    <w:rsid w:val="00CD4616"/>
    <w:rsid w:val="00CD56AF"/>
    <w:rsid w:val="00CD5FFA"/>
    <w:rsid w:val="00CD608B"/>
    <w:rsid w:val="00CD61BB"/>
    <w:rsid w:val="00CE33D5"/>
    <w:rsid w:val="00CE4712"/>
    <w:rsid w:val="00CE6073"/>
    <w:rsid w:val="00CE761C"/>
    <w:rsid w:val="00CF5D37"/>
    <w:rsid w:val="00CF6353"/>
    <w:rsid w:val="00CF6F33"/>
    <w:rsid w:val="00CF7B59"/>
    <w:rsid w:val="00CF7C7B"/>
    <w:rsid w:val="00D02248"/>
    <w:rsid w:val="00D02A3B"/>
    <w:rsid w:val="00D04429"/>
    <w:rsid w:val="00D04B47"/>
    <w:rsid w:val="00D04E37"/>
    <w:rsid w:val="00D063B8"/>
    <w:rsid w:val="00D06825"/>
    <w:rsid w:val="00D0695F"/>
    <w:rsid w:val="00D07467"/>
    <w:rsid w:val="00D076E6"/>
    <w:rsid w:val="00D10594"/>
    <w:rsid w:val="00D11CB8"/>
    <w:rsid w:val="00D15CDD"/>
    <w:rsid w:val="00D17185"/>
    <w:rsid w:val="00D17E3B"/>
    <w:rsid w:val="00D20EB9"/>
    <w:rsid w:val="00D2306F"/>
    <w:rsid w:val="00D233A1"/>
    <w:rsid w:val="00D23C09"/>
    <w:rsid w:val="00D23CED"/>
    <w:rsid w:val="00D23DDC"/>
    <w:rsid w:val="00D241D1"/>
    <w:rsid w:val="00D24BD2"/>
    <w:rsid w:val="00D254F7"/>
    <w:rsid w:val="00D2573D"/>
    <w:rsid w:val="00D260A2"/>
    <w:rsid w:val="00D30CC6"/>
    <w:rsid w:val="00D30DA4"/>
    <w:rsid w:val="00D31722"/>
    <w:rsid w:val="00D3260C"/>
    <w:rsid w:val="00D33DB5"/>
    <w:rsid w:val="00D35790"/>
    <w:rsid w:val="00D41971"/>
    <w:rsid w:val="00D442D5"/>
    <w:rsid w:val="00D44822"/>
    <w:rsid w:val="00D45043"/>
    <w:rsid w:val="00D4757A"/>
    <w:rsid w:val="00D475D2"/>
    <w:rsid w:val="00D51576"/>
    <w:rsid w:val="00D519AF"/>
    <w:rsid w:val="00D532A9"/>
    <w:rsid w:val="00D5437A"/>
    <w:rsid w:val="00D5611E"/>
    <w:rsid w:val="00D5653B"/>
    <w:rsid w:val="00D56C30"/>
    <w:rsid w:val="00D56DF7"/>
    <w:rsid w:val="00D5726D"/>
    <w:rsid w:val="00D572AC"/>
    <w:rsid w:val="00D6071F"/>
    <w:rsid w:val="00D60AA4"/>
    <w:rsid w:val="00D61D6E"/>
    <w:rsid w:val="00D623E1"/>
    <w:rsid w:val="00D62A31"/>
    <w:rsid w:val="00D62EF1"/>
    <w:rsid w:val="00D6309D"/>
    <w:rsid w:val="00D6389F"/>
    <w:rsid w:val="00D644CA"/>
    <w:rsid w:val="00D64EA0"/>
    <w:rsid w:val="00D66327"/>
    <w:rsid w:val="00D66FC2"/>
    <w:rsid w:val="00D7044E"/>
    <w:rsid w:val="00D704A8"/>
    <w:rsid w:val="00D76C7E"/>
    <w:rsid w:val="00D771DE"/>
    <w:rsid w:val="00D77337"/>
    <w:rsid w:val="00D7752D"/>
    <w:rsid w:val="00D7776D"/>
    <w:rsid w:val="00D77E35"/>
    <w:rsid w:val="00D80C6C"/>
    <w:rsid w:val="00D81971"/>
    <w:rsid w:val="00D81AEF"/>
    <w:rsid w:val="00D82A42"/>
    <w:rsid w:val="00D834F1"/>
    <w:rsid w:val="00D83609"/>
    <w:rsid w:val="00D83AA6"/>
    <w:rsid w:val="00D85C0D"/>
    <w:rsid w:val="00D866CB"/>
    <w:rsid w:val="00D86909"/>
    <w:rsid w:val="00D86D4F"/>
    <w:rsid w:val="00D87A9A"/>
    <w:rsid w:val="00D90625"/>
    <w:rsid w:val="00D909F8"/>
    <w:rsid w:val="00D9152C"/>
    <w:rsid w:val="00D92179"/>
    <w:rsid w:val="00D922C6"/>
    <w:rsid w:val="00D9293F"/>
    <w:rsid w:val="00D92DE7"/>
    <w:rsid w:val="00D93598"/>
    <w:rsid w:val="00D93FDD"/>
    <w:rsid w:val="00D942F8"/>
    <w:rsid w:val="00D977F4"/>
    <w:rsid w:val="00D97A5B"/>
    <w:rsid w:val="00DA1E18"/>
    <w:rsid w:val="00DA2009"/>
    <w:rsid w:val="00DA3F79"/>
    <w:rsid w:val="00DA585A"/>
    <w:rsid w:val="00DA62A8"/>
    <w:rsid w:val="00DA7741"/>
    <w:rsid w:val="00DA7769"/>
    <w:rsid w:val="00DB05B1"/>
    <w:rsid w:val="00DB2823"/>
    <w:rsid w:val="00DB2D6B"/>
    <w:rsid w:val="00DB2D74"/>
    <w:rsid w:val="00DB3767"/>
    <w:rsid w:val="00DB3786"/>
    <w:rsid w:val="00DB3E9B"/>
    <w:rsid w:val="00DB4784"/>
    <w:rsid w:val="00DB59E8"/>
    <w:rsid w:val="00DB5A79"/>
    <w:rsid w:val="00DC19D6"/>
    <w:rsid w:val="00DC2465"/>
    <w:rsid w:val="00DC3F66"/>
    <w:rsid w:val="00DC4BCA"/>
    <w:rsid w:val="00DC5E2C"/>
    <w:rsid w:val="00DC7D48"/>
    <w:rsid w:val="00DD0253"/>
    <w:rsid w:val="00DD145A"/>
    <w:rsid w:val="00DD512E"/>
    <w:rsid w:val="00DD5EC8"/>
    <w:rsid w:val="00DD7BEC"/>
    <w:rsid w:val="00DE083E"/>
    <w:rsid w:val="00DE0C22"/>
    <w:rsid w:val="00DE1177"/>
    <w:rsid w:val="00DE28DD"/>
    <w:rsid w:val="00DE291E"/>
    <w:rsid w:val="00DE2C94"/>
    <w:rsid w:val="00DE2CEA"/>
    <w:rsid w:val="00DE3CFE"/>
    <w:rsid w:val="00DE567C"/>
    <w:rsid w:val="00DE6154"/>
    <w:rsid w:val="00DE634D"/>
    <w:rsid w:val="00DE6A3C"/>
    <w:rsid w:val="00DE74F4"/>
    <w:rsid w:val="00DE7C8B"/>
    <w:rsid w:val="00DE7F97"/>
    <w:rsid w:val="00DF0AAF"/>
    <w:rsid w:val="00DF1010"/>
    <w:rsid w:val="00DF2244"/>
    <w:rsid w:val="00DF334D"/>
    <w:rsid w:val="00DF53D9"/>
    <w:rsid w:val="00DF5AEA"/>
    <w:rsid w:val="00DF5D49"/>
    <w:rsid w:val="00DF63F6"/>
    <w:rsid w:val="00DF772E"/>
    <w:rsid w:val="00DF7992"/>
    <w:rsid w:val="00DF7BD0"/>
    <w:rsid w:val="00E00C8E"/>
    <w:rsid w:val="00E0198A"/>
    <w:rsid w:val="00E0219D"/>
    <w:rsid w:val="00E0276A"/>
    <w:rsid w:val="00E0374B"/>
    <w:rsid w:val="00E0632F"/>
    <w:rsid w:val="00E06C36"/>
    <w:rsid w:val="00E071A9"/>
    <w:rsid w:val="00E07D26"/>
    <w:rsid w:val="00E10B28"/>
    <w:rsid w:val="00E117FD"/>
    <w:rsid w:val="00E12672"/>
    <w:rsid w:val="00E13747"/>
    <w:rsid w:val="00E14758"/>
    <w:rsid w:val="00E1484A"/>
    <w:rsid w:val="00E15D0E"/>
    <w:rsid w:val="00E21088"/>
    <w:rsid w:val="00E2180F"/>
    <w:rsid w:val="00E23C5E"/>
    <w:rsid w:val="00E23E29"/>
    <w:rsid w:val="00E24632"/>
    <w:rsid w:val="00E24921"/>
    <w:rsid w:val="00E25155"/>
    <w:rsid w:val="00E25AEA"/>
    <w:rsid w:val="00E27C2C"/>
    <w:rsid w:val="00E27DBA"/>
    <w:rsid w:val="00E30D26"/>
    <w:rsid w:val="00E30DEF"/>
    <w:rsid w:val="00E30ED2"/>
    <w:rsid w:val="00E31276"/>
    <w:rsid w:val="00E3155D"/>
    <w:rsid w:val="00E32102"/>
    <w:rsid w:val="00E34666"/>
    <w:rsid w:val="00E36A66"/>
    <w:rsid w:val="00E375B9"/>
    <w:rsid w:val="00E37F70"/>
    <w:rsid w:val="00E41377"/>
    <w:rsid w:val="00E41985"/>
    <w:rsid w:val="00E42B89"/>
    <w:rsid w:val="00E43E33"/>
    <w:rsid w:val="00E446C1"/>
    <w:rsid w:val="00E46BCD"/>
    <w:rsid w:val="00E500F9"/>
    <w:rsid w:val="00E51414"/>
    <w:rsid w:val="00E51CCC"/>
    <w:rsid w:val="00E52079"/>
    <w:rsid w:val="00E52E5F"/>
    <w:rsid w:val="00E545D7"/>
    <w:rsid w:val="00E547FE"/>
    <w:rsid w:val="00E54960"/>
    <w:rsid w:val="00E55927"/>
    <w:rsid w:val="00E5669C"/>
    <w:rsid w:val="00E57819"/>
    <w:rsid w:val="00E60ECA"/>
    <w:rsid w:val="00E613AB"/>
    <w:rsid w:val="00E637B6"/>
    <w:rsid w:val="00E63FE2"/>
    <w:rsid w:val="00E663B6"/>
    <w:rsid w:val="00E66BBE"/>
    <w:rsid w:val="00E670B5"/>
    <w:rsid w:val="00E6780D"/>
    <w:rsid w:val="00E71DFE"/>
    <w:rsid w:val="00E72EEE"/>
    <w:rsid w:val="00E73083"/>
    <w:rsid w:val="00E756E4"/>
    <w:rsid w:val="00E758B9"/>
    <w:rsid w:val="00E76025"/>
    <w:rsid w:val="00E76B45"/>
    <w:rsid w:val="00E779F7"/>
    <w:rsid w:val="00E80341"/>
    <w:rsid w:val="00E81BC1"/>
    <w:rsid w:val="00E82FE5"/>
    <w:rsid w:val="00E83724"/>
    <w:rsid w:val="00E84236"/>
    <w:rsid w:val="00E84C02"/>
    <w:rsid w:val="00E85569"/>
    <w:rsid w:val="00E856AF"/>
    <w:rsid w:val="00E8581A"/>
    <w:rsid w:val="00E859D9"/>
    <w:rsid w:val="00E86B83"/>
    <w:rsid w:val="00E86D6E"/>
    <w:rsid w:val="00E878FB"/>
    <w:rsid w:val="00E87C64"/>
    <w:rsid w:val="00E912E1"/>
    <w:rsid w:val="00E91553"/>
    <w:rsid w:val="00E919C3"/>
    <w:rsid w:val="00E93A01"/>
    <w:rsid w:val="00E93FF8"/>
    <w:rsid w:val="00E948D8"/>
    <w:rsid w:val="00E94EB6"/>
    <w:rsid w:val="00E94F16"/>
    <w:rsid w:val="00E950CA"/>
    <w:rsid w:val="00E95CA8"/>
    <w:rsid w:val="00E96643"/>
    <w:rsid w:val="00E96CAF"/>
    <w:rsid w:val="00E96CE0"/>
    <w:rsid w:val="00E96EAF"/>
    <w:rsid w:val="00EA044C"/>
    <w:rsid w:val="00EA1752"/>
    <w:rsid w:val="00EA1911"/>
    <w:rsid w:val="00EA539B"/>
    <w:rsid w:val="00EA5A89"/>
    <w:rsid w:val="00EA5BDB"/>
    <w:rsid w:val="00EA63FA"/>
    <w:rsid w:val="00EB0A73"/>
    <w:rsid w:val="00EB0A9C"/>
    <w:rsid w:val="00EB0B55"/>
    <w:rsid w:val="00EB30AD"/>
    <w:rsid w:val="00EB3A98"/>
    <w:rsid w:val="00EB46D9"/>
    <w:rsid w:val="00EB6EF6"/>
    <w:rsid w:val="00EC0199"/>
    <w:rsid w:val="00EC0E64"/>
    <w:rsid w:val="00EC142D"/>
    <w:rsid w:val="00EC1E16"/>
    <w:rsid w:val="00EC2DD1"/>
    <w:rsid w:val="00EC32C6"/>
    <w:rsid w:val="00EC4B8E"/>
    <w:rsid w:val="00EC4BA5"/>
    <w:rsid w:val="00EC52DA"/>
    <w:rsid w:val="00EC6F28"/>
    <w:rsid w:val="00ED0024"/>
    <w:rsid w:val="00ED0EA0"/>
    <w:rsid w:val="00ED0F85"/>
    <w:rsid w:val="00ED2B5C"/>
    <w:rsid w:val="00ED3269"/>
    <w:rsid w:val="00ED3A18"/>
    <w:rsid w:val="00ED3AB7"/>
    <w:rsid w:val="00ED3C57"/>
    <w:rsid w:val="00ED5C4A"/>
    <w:rsid w:val="00ED72F6"/>
    <w:rsid w:val="00EE1A8C"/>
    <w:rsid w:val="00EE30CB"/>
    <w:rsid w:val="00EE3FED"/>
    <w:rsid w:val="00EE4643"/>
    <w:rsid w:val="00EE529F"/>
    <w:rsid w:val="00EE65B6"/>
    <w:rsid w:val="00EE7C86"/>
    <w:rsid w:val="00EF1330"/>
    <w:rsid w:val="00EF15FF"/>
    <w:rsid w:val="00EF2FEE"/>
    <w:rsid w:val="00EF31D8"/>
    <w:rsid w:val="00EF55E6"/>
    <w:rsid w:val="00EF5707"/>
    <w:rsid w:val="00EF6A69"/>
    <w:rsid w:val="00EF6F1F"/>
    <w:rsid w:val="00EF70EC"/>
    <w:rsid w:val="00EF7111"/>
    <w:rsid w:val="00EF7D1A"/>
    <w:rsid w:val="00F02759"/>
    <w:rsid w:val="00F03B49"/>
    <w:rsid w:val="00F0448F"/>
    <w:rsid w:val="00F065C3"/>
    <w:rsid w:val="00F0716C"/>
    <w:rsid w:val="00F105AE"/>
    <w:rsid w:val="00F108A8"/>
    <w:rsid w:val="00F10A90"/>
    <w:rsid w:val="00F13319"/>
    <w:rsid w:val="00F14353"/>
    <w:rsid w:val="00F1628B"/>
    <w:rsid w:val="00F22E81"/>
    <w:rsid w:val="00F24931"/>
    <w:rsid w:val="00F270E9"/>
    <w:rsid w:val="00F273EF"/>
    <w:rsid w:val="00F27440"/>
    <w:rsid w:val="00F275C0"/>
    <w:rsid w:val="00F317B5"/>
    <w:rsid w:val="00F33348"/>
    <w:rsid w:val="00F346B6"/>
    <w:rsid w:val="00F355CE"/>
    <w:rsid w:val="00F35DA1"/>
    <w:rsid w:val="00F3608D"/>
    <w:rsid w:val="00F36145"/>
    <w:rsid w:val="00F37BDD"/>
    <w:rsid w:val="00F40716"/>
    <w:rsid w:val="00F41503"/>
    <w:rsid w:val="00F417D4"/>
    <w:rsid w:val="00F41883"/>
    <w:rsid w:val="00F432CF"/>
    <w:rsid w:val="00F437FD"/>
    <w:rsid w:val="00F43B69"/>
    <w:rsid w:val="00F4479A"/>
    <w:rsid w:val="00F44D82"/>
    <w:rsid w:val="00F45589"/>
    <w:rsid w:val="00F46207"/>
    <w:rsid w:val="00F466C8"/>
    <w:rsid w:val="00F469A9"/>
    <w:rsid w:val="00F469C4"/>
    <w:rsid w:val="00F46B50"/>
    <w:rsid w:val="00F47C20"/>
    <w:rsid w:val="00F509B7"/>
    <w:rsid w:val="00F50A44"/>
    <w:rsid w:val="00F50B46"/>
    <w:rsid w:val="00F50D1F"/>
    <w:rsid w:val="00F51545"/>
    <w:rsid w:val="00F521DE"/>
    <w:rsid w:val="00F541D4"/>
    <w:rsid w:val="00F55295"/>
    <w:rsid w:val="00F553CE"/>
    <w:rsid w:val="00F55A00"/>
    <w:rsid w:val="00F56043"/>
    <w:rsid w:val="00F5664E"/>
    <w:rsid w:val="00F56BD8"/>
    <w:rsid w:val="00F56E9C"/>
    <w:rsid w:val="00F56FA9"/>
    <w:rsid w:val="00F6171A"/>
    <w:rsid w:val="00F62306"/>
    <w:rsid w:val="00F635FC"/>
    <w:rsid w:val="00F63D03"/>
    <w:rsid w:val="00F658C3"/>
    <w:rsid w:val="00F65E2F"/>
    <w:rsid w:val="00F66520"/>
    <w:rsid w:val="00F67385"/>
    <w:rsid w:val="00F67DF1"/>
    <w:rsid w:val="00F7054E"/>
    <w:rsid w:val="00F7137C"/>
    <w:rsid w:val="00F72A09"/>
    <w:rsid w:val="00F73EDC"/>
    <w:rsid w:val="00F747FB"/>
    <w:rsid w:val="00F74E67"/>
    <w:rsid w:val="00F80154"/>
    <w:rsid w:val="00F8309B"/>
    <w:rsid w:val="00F833C9"/>
    <w:rsid w:val="00F90064"/>
    <w:rsid w:val="00F9022A"/>
    <w:rsid w:val="00F91107"/>
    <w:rsid w:val="00F94217"/>
    <w:rsid w:val="00F9586C"/>
    <w:rsid w:val="00F96AFD"/>
    <w:rsid w:val="00F96F4C"/>
    <w:rsid w:val="00FA07F4"/>
    <w:rsid w:val="00FA1398"/>
    <w:rsid w:val="00FA1515"/>
    <w:rsid w:val="00FA2E19"/>
    <w:rsid w:val="00FA37C2"/>
    <w:rsid w:val="00FA43C8"/>
    <w:rsid w:val="00FA697F"/>
    <w:rsid w:val="00FB0147"/>
    <w:rsid w:val="00FB0F92"/>
    <w:rsid w:val="00FB2FB3"/>
    <w:rsid w:val="00FB3846"/>
    <w:rsid w:val="00FB5000"/>
    <w:rsid w:val="00FB5059"/>
    <w:rsid w:val="00FB5521"/>
    <w:rsid w:val="00FB610D"/>
    <w:rsid w:val="00FB626E"/>
    <w:rsid w:val="00FB784A"/>
    <w:rsid w:val="00FC27D1"/>
    <w:rsid w:val="00FC4477"/>
    <w:rsid w:val="00FC46FB"/>
    <w:rsid w:val="00FC6630"/>
    <w:rsid w:val="00FC7B66"/>
    <w:rsid w:val="00FD0D94"/>
    <w:rsid w:val="00FD106C"/>
    <w:rsid w:val="00FD26CE"/>
    <w:rsid w:val="00FD2BD3"/>
    <w:rsid w:val="00FD3DEF"/>
    <w:rsid w:val="00FD4554"/>
    <w:rsid w:val="00FD4CCA"/>
    <w:rsid w:val="00FD58B1"/>
    <w:rsid w:val="00FD7002"/>
    <w:rsid w:val="00FD7420"/>
    <w:rsid w:val="00FD7610"/>
    <w:rsid w:val="00FE04BA"/>
    <w:rsid w:val="00FE234B"/>
    <w:rsid w:val="00FE2A9E"/>
    <w:rsid w:val="00FE34B3"/>
    <w:rsid w:val="00FE46B7"/>
    <w:rsid w:val="00FE4CEC"/>
    <w:rsid w:val="00FE66FB"/>
    <w:rsid w:val="00FF0420"/>
    <w:rsid w:val="00FF056B"/>
    <w:rsid w:val="00FF41B8"/>
    <w:rsid w:val="00FF5237"/>
    <w:rsid w:val="00FF5B79"/>
    <w:rsid w:val="00FF6756"/>
    <w:rsid w:val="06763376"/>
    <w:rsid w:val="06D79157"/>
    <w:rsid w:val="0DD79F36"/>
    <w:rsid w:val="11E43BAB"/>
    <w:rsid w:val="121534C5"/>
    <w:rsid w:val="161E678D"/>
    <w:rsid w:val="19090967"/>
    <w:rsid w:val="1B3C24C5"/>
    <w:rsid w:val="210B7837"/>
    <w:rsid w:val="23B4E6BE"/>
    <w:rsid w:val="24F18C83"/>
    <w:rsid w:val="25653D02"/>
    <w:rsid w:val="27AA7305"/>
    <w:rsid w:val="3310C0BE"/>
    <w:rsid w:val="38EF0D05"/>
    <w:rsid w:val="39A07357"/>
    <w:rsid w:val="42088138"/>
    <w:rsid w:val="511D528A"/>
    <w:rsid w:val="588ADAF6"/>
    <w:rsid w:val="5CE173DD"/>
    <w:rsid w:val="66EB6E8A"/>
    <w:rsid w:val="69981A89"/>
    <w:rsid w:val="7629CDD5"/>
    <w:rsid w:val="772E53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D8A9B98D-733D-4FF4-9BF4-D50BB21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Paragrafoelenco">
    <w:name w:val="List Paragraph"/>
    <w:basedOn w:val="Normale"/>
    <w:uiPriority w:val="34"/>
    <w:qFormat/>
    <w:rsid w:val="00635616"/>
    <w:pPr>
      <w:ind w:left="720"/>
      <w:contextualSpacing/>
    </w:pPr>
  </w:style>
  <w:style w:type="character" w:styleId="Rimandocommento">
    <w:name w:val="annotation reference"/>
    <w:rsid w:val="00846017"/>
    <w:rPr>
      <w:sz w:val="16"/>
      <w:szCs w:val="16"/>
    </w:rPr>
  </w:style>
  <w:style w:type="paragraph" w:styleId="Testocommento">
    <w:name w:val="annotation text"/>
    <w:basedOn w:val="Normale"/>
    <w:link w:val="TestocommentoCarattere"/>
    <w:rsid w:val="00846017"/>
    <w:pPr>
      <w:spacing w:line="260" w:lineRule="atLeast"/>
      <w:jc w:val="left"/>
    </w:pPr>
    <w:rPr>
      <w:rFonts w:ascii="Arial" w:hAnsi="Arial"/>
      <w:sz w:val="20"/>
      <w:szCs w:val="20"/>
      <w:lang w:val="de-DE"/>
    </w:rPr>
  </w:style>
  <w:style w:type="character" w:customStyle="1" w:styleId="TestocommentoCarattere">
    <w:name w:val="Testo commento Carattere"/>
    <w:basedOn w:val="Carpredefinitoparagrafo"/>
    <w:link w:val="Testocommento"/>
    <w:rsid w:val="00846017"/>
    <w:rPr>
      <w:rFonts w:ascii="Arial" w:hAnsi="Arial"/>
      <w:sz w:val="20"/>
      <w:szCs w:val="20"/>
      <w:lang w:val="de-DE"/>
    </w:rPr>
  </w:style>
  <w:style w:type="paragraph" w:styleId="Soggettocommento">
    <w:name w:val="annotation subject"/>
    <w:basedOn w:val="Testocommento"/>
    <w:next w:val="Testocommento"/>
    <w:link w:val="SoggettocommentoCarattere"/>
    <w:rsid w:val="0020528D"/>
    <w:pPr>
      <w:spacing w:line="240" w:lineRule="auto"/>
      <w:jc w:val="both"/>
    </w:pPr>
    <w:rPr>
      <w:rFonts w:ascii="Segoe UI" w:hAnsi="Segoe UI"/>
      <w:b/>
      <w:bCs/>
      <w:lang w:val="en-US"/>
    </w:rPr>
  </w:style>
  <w:style w:type="character" w:customStyle="1" w:styleId="SoggettocommentoCarattere">
    <w:name w:val="Soggetto commento Carattere"/>
    <w:basedOn w:val="TestocommentoCarattere"/>
    <w:link w:val="Soggettocommento"/>
    <w:rsid w:val="0020528D"/>
    <w:rPr>
      <w:rFonts w:ascii="Arial" w:hAnsi="Arial"/>
      <w:b/>
      <w:bCs/>
      <w:sz w:val="20"/>
      <w:szCs w:val="20"/>
      <w:lang w:val="de-DE"/>
    </w:rPr>
  </w:style>
  <w:style w:type="paragraph" w:styleId="Revisione">
    <w:name w:val="Revision"/>
    <w:hidden/>
    <w:uiPriority w:val="62"/>
    <w:unhideWhenUsed/>
    <w:rsid w:val="006E2D24"/>
    <w:rPr>
      <w:sz w:val="22"/>
    </w:rPr>
  </w:style>
  <w:style w:type="paragraph" w:customStyle="1" w:styleId="He04Funote">
    <w:name w:val="_He_04_Fußnote"/>
    <w:next w:val="Normale"/>
    <w:qFormat/>
    <w:rsid w:val="00A90F18"/>
    <w:pPr>
      <w:tabs>
        <w:tab w:val="left" w:pos="85"/>
      </w:tabs>
      <w:spacing w:line="256" w:lineRule="auto"/>
      <w:ind w:left="85" w:hanging="85"/>
    </w:pPr>
    <w:rPr>
      <w:rFonts w:eastAsiaTheme="minorHAnsi" w:cstheme="minorBidi"/>
      <w:sz w:val="15"/>
      <w:szCs w:val="22"/>
      <w:lang w:val="de-DE"/>
      <w14:numForm w14:val="lining"/>
    </w:rPr>
  </w:style>
  <w:style w:type="character" w:styleId="Rimandonotaapidipagina">
    <w:name w:val="footnote reference"/>
    <w:basedOn w:val="Carpredefinitoparagrafo"/>
    <w:uiPriority w:val="99"/>
    <w:unhideWhenUsed/>
    <w:rsid w:val="00A90F18"/>
    <w:rPr>
      <w:vertAlign w:val="superscript"/>
    </w:rPr>
  </w:style>
  <w:style w:type="character" w:styleId="Collegamentovisitato">
    <w:name w:val="FollowedHyperlink"/>
    <w:basedOn w:val="Carpredefinitoparagrafo"/>
    <w:rsid w:val="00B1118A"/>
    <w:rPr>
      <w:color w:val="954F72" w:themeColor="followedHyperlink"/>
      <w:u w:val="single"/>
    </w:rPr>
  </w:style>
  <w:style w:type="paragraph" w:customStyle="1" w:styleId="He01FlietextAufzhlung1Ebene">
    <w:name w:val="_He_01_Fließtext Aufzählung 1. Ebene"/>
    <w:next w:val="Normale"/>
    <w:qFormat/>
    <w:rsid w:val="00B471F4"/>
    <w:pPr>
      <w:numPr>
        <w:numId w:val="9"/>
      </w:numPr>
      <w:spacing w:after="113"/>
    </w:pPr>
    <w:rPr>
      <w:rFonts w:eastAsiaTheme="minorHAnsi" w:cstheme="minorBidi"/>
      <w:sz w:val="22"/>
      <w:szCs w:val="22"/>
      <w:lang w:val="de-DE"/>
    </w:rPr>
  </w:style>
  <w:style w:type="character" w:customStyle="1" w:styleId="ui-provider">
    <w:name w:val="ui-provider"/>
    <w:basedOn w:val="Carpredefinitoparagrafo"/>
    <w:rsid w:val="00C86C49"/>
  </w:style>
  <w:style w:type="paragraph" w:customStyle="1" w:styleId="He01Flietext">
    <w:name w:val="_He_01_Fließtext"/>
    <w:qFormat/>
    <w:rsid w:val="007558B1"/>
    <w:pPr>
      <w:spacing w:after="160"/>
    </w:pPr>
    <w:rPr>
      <w:rFonts w:eastAsiaTheme="minorHAnsi" w:cstheme="minorBidi"/>
      <w:sz w:val="22"/>
      <w:szCs w:val="22"/>
      <w:lang w:val="de-DE"/>
    </w:rPr>
  </w:style>
  <w:style w:type="paragraph" w:styleId="Testonotaapidipagina">
    <w:name w:val="footnote text"/>
    <w:basedOn w:val="Normale"/>
    <w:link w:val="TestonotaapidipaginaCarattere"/>
    <w:uiPriority w:val="99"/>
    <w:unhideWhenUsed/>
    <w:rsid w:val="00F9022A"/>
    <w:pPr>
      <w:spacing w:line="240" w:lineRule="auto"/>
      <w:jc w:val="left"/>
    </w:pPr>
    <w:rPr>
      <w:rFonts w:eastAsiaTheme="minorHAnsi" w:cstheme="minorBidi"/>
      <w:szCs w:val="20"/>
      <w:lang w:val="de-DE"/>
    </w:rPr>
  </w:style>
  <w:style w:type="character" w:customStyle="1" w:styleId="TestonotaapidipaginaCarattere">
    <w:name w:val="Testo nota a piè di pagina Carattere"/>
    <w:basedOn w:val="Carpredefinitoparagrafo"/>
    <w:link w:val="Testonotaapidipagina"/>
    <w:uiPriority w:val="99"/>
    <w:rsid w:val="00F9022A"/>
    <w:rPr>
      <w:rFonts w:eastAsiaTheme="minorHAnsi" w:cstheme="minorBidi"/>
      <w:sz w:val="22"/>
      <w:szCs w:val="20"/>
      <w:lang w:val="de-DE"/>
    </w:rPr>
  </w:style>
  <w:style w:type="paragraph" w:customStyle="1" w:styleId="He01FlietextAufzhlung2Ebene">
    <w:name w:val="_He_01_Fließtext Aufzählung 2. Ebene"/>
    <w:next w:val="He01Flietext"/>
    <w:qFormat/>
    <w:rsid w:val="00607DCD"/>
    <w:pPr>
      <w:numPr>
        <w:numId w:val="22"/>
      </w:numPr>
      <w:spacing w:after="160"/>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04230">
      <w:bodyDiv w:val="1"/>
      <w:marLeft w:val="0"/>
      <w:marRight w:val="0"/>
      <w:marTop w:val="0"/>
      <w:marBottom w:val="0"/>
      <w:divBdr>
        <w:top w:val="none" w:sz="0" w:space="0" w:color="auto"/>
        <w:left w:val="none" w:sz="0" w:space="0" w:color="auto"/>
        <w:bottom w:val="none" w:sz="0" w:space="0" w:color="auto"/>
        <w:right w:val="none" w:sz="0" w:space="0" w:color="auto"/>
      </w:divBdr>
    </w:div>
    <w:div w:id="215901274">
      <w:bodyDiv w:val="1"/>
      <w:marLeft w:val="0"/>
      <w:marRight w:val="0"/>
      <w:marTop w:val="0"/>
      <w:marBottom w:val="0"/>
      <w:divBdr>
        <w:top w:val="none" w:sz="0" w:space="0" w:color="auto"/>
        <w:left w:val="none" w:sz="0" w:space="0" w:color="auto"/>
        <w:bottom w:val="none" w:sz="0" w:space="0" w:color="auto"/>
        <w:right w:val="none" w:sz="0" w:space="0" w:color="auto"/>
      </w:divBdr>
    </w:div>
    <w:div w:id="236474133">
      <w:bodyDiv w:val="1"/>
      <w:marLeft w:val="0"/>
      <w:marRight w:val="0"/>
      <w:marTop w:val="0"/>
      <w:marBottom w:val="0"/>
      <w:divBdr>
        <w:top w:val="none" w:sz="0" w:space="0" w:color="auto"/>
        <w:left w:val="none" w:sz="0" w:space="0" w:color="auto"/>
        <w:bottom w:val="none" w:sz="0" w:space="0" w:color="auto"/>
        <w:right w:val="none" w:sz="0" w:space="0" w:color="auto"/>
      </w:divBdr>
      <w:divsChild>
        <w:div w:id="1335064630">
          <w:marLeft w:val="0"/>
          <w:marRight w:val="0"/>
          <w:marTop w:val="0"/>
          <w:marBottom w:val="0"/>
          <w:divBdr>
            <w:top w:val="none" w:sz="0" w:space="0" w:color="auto"/>
            <w:left w:val="none" w:sz="0" w:space="0" w:color="auto"/>
            <w:bottom w:val="none" w:sz="0" w:space="0" w:color="auto"/>
            <w:right w:val="none" w:sz="0" w:space="0" w:color="auto"/>
          </w:divBdr>
        </w:div>
        <w:div w:id="1238831477">
          <w:marLeft w:val="0"/>
          <w:marRight w:val="0"/>
          <w:marTop w:val="0"/>
          <w:marBottom w:val="0"/>
          <w:divBdr>
            <w:top w:val="none" w:sz="0" w:space="0" w:color="auto"/>
            <w:left w:val="none" w:sz="0" w:space="0" w:color="auto"/>
            <w:bottom w:val="none" w:sz="0" w:space="0" w:color="auto"/>
            <w:right w:val="none" w:sz="0" w:space="0" w:color="auto"/>
          </w:divBdr>
        </w:div>
        <w:div w:id="914433847">
          <w:marLeft w:val="0"/>
          <w:marRight w:val="0"/>
          <w:marTop w:val="0"/>
          <w:marBottom w:val="0"/>
          <w:divBdr>
            <w:top w:val="none" w:sz="0" w:space="0" w:color="auto"/>
            <w:left w:val="none" w:sz="0" w:space="0" w:color="auto"/>
            <w:bottom w:val="none" w:sz="0" w:space="0" w:color="auto"/>
            <w:right w:val="none" w:sz="0" w:space="0" w:color="auto"/>
          </w:divBdr>
        </w:div>
      </w:divsChild>
    </w:div>
    <w:div w:id="331758879">
      <w:bodyDiv w:val="1"/>
      <w:marLeft w:val="0"/>
      <w:marRight w:val="0"/>
      <w:marTop w:val="0"/>
      <w:marBottom w:val="0"/>
      <w:divBdr>
        <w:top w:val="none" w:sz="0" w:space="0" w:color="auto"/>
        <w:left w:val="none" w:sz="0" w:space="0" w:color="auto"/>
        <w:bottom w:val="none" w:sz="0" w:space="0" w:color="auto"/>
        <w:right w:val="none" w:sz="0" w:space="0" w:color="auto"/>
      </w:divBdr>
    </w:div>
    <w:div w:id="475221331">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9716788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44740464">
      <w:bodyDiv w:val="1"/>
      <w:marLeft w:val="0"/>
      <w:marRight w:val="0"/>
      <w:marTop w:val="0"/>
      <w:marBottom w:val="0"/>
      <w:divBdr>
        <w:top w:val="none" w:sz="0" w:space="0" w:color="auto"/>
        <w:left w:val="none" w:sz="0" w:space="0" w:color="auto"/>
        <w:bottom w:val="none" w:sz="0" w:space="0" w:color="auto"/>
        <w:right w:val="none" w:sz="0" w:space="0" w:color="auto"/>
      </w:divBdr>
    </w:div>
    <w:div w:id="1370689247">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589197090">
      <w:bodyDiv w:val="1"/>
      <w:marLeft w:val="0"/>
      <w:marRight w:val="0"/>
      <w:marTop w:val="0"/>
      <w:marBottom w:val="0"/>
      <w:divBdr>
        <w:top w:val="none" w:sz="0" w:space="0" w:color="auto"/>
        <w:left w:val="none" w:sz="0" w:space="0" w:color="auto"/>
        <w:bottom w:val="none" w:sz="0" w:space="0" w:color="auto"/>
        <w:right w:val="none" w:sz="0" w:space="0" w:color="auto"/>
      </w:divBdr>
      <w:divsChild>
        <w:div w:id="253100782">
          <w:marLeft w:val="0"/>
          <w:marRight w:val="0"/>
          <w:marTop w:val="0"/>
          <w:marBottom w:val="0"/>
          <w:divBdr>
            <w:top w:val="none" w:sz="0" w:space="0" w:color="auto"/>
            <w:left w:val="none" w:sz="0" w:space="0" w:color="auto"/>
            <w:bottom w:val="none" w:sz="0" w:space="0" w:color="auto"/>
            <w:right w:val="none" w:sz="0" w:space="0" w:color="auto"/>
          </w:divBdr>
        </w:div>
        <w:div w:id="1545950240">
          <w:marLeft w:val="0"/>
          <w:marRight w:val="0"/>
          <w:marTop w:val="0"/>
          <w:marBottom w:val="0"/>
          <w:divBdr>
            <w:top w:val="none" w:sz="0" w:space="0" w:color="auto"/>
            <w:left w:val="none" w:sz="0" w:space="0" w:color="auto"/>
            <w:bottom w:val="none" w:sz="0" w:space="0" w:color="auto"/>
            <w:right w:val="none" w:sz="0" w:space="0" w:color="auto"/>
          </w:divBdr>
        </w:div>
        <w:div w:id="1755348636">
          <w:marLeft w:val="0"/>
          <w:marRight w:val="0"/>
          <w:marTop w:val="0"/>
          <w:marBottom w:val="0"/>
          <w:divBdr>
            <w:top w:val="none" w:sz="0" w:space="0" w:color="auto"/>
            <w:left w:val="none" w:sz="0" w:space="0" w:color="auto"/>
            <w:bottom w:val="none" w:sz="0" w:space="0" w:color="auto"/>
            <w:right w:val="none" w:sz="0" w:space="0" w:color="auto"/>
          </w:divBdr>
        </w:div>
      </w:divsChild>
    </w:div>
    <w:div w:id="1641376655">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henkel.com/press-and-media/press-releases-and-kits/2025-03-11-very-good-annual-results-2024-demonstrate-successful-implementation-of-purposeful-growth-agenda-2044256"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via.vergani@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iusi.vi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367E2A-F0F6-405A-B359-25E9BCE44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5</Pages>
  <Words>1729</Words>
  <Characters>10275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11981</CharactersWithSpaces>
  <SharedDoc>false</SharedDoc>
  <HLinks>
    <vt:vector size="18" baseType="variant">
      <vt:variant>
        <vt:i4>7995418</vt:i4>
      </vt:variant>
      <vt:variant>
        <vt:i4>6</vt:i4>
      </vt:variant>
      <vt:variant>
        <vt:i4>0</vt:i4>
      </vt:variant>
      <vt:variant>
        <vt:i4>5</vt:i4>
      </vt:variant>
      <vt:variant>
        <vt:lpwstr>mailto:silvia.vergani@henkel.com</vt:lpwstr>
      </vt:variant>
      <vt:variant>
        <vt:lpwstr/>
      </vt:variant>
      <vt:variant>
        <vt:i4>4522040</vt:i4>
      </vt:variant>
      <vt:variant>
        <vt:i4>3</vt:i4>
      </vt:variant>
      <vt:variant>
        <vt:i4>0</vt:i4>
      </vt:variant>
      <vt:variant>
        <vt:i4>5</vt:i4>
      </vt:variant>
      <vt:variant>
        <vt:lpwstr>mailto:giusi.viani@henkel.com</vt:lpwstr>
      </vt:variant>
      <vt:variant>
        <vt:lpwstr/>
      </vt: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333</cp:revision>
  <cp:lastPrinted>2024-05-03T08:49:00Z</cp:lastPrinted>
  <dcterms:created xsi:type="dcterms:W3CDTF">2024-07-18T06:21:00Z</dcterms:created>
  <dcterms:modified xsi:type="dcterms:W3CDTF">2025-03-11T10:16:00Z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