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AAC43" w14:textId="77777777" w:rsidR="00B20C93" w:rsidRDefault="00B20C93">
      <w:pPr>
        <w:spacing w:before="240" w:after="240"/>
        <w:rPr>
          <w:rFonts w:ascii="Quattrocento Sans" w:eastAsia="Quattrocento Sans" w:hAnsi="Quattrocento Sans" w:cs="Quattrocento Sans"/>
          <w:b/>
          <w:sz w:val="32"/>
          <w:szCs w:val="32"/>
        </w:rPr>
      </w:pPr>
    </w:p>
    <w:p w14:paraId="515F3A31" w14:textId="77777777" w:rsidR="00B20C93" w:rsidRPr="00E66A7A" w:rsidRDefault="00000000">
      <w:pPr>
        <w:spacing w:before="240" w:after="240"/>
        <w:jc w:val="center"/>
        <w:rPr>
          <w:rFonts w:ascii="Segoe UI" w:eastAsia="Quattrocento Sans" w:hAnsi="Segoe UI" w:cs="Segoe UI"/>
          <w:b/>
          <w:sz w:val="32"/>
          <w:szCs w:val="32"/>
        </w:rPr>
      </w:pPr>
      <w:r w:rsidRPr="00E66A7A">
        <w:rPr>
          <w:rFonts w:ascii="Segoe UI" w:eastAsia="Quattrocento Sans" w:hAnsi="Segoe UI" w:cs="Segoe UI"/>
          <w:b/>
          <w:sz w:val="32"/>
          <w:szCs w:val="32"/>
        </w:rPr>
        <w:t>Útiles escolares: guía para una compra segura y consciente</w:t>
      </w:r>
    </w:p>
    <w:p w14:paraId="4D4837F4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  <w:b/>
        </w:rPr>
        <w:t>En línea con su propósito global de ser “Pioneros de corazón para el bien de las futuras generaciones”, la marca de adhesivos Pritt de Henkel está innovando con sus envases 100% reciclables, ingredientes naturales y empaques de cartón, reduciendo el uso de plástico.</w:t>
      </w:r>
    </w:p>
    <w:p w14:paraId="6697676D" w14:textId="79CA5A9B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El próximo 3 de marzo comienza un nuevo año escolar y muchas familias enfrentan el desafío de elegir útiles escolares que cumplan con las necesidades de sus hijos e hijas, pero también que respeten normativas esenciales de inocuidad, calidad y respeto por el medio ambiente. Alineados con esta preocupación de apoderados y educadores, un</w:t>
      </w:r>
      <w:r w:rsidR="00E66A7A" w:rsidRPr="00E66A7A">
        <w:rPr>
          <w:rFonts w:ascii="Segoe UI" w:eastAsia="Quattrocento Sans" w:hAnsi="Segoe UI" w:cs="Segoe UI"/>
        </w:rPr>
        <w:t>a</w:t>
      </w:r>
      <w:r w:rsidRPr="00E66A7A">
        <w:rPr>
          <w:rFonts w:ascii="Segoe UI" w:eastAsia="Quattrocento Sans" w:hAnsi="Segoe UI" w:cs="Segoe UI"/>
        </w:rPr>
        <w:t xml:space="preserve"> expert</w:t>
      </w:r>
      <w:r w:rsidR="00E66A7A" w:rsidRPr="00E66A7A">
        <w:rPr>
          <w:rFonts w:ascii="Segoe UI" w:eastAsia="Quattrocento Sans" w:hAnsi="Segoe UI" w:cs="Segoe UI"/>
        </w:rPr>
        <w:t>a</w:t>
      </w:r>
      <w:r w:rsidRPr="00E66A7A">
        <w:rPr>
          <w:rFonts w:ascii="Segoe UI" w:eastAsia="Quattrocento Sans" w:hAnsi="Segoe UI" w:cs="Segoe UI"/>
        </w:rPr>
        <w:t xml:space="preserve"> de Pritt, reconocida marca de adhesivos escolares que lleva años innovando en la composición y envases de sus productos, presenta los puntos más importantes a considerar en esta elección:</w:t>
      </w:r>
    </w:p>
    <w:p w14:paraId="5967ADFE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  <w:b/>
        </w:rPr>
        <w:t>1. Seguridad: priorizar materiales naturales y no tóxicos</w:t>
      </w:r>
    </w:p>
    <w:p w14:paraId="798ACA9A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Debe ser el primer criterio al momento de adquirir útiles escolares, por lo que se aconseja optar por productos elaborados con materiales naturales y libres de sustancias tóxicas que puedan poner en riesgo la salud de niños y niñas. Para reconocerlos fácilmente, deben incluir etiquetas claras y detalladas sobre su composición, permitiendo verificar que cumplen con la normativa chilena NCh 382.Of2004.</w:t>
      </w:r>
    </w:p>
    <w:p w14:paraId="5C8B7446" w14:textId="41B4DE05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“Garantizar la seguridad de los niños y niñas en el uso de materiales escolares es prioridad. Por ello, es esencial que</w:t>
      </w:r>
      <w:r w:rsidR="00E66A7A" w:rsidRPr="00E66A7A">
        <w:rPr>
          <w:rFonts w:ascii="Segoe UI" w:eastAsia="Quattrocento Sans" w:hAnsi="Segoe UI" w:cs="Segoe UI"/>
        </w:rPr>
        <w:t xml:space="preserve"> las</w:t>
      </w:r>
      <w:r w:rsidRPr="00E66A7A">
        <w:rPr>
          <w:rFonts w:ascii="Segoe UI" w:eastAsia="Quattrocento Sans" w:hAnsi="Segoe UI" w:cs="Segoe UI"/>
        </w:rPr>
        <w:t xml:space="preserve"> </w:t>
      </w:r>
      <w:r w:rsidR="00E66A7A" w:rsidRPr="00E66A7A">
        <w:rPr>
          <w:rFonts w:ascii="Segoe UI" w:eastAsia="Quattrocento Sans" w:hAnsi="Segoe UI" w:cs="Segoe UI"/>
        </w:rPr>
        <w:t>familias y apoderados</w:t>
      </w:r>
      <w:r w:rsidRPr="00E66A7A">
        <w:rPr>
          <w:rFonts w:ascii="Segoe UI" w:eastAsia="Quattrocento Sans" w:hAnsi="Segoe UI" w:cs="Segoe UI"/>
        </w:rPr>
        <w:t xml:space="preserve"> revisen detalladamente las etiquetas de los productos para verificar que cumplan con la normativa vigente y estén libres de sustancias potencialmente dañinas, como ftalatos, plomo o compuestos orgánicos volátiles (COV)”, señala Carolina Mendez, </w:t>
      </w:r>
      <w:r w:rsidR="00E66A7A">
        <w:rPr>
          <w:rFonts w:ascii="Segoe UI" w:eastAsia="Quattrocento Sans" w:hAnsi="Segoe UI" w:cs="Segoe UI"/>
        </w:rPr>
        <w:t>G</w:t>
      </w:r>
      <w:r w:rsidRPr="00E66A7A">
        <w:rPr>
          <w:rFonts w:ascii="Segoe UI" w:eastAsia="Quattrocento Sans" w:hAnsi="Segoe UI" w:cs="Segoe UI"/>
        </w:rPr>
        <w:t>erente de Trade Marketing / AE ACC Henkel Chile.</w:t>
      </w:r>
    </w:p>
    <w:p w14:paraId="6CF884DB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Como ejemplo, la barra Pritt Stic-Fix está compuesta en un 97% de ingredientes naturales como almidón de papa y agua, lo que la hace inocua.</w:t>
      </w:r>
    </w:p>
    <w:p w14:paraId="150DC730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  <w:b/>
        </w:rPr>
        <w:t>2. Sostenibilidad: elegir productos reciclables que reduzcan el uso de plástico</w:t>
      </w:r>
    </w:p>
    <w:p w14:paraId="4C9F3934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El cuidado del medio ambiente también es un factor importante. Optar por productos con materiales reciclables y empaques que reduzcan el uso de plástico ayuda a minimizar la generación de residuos. Por ejemplo, elegir pegamentos en barra con envases de plástico reciclable reduce los desechos evitando, así, la contaminación.</w:t>
      </w:r>
    </w:p>
    <w:p w14:paraId="418CD450" w14:textId="52B691CC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lastRenderedPageBreak/>
        <w:t xml:space="preserve">“El diseño de los empaques juega un papel clave en la reducción de residuos. En Pritt hemos implementado soluciones sostenibles que incluyen la eliminación del plástico en los empaques secundarios y el uso de materiales reciclados en los envases primarios. Estas medidas nos permiten minimizar el impacto ambiental y contribuir a una economía más circular”, asegura Mendez. </w:t>
      </w:r>
    </w:p>
    <w:p w14:paraId="52B9E47E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  <w:b/>
        </w:rPr>
        <w:t>3. Creatividad consciente</w:t>
      </w:r>
    </w:p>
    <w:p w14:paraId="407F9109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</w:rPr>
        <w:t xml:space="preserve">Al emplear materiales reciclables en actividades educativas y manualidades, los niños y las niñas desarrollan una mayor conciencia ambiental, aprendiendo el valor de reutilizar y preservar los recursos naturales para las futuras generaciones. Este enfoque combina la educación ambiental con el desarrollo de habilidades creativas, comprendiendo la importancia de la naturaleza para sus aventuras y sentando las bases para un compromiso sostenible a largo plazo. </w:t>
      </w:r>
    </w:p>
    <w:p w14:paraId="78EBE93F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  <w:b/>
        </w:rPr>
        <w:t>4. Eficiencia y durabilidad: productos que cumplan su función</w:t>
      </w:r>
    </w:p>
    <w:p w14:paraId="0D601412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Los útiles escolares deben cumplir con su rol esencial para garantizar una experiencia satisfactoria tanto en el aprendizaje, como en las actividades creativas. Adhesivos que no rompan el papel y materiales de alta calidad, permiten desarrollar manualidades duraderas. Estos productos facilitan las actividades escolares, a la vez que fomentan la creatividad y generan satisfacción al realizar proyectos que perduren en el tiempo.</w:t>
      </w:r>
    </w:p>
    <w:p w14:paraId="39EEA585" w14:textId="77777777" w:rsidR="00B20C93" w:rsidRPr="00E66A7A" w:rsidRDefault="00000000">
      <w:pPr>
        <w:spacing w:before="240" w:after="240"/>
        <w:jc w:val="both"/>
        <w:rPr>
          <w:rFonts w:ascii="Segoe UI" w:eastAsia="Quattrocento Sans" w:hAnsi="Segoe UI" w:cs="Segoe UI"/>
          <w:b/>
        </w:rPr>
      </w:pPr>
      <w:r w:rsidRPr="00E66A7A">
        <w:rPr>
          <w:rFonts w:ascii="Segoe UI" w:eastAsia="Quattrocento Sans" w:hAnsi="Segoe UI" w:cs="Segoe UI"/>
          <w:b/>
        </w:rPr>
        <w:t>La innovación de Pritt</w:t>
      </w:r>
    </w:p>
    <w:p w14:paraId="1350B4E3" w14:textId="77777777" w:rsidR="00B20C93" w:rsidRPr="00E66A7A" w:rsidRDefault="00000000">
      <w:pPr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La popular barra Pritt “Stic-Fix”, producto ampliamente utilizado en actividades educativas y en manualidades, así como reconocida por ser un material inocuo y apto para su uso con niños y niñas, incorporó en su envase primario un 65% de plástico reciclado. Esto permite disminuir el impacto ambiental de la industria, al contribuir con la reducción de residuos plásticos que llegan a vertederos.</w:t>
      </w:r>
    </w:p>
    <w:p w14:paraId="1A382C94" w14:textId="77777777" w:rsidR="00B20C93" w:rsidRPr="00E66A7A" w:rsidRDefault="00B20C93">
      <w:pPr>
        <w:jc w:val="both"/>
        <w:rPr>
          <w:rFonts w:ascii="Segoe UI" w:eastAsia="Quattrocento Sans" w:hAnsi="Segoe UI" w:cs="Segoe UI"/>
        </w:rPr>
      </w:pPr>
    </w:p>
    <w:p w14:paraId="7812E182" w14:textId="77777777" w:rsidR="00B20C93" w:rsidRPr="00E66A7A" w:rsidRDefault="00000000">
      <w:pPr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El rediseño del empaque primario de Pritt “Stic-Fix” también considera su reciclaje. Una vez utilizada la barra en su totalidad, sus usuarios, sean niños o adultos, pueden llevarlo a un centro de acopio.</w:t>
      </w:r>
    </w:p>
    <w:p w14:paraId="07623DD4" w14:textId="77777777" w:rsidR="00B20C93" w:rsidRPr="00E66A7A" w:rsidRDefault="00B20C93">
      <w:pPr>
        <w:jc w:val="both"/>
        <w:rPr>
          <w:rFonts w:ascii="Segoe UI" w:eastAsia="Quattrocento Sans" w:hAnsi="Segoe UI" w:cs="Segoe UI"/>
        </w:rPr>
      </w:pPr>
    </w:p>
    <w:p w14:paraId="5EEA9C65" w14:textId="77777777" w:rsidR="00B20C93" w:rsidRPr="00E66A7A" w:rsidRDefault="00000000">
      <w:pPr>
        <w:jc w:val="both"/>
        <w:rPr>
          <w:rFonts w:ascii="Segoe UI" w:eastAsia="Quattrocento Sans" w:hAnsi="Segoe UI" w:cs="Segoe UI"/>
        </w:rPr>
      </w:pPr>
      <w:r w:rsidRPr="00E66A7A">
        <w:rPr>
          <w:rFonts w:ascii="Segoe UI" w:eastAsia="Quattrocento Sans" w:hAnsi="Segoe UI" w:cs="Segoe UI"/>
        </w:rPr>
        <w:t>En cuanto a envases secundarios, Henkel eliminó el plástico para avanzar en un diseño que es 100% cartón. Esta iniciativa ha permitido evitar la generación de aproximadamente mil toneladas de plástico anuales, contribuyendo a la reducción de residuos y al cuidado del planeta.</w:t>
      </w:r>
    </w:p>
    <w:p w14:paraId="697EB93D" w14:textId="77777777" w:rsidR="00B20C93" w:rsidRPr="00E66A7A" w:rsidRDefault="00B20C93">
      <w:pPr>
        <w:jc w:val="both"/>
        <w:rPr>
          <w:rFonts w:ascii="Segoe UI" w:eastAsia="Quattrocento Sans" w:hAnsi="Segoe UI" w:cs="Segoe UI"/>
        </w:rPr>
      </w:pPr>
    </w:p>
    <w:p w14:paraId="3D953E3D" w14:textId="77777777" w:rsidR="00B20C93" w:rsidRPr="00E66A7A" w:rsidRDefault="00B20C93">
      <w:pPr>
        <w:rPr>
          <w:rFonts w:ascii="Segoe UI" w:eastAsia="Quattrocento Sans" w:hAnsi="Segoe UI" w:cs="Segoe UI"/>
        </w:rPr>
      </w:pPr>
    </w:p>
    <w:p w14:paraId="21818546" w14:textId="77777777" w:rsidR="00B20C93" w:rsidRPr="00E66A7A" w:rsidRDefault="00000000">
      <w:pPr>
        <w:spacing w:line="240" w:lineRule="auto"/>
        <w:jc w:val="both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b/>
          <w:sz w:val="14"/>
          <w:szCs w:val="14"/>
        </w:rPr>
        <w:t>Acerca de Henkel</w:t>
      </w:r>
    </w:p>
    <w:p w14:paraId="00E2A37A" w14:textId="77777777" w:rsidR="00B20C93" w:rsidRPr="00E66A7A" w:rsidRDefault="00000000">
      <w:pPr>
        <w:spacing w:line="240" w:lineRule="auto"/>
        <w:jc w:val="both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sz w:val="14"/>
          <w:szCs w:val="14"/>
        </w:rPr>
        <w:lastRenderedPageBreak/>
        <w:t>Con sus marcas, innovaciones y tecnologías, Henkel ocupa posiciones de liderazgo a nivel mundial en el mercado industrial y de consumo. La unidad de negocio de Adhesive Technologies es líder mundial en el sector de adhesivos, selladores y recubrimientos. Con el negocio Consumer Brands, la empresa ocupa posiciones de liderazgo, especialmente en detergentes y cuidado del hogar, así como cuidado del cabello, en muchos mercados y categorías de todo el mundo. Las tres marcas más fuertes de la compañía son Loctite, Persil y Schwarzkopf. En el ejercicio fiscal 2023, Henkel registró unas ventas de cerca de 21.500 millones de euros y un resultado operativo ajustado de unos 2.600 millones de euros. Las acciones preferentes de Henkel cotizan en el índice bursátil alemán DAX. La sostenibilidad tiene una larga tradición en Henkel, y la empresa tiene una clara estrategia con objetivos específicos. Henkel se fundó en 1876 y hoy emplea a un equipo diverso de cerca de 48.000 personas en todo el mundo,</w:t>
      </w:r>
      <w:r w:rsidRPr="00E66A7A">
        <w:rPr>
          <w:rFonts w:ascii="Segoe UI" w:eastAsia="Quattrocento Sans" w:hAnsi="Segoe UI" w:cs="Segoe UI"/>
          <w:sz w:val="24"/>
          <w:szCs w:val="24"/>
        </w:rPr>
        <w:t xml:space="preserve"> </w:t>
      </w:r>
      <w:r w:rsidRPr="00E66A7A">
        <w:rPr>
          <w:rFonts w:ascii="Segoe UI" w:eastAsia="Quattrocento Sans" w:hAnsi="Segoe UI" w:cs="Segoe UI"/>
          <w:sz w:val="14"/>
          <w:szCs w:val="14"/>
        </w:rPr>
        <w:t>unidas por una sólida cultura corporativa, valores compartidos y un propósito común: "Pioneers at heart for the good of</w:t>
      </w:r>
      <w:r w:rsidRPr="00E66A7A">
        <w:rPr>
          <w:rFonts w:ascii="Segoe UI" w:eastAsia="Quattrocento Sans" w:hAnsi="Segoe UI" w:cs="Segoe UI"/>
          <w:sz w:val="24"/>
          <w:szCs w:val="24"/>
        </w:rPr>
        <w:t xml:space="preserve"> </w:t>
      </w:r>
      <w:r w:rsidRPr="00E66A7A">
        <w:rPr>
          <w:rFonts w:ascii="Segoe UI" w:eastAsia="Quattrocento Sans" w:hAnsi="Segoe UI" w:cs="Segoe UI"/>
          <w:sz w:val="14"/>
          <w:szCs w:val="14"/>
        </w:rPr>
        <w:t xml:space="preserve">generations".  Más información en </w:t>
      </w:r>
      <w:hyperlink r:id="rId7">
        <w:r w:rsidRPr="00E66A7A">
          <w:rPr>
            <w:rFonts w:ascii="Segoe UI" w:eastAsia="Quattrocento Sans" w:hAnsi="Segoe UI" w:cs="Segoe UI"/>
            <w:color w:val="1155CC"/>
            <w:sz w:val="14"/>
            <w:szCs w:val="14"/>
            <w:u w:val="single"/>
          </w:rPr>
          <w:t>www.henkel.com</w:t>
        </w:r>
      </w:hyperlink>
    </w:p>
    <w:p w14:paraId="11A63905" w14:textId="77777777" w:rsidR="00B20C93" w:rsidRPr="00E66A7A" w:rsidRDefault="00B20C93">
      <w:pPr>
        <w:spacing w:line="240" w:lineRule="auto"/>
        <w:rPr>
          <w:rFonts w:ascii="Segoe UI" w:eastAsia="Quattrocento Sans" w:hAnsi="Segoe UI" w:cs="Segoe UI"/>
          <w:sz w:val="24"/>
          <w:szCs w:val="24"/>
        </w:rPr>
      </w:pPr>
    </w:p>
    <w:p w14:paraId="30E6230D" w14:textId="77777777" w:rsidR="00B20C93" w:rsidRPr="00E66A7A" w:rsidRDefault="00000000">
      <w:pPr>
        <w:spacing w:line="240" w:lineRule="auto"/>
        <w:jc w:val="both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b/>
          <w:sz w:val="14"/>
          <w:szCs w:val="14"/>
        </w:rPr>
        <w:t>Acerca de Henkel en Chile</w:t>
      </w:r>
    </w:p>
    <w:p w14:paraId="07DB6B7A" w14:textId="77777777" w:rsidR="00B20C93" w:rsidRPr="00E66A7A" w:rsidRDefault="00000000">
      <w:pPr>
        <w:spacing w:line="240" w:lineRule="auto"/>
        <w:jc w:val="both"/>
        <w:rPr>
          <w:rFonts w:ascii="Segoe UI" w:eastAsia="Quattrocento Sans" w:hAnsi="Segoe UI" w:cs="Segoe UI"/>
          <w:color w:val="1155CC"/>
          <w:sz w:val="14"/>
          <w:szCs w:val="14"/>
          <w:u w:val="single"/>
        </w:rPr>
      </w:pPr>
      <w:r w:rsidRPr="00E66A7A">
        <w:rPr>
          <w:rFonts w:ascii="Segoe UI" w:eastAsia="Quattrocento Sans" w:hAnsi="Segoe UI" w:cs="Segoe UI"/>
          <w:sz w:val="14"/>
          <w:szCs w:val="14"/>
        </w:rPr>
        <w:t>Henkel tiene 39 años en Chile. Respaldada por su reconocida calidad a nivel mundial, comercializa en el país exitosamente productos en los sectores</w:t>
      </w:r>
      <w:r w:rsidRPr="00E66A7A">
        <w:rPr>
          <w:rFonts w:ascii="Segoe UI" w:eastAsia="Quattrocento Sans" w:hAnsi="Segoe UI" w:cs="Segoe UI"/>
          <w:sz w:val="24"/>
          <w:szCs w:val="24"/>
        </w:rPr>
        <w:t xml:space="preserve"> </w:t>
      </w:r>
      <w:r w:rsidRPr="00E66A7A">
        <w:rPr>
          <w:rFonts w:ascii="Segoe UI" w:eastAsia="Quattrocento Sans" w:hAnsi="Segoe UI" w:cs="Segoe UI"/>
          <w:sz w:val="14"/>
          <w:szCs w:val="14"/>
        </w:rPr>
        <w:t xml:space="preserve">de Adhesive Technologies y Consumer Brands Professional. Henkel en Chile reportó ventas en el 2023 de más de 100 millones de euros, lo que equivale a más de 90,825 millones de pesos chilenos.  Cuenta con cerca de 350 colaboradores distribuidos en sus oficinas corporativas y plantas en Quilicura y Pudahuel, así como dos plantas modulares en Antofagasta y Arica. Más información en </w:t>
      </w:r>
      <w:hyperlink r:id="rId8">
        <w:r w:rsidRPr="00E66A7A">
          <w:rPr>
            <w:rFonts w:ascii="Segoe UI" w:eastAsia="Quattrocento Sans" w:hAnsi="Segoe UI" w:cs="Segoe UI"/>
            <w:color w:val="1155CC"/>
            <w:sz w:val="14"/>
            <w:szCs w:val="14"/>
            <w:u w:val="single"/>
          </w:rPr>
          <w:t>www.henkel.cl</w:t>
        </w:r>
      </w:hyperlink>
    </w:p>
    <w:p w14:paraId="07B6D691" w14:textId="77777777" w:rsidR="00B20C93" w:rsidRPr="00E66A7A" w:rsidRDefault="00B20C93">
      <w:pPr>
        <w:spacing w:line="240" w:lineRule="auto"/>
        <w:jc w:val="both"/>
        <w:rPr>
          <w:rFonts w:ascii="Segoe UI" w:eastAsia="Quattrocento Sans" w:hAnsi="Segoe UI" w:cs="Segoe UI"/>
          <w:color w:val="1155CC"/>
          <w:sz w:val="14"/>
          <w:szCs w:val="14"/>
          <w:u w:val="single"/>
        </w:rPr>
      </w:pPr>
    </w:p>
    <w:p w14:paraId="0C522D17" w14:textId="77777777" w:rsidR="00B20C93" w:rsidRPr="00E66A7A" w:rsidRDefault="00B20C93">
      <w:pPr>
        <w:spacing w:line="240" w:lineRule="auto"/>
        <w:jc w:val="both"/>
        <w:rPr>
          <w:rFonts w:ascii="Segoe UI" w:eastAsia="Quattrocento Sans" w:hAnsi="Segoe UI" w:cs="Segoe UI"/>
          <w:color w:val="1155CC"/>
          <w:sz w:val="14"/>
          <w:szCs w:val="14"/>
          <w:u w:val="single"/>
        </w:rPr>
      </w:pPr>
    </w:p>
    <w:p w14:paraId="47989439" w14:textId="77777777" w:rsidR="00B20C93" w:rsidRPr="00E66A7A" w:rsidRDefault="00B20C93">
      <w:pPr>
        <w:spacing w:line="240" w:lineRule="auto"/>
        <w:rPr>
          <w:rFonts w:ascii="Segoe UI" w:eastAsia="Quattrocento Sans" w:hAnsi="Segoe UI" w:cs="Segoe UI"/>
          <w:sz w:val="24"/>
          <w:szCs w:val="24"/>
        </w:rPr>
      </w:pPr>
    </w:p>
    <w:p w14:paraId="437B2E21" w14:textId="77777777" w:rsidR="00B20C93" w:rsidRPr="00E66A7A" w:rsidRDefault="00000000">
      <w:pPr>
        <w:spacing w:line="240" w:lineRule="auto"/>
        <w:jc w:val="center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sz w:val="24"/>
          <w:szCs w:val="24"/>
        </w:rPr>
        <w:t>###</w:t>
      </w:r>
    </w:p>
    <w:p w14:paraId="67A57ADB" w14:textId="77777777" w:rsidR="00B20C93" w:rsidRPr="00E66A7A" w:rsidRDefault="00000000">
      <w:pPr>
        <w:spacing w:line="240" w:lineRule="auto"/>
        <w:jc w:val="center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b/>
        </w:rPr>
        <w:t>CONTACTO DE PRENSA</w:t>
      </w:r>
    </w:p>
    <w:p w14:paraId="52671FB7" w14:textId="77777777" w:rsidR="00B20C93" w:rsidRPr="00E66A7A" w:rsidRDefault="00000000">
      <w:pPr>
        <w:spacing w:line="240" w:lineRule="auto"/>
        <w:jc w:val="center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b/>
          <w:color w:val="C41230"/>
          <w:sz w:val="18"/>
          <w:szCs w:val="18"/>
        </w:rPr>
        <w:t>Juan Pablo Cardemil</w:t>
      </w:r>
    </w:p>
    <w:p w14:paraId="5938887E" w14:textId="77777777" w:rsidR="00B20C93" w:rsidRPr="00E66A7A" w:rsidRDefault="00000000">
      <w:pPr>
        <w:spacing w:line="240" w:lineRule="auto"/>
        <w:jc w:val="center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b/>
          <w:color w:val="C41230"/>
          <w:sz w:val="18"/>
          <w:szCs w:val="18"/>
        </w:rPr>
        <w:t>Headline Comunicaciones Estratégicas</w:t>
      </w:r>
      <w:r w:rsidRPr="00E66A7A">
        <w:rPr>
          <w:rFonts w:ascii="Segoe UI" w:eastAsia="Quattrocento Sans" w:hAnsi="Segoe UI" w:cs="Segoe UI"/>
        </w:rPr>
        <w:br/>
      </w:r>
      <w:r w:rsidRPr="00E66A7A">
        <w:rPr>
          <w:rFonts w:ascii="Segoe UI" w:eastAsia="Quattrocento Sans" w:hAnsi="Segoe UI" w:cs="Segoe UI"/>
          <w:sz w:val="18"/>
          <w:szCs w:val="18"/>
        </w:rPr>
        <w:t>Periodista Gestor de Cuentas</w:t>
      </w:r>
    </w:p>
    <w:p w14:paraId="68D941E2" w14:textId="77777777" w:rsidR="00B20C93" w:rsidRPr="00E66A7A" w:rsidRDefault="00000000">
      <w:pPr>
        <w:spacing w:line="240" w:lineRule="auto"/>
        <w:jc w:val="center"/>
        <w:rPr>
          <w:rFonts w:ascii="Segoe UI" w:eastAsia="Quattrocento Sans" w:hAnsi="Segoe UI" w:cs="Segoe UI"/>
          <w:sz w:val="24"/>
          <w:szCs w:val="24"/>
        </w:rPr>
      </w:pPr>
      <w:r w:rsidRPr="00E66A7A">
        <w:rPr>
          <w:rFonts w:ascii="Segoe UI" w:eastAsia="Quattrocento Sans" w:hAnsi="Segoe UI" w:cs="Segoe UI"/>
          <w:sz w:val="18"/>
          <w:szCs w:val="18"/>
        </w:rPr>
        <w:t>juanpablo.cardemil</w:t>
      </w:r>
      <w:hyperlink r:id="rId9">
        <w:r w:rsidRPr="00E66A7A">
          <w:rPr>
            <w:rFonts w:ascii="Segoe UI" w:eastAsia="Quattrocento Sans" w:hAnsi="Segoe UI" w:cs="Segoe UI"/>
            <w:color w:val="0000FF"/>
            <w:sz w:val="18"/>
            <w:szCs w:val="18"/>
            <w:u w:val="single"/>
          </w:rPr>
          <w:t>@headline.cl</w:t>
        </w:r>
      </w:hyperlink>
    </w:p>
    <w:p w14:paraId="71C15B75" w14:textId="77777777" w:rsidR="00B20C93" w:rsidRDefault="00000000">
      <w:pPr>
        <w:spacing w:line="240" w:lineRule="auto"/>
        <w:jc w:val="center"/>
        <w:rPr>
          <w:rFonts w:ascii="Quattrocento Sans" w:eastAsia="Quattrocento Sans" w:hAnsi="Quattrocento Sans" w:cs="Quattrocento Sans"/>
          <w:color w:val="1155CC"/>
          <w:sz w:val="14"/>
          <w:szCs w:val="14"/>
          <w:u w:val="single"/>
        </w:rPr>
      </w:pPr>
      <w:r>
        <w:rPr>
          <w:rFonts w:ascii="Quattrocento Sans" w:eastAsia="Quattrocento Sans" w:hAnsi="Quattrocento Sans" w:cs="Quattrocento Sans"/>
          <w:color w:val="222222"/>
          <w:sz w:val="18"/>
          <w:szCs w:val="18"/>
        </w:rPr>
        <w:t>(+56) 9 82454846</w:t>
      </w:r>
    </w:p>
    <w:sectPr w:rsidR="00B20C93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01136" w14:textId="77777777" w:rsidR="00FC43D6" w:rsidRDefault="00FC43D6">
      <w:pPr>
        <w:spacing w:line="240" w:lineRule="auto"/>
      </w:pPr>
      <w:r>
        <w:separator/>
      </w:r>
    </w:p>
  </w:endnote>
  <w:endnote w:type="continuationSeparator" w:id="0">
    <w:p w14:paraId="767BBAB2" w14:textId="77777777" w:rsidR="00FC43D6" w:rsidRDefault="00FC43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79A0021-082C-4522-86CA-FD19AD4C6D6D}"/>
    <w:embedBold r:id="rId2" w:fontKey="{448CE78D-8FAB-4936-BE3A-AA7EFDC1BF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E7FA418-A0CA-400B-ACD0-62EE6CECDC60}"/>
    <w:embedBold r:id="rId4" w:fontKey="{523D0BF1-8CAA-4614-9EDA-94260D565B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35B842-02F8-48AC-925D-2DE0F57934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7B5D85-C55F-4DB7-A411-DBA09A6A1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A1AE6" w14:textId="32A916D9" w:rsidR="00B20C93" w:rsidRDefault="00B20C93">
    <w:pPr>
      <w:widowControl w:val="0"/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613BF" w14:textId="77777777" w:rsidR="00FC43D6" w:rsidRDefault="00FC43D6">
      <w:pPr>
        <w:spacing w:line="240" w:lineRule="auto"/>
      </w:pPr>
      <w:r>
        <w:separator/>
      </w:r>
    </w:p>
  </w:footnote>
  <w:footnote w:type="continuationSeparator" w:id="0">
    <w:p w14:paraId="6FC20769" w14:textId="77777777" w:rsidR="00FC43D6" w:rsidRDefault="00FC43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80A05" w14:textId="77777777" w:rsidR="00B20C93" w:rsidRDefault="00000000">
    <w:pPr>
      <w:tabs>
        <w:tab w:val="center" w:pos="4419"/>
        <w:tab w:val="right" w:pos="8838"/>
      </w:tabs>
      <w:spacing w:line="240" w:lineRule="auto"/>
    </w:pPr>
    <w:r>
      <w:rPr>
        <w:rFonts w:ascii="Quattrocento Sans" w:eastAsia="Quattrocento Sans" w:hAnsi="Quattrocento Sans" w:cs="Quattrocento Sans"/>
        <w:noProof/>
      </w:rPr>
      <w:drawing>
        <wp:anchor distT="0" distB="0" distL="114300" distR="114300" simplePos="0" relativeHeight="251658240" behindDoc="0" locked="0" layoutInCell="1" hidden="0" allowOverlap="1" wp14:anchorId="478B1D46" wp14:editId="3EEEF46D">
          <wp:simplePos x="0" y="0"/>
          <wp:positionH relativeFrom="margin">
            <wp:posOffset>4733925</wp:posOffset>
          </wp:positionH>
          <wp:positionV relativeFrom="topMargin">
            <wp:posOffset>598297</wp:posOffset>
          </wp:positionV>
          <wp:extent cx="1209675" cy="692150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4736" t="10538" r="5062" b="12550"/>
                  <a:stretch>
                    <a:fillRect/>
                  </a:stretch>
                </pic:blipFill>
                <pic:spPr>
                  <a:xfrm>
                    <a:off x="0" y="0"/>
                    <a:ext cx="1209675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  <w:noProof/>
      </w:rPr>
      <w:drawing>
        <wp:inline distT="114300" distB="114300" distL="114300" distR="114300" wp14:anchorId="7023C5F2" wp14:editId="276DD8A4">
          <wp:extent cx="833438" cy="779230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3438" cy="779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C93"/>
    <w:rsid w:val="00B20C93"/>
    <w:rsid w:val="00CA004C"/>
    <w:rsid w:val="00E66A7A"/>
    <w:rsid w:val="00FC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E88F0"/>
  <w15:docId w15:val="{9935C310-E196-4392-A191-EA1A96A0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66A7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A7A"/>
  </w:style>
  <w:style w:type="paragraph" w:styleId="Piedepgina">
    <w:name w:val="footer"/>
    <w:basedOn w:val="Normal"/>
    <w:link w:val="PiedepginaCar"/>
    <w:uiPriority w:val="99"/>
    <w:unhideWhenUsed/>
    <w:rsid w:val="00E66A7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enke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ucia.acuna@headline.c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QpuPYDKMOo0Mw+vizxZjNo52A==">CgMxLjA4AHIhMXItX1ZLU3oxNm9TcjNGSTBURjByeldEZXN2NkFCTVFi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1018</Words>
  <Characters>5601</Characters>
  <Application>Microsoft Office Word</Application>
  <DocSecurity>0</DocSecurity>
  <Lines>46</Lines>
  <Paragraphs>13</Paragraphs>
  <ScaleCrop>false</ScaleCrop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Pablo Cardemil</cp:lastModifiedBy>
  <cp:revision>2</cp:revision>
  <dcterms:created xsi:type="dcterms:W3CDTF">2025-01-29T20:04:00Z</dcterms:created>
  <dcterms:modified xsi:type="dcterms:W3CDTF">2025-02-10T19:30:00Z</dcterms:modified>
</cp:coreProperties>
</file>