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A5C6F" w14:textId="47E3FA2A" w:rsidR="000D0BE3" w:rsidRPr="00C83AA2" w:rsidRDefault="004025EC" w:rsidP="00C83AA2">
      <w:pPr>
        <w:pStyle w:val="BodyText"/>
        <w:ind w:left="8052"/>
        <w:rPr>
          <w:rFonts w:ascii="Times New Roman"/>
          <w:sz w:val="20"/>
        </w:rPr>
      </w:pPr>
      <w:r>
        <w:rPr>
          <w:rFonts w:ascii="Times New Roman"/>
          <w:noProof/>
          <w:sz w:val="20"/>
        </w:rPr>
        <w:drawing>
          <wp:anchor distT="0" distB="0" distL="114300" distR="114300" simplePos="0" relativeHeight="487588864" behindDoc="0" locked="0" layoutInCell="1" allowOverlap="1" wp14:anchorId="6442E2B4" wp14:editId="2C7B8EB3">
            <wp:simplePos x="0" y="0"/>
            <wp:positionH relativeFrom="column">
              <wp:posOffset>4953635</wp:posOffset>
            </wp:positionH>
            <wp:positionV relativeFrom="paragraph">
              <wp:posOffset>-345468</wp:posOffset>
            </wp:positionV>
            <wp:extent cx="1049172" cy="590930"/>
            <wp:effectExtent l="0" t="0" r="0" b="0"/>
            <wp:wrapSquare wrapText="bothSides"/>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9172" cy="590930"/>
                    </a:xfrm>
                    <a:prstGeom prst="rect">
                      <a:avLst/>
                    </a:prstGeom>
                  </pic:spPr>
                </pic:pic>
              </a:graphicData>
            </a:graphic>
            <wp14:sizeRelH relativeFrom="page">
              <wp14:pctWidth>0</wp14:pctWidth>
            </wp14:sizeRelH>
            <wp14:sizeRelV relativeFrom="page">
              <wp14:pctHeight>0</wp14:pctHeight>
            </wp14:sizeRelV>
          </wp:anchor>
        </w:drawing>
      </w:r>
    </w:p>
    <w:p w14:paraId="62F5FBE9" w14:textId="77777777" w:rsidR="00C83AA2" w:rsidRPr="00C83AA2" w:rsidRDefault="00C83AA2">
      <w:pPr>
        <w:pStyle w:val="Title"/>
        <w:rPr>
          <w:color w:val="3D3B3B"/>
          <w:sz w:val="28"/>
          <w:szCs w:val="28"/>
          <w:lang w:val="el-GR"/>
        </w:rPr>
      </w:pPr>
    </w:p>
    <w:p w14:paraId="6328D787" w14:textId="65A76C63" w:rsidR="000D0BE3" w:rsidRPr="00685563" w:rsidRDefault="00685563">
      <w:pPr>
        <w:pStyle w:val="Title"/>
      </w:pPr>
      <w:r>
        <w:rPr>
          <w:color w:val="3D3B3B"/>
          <w:lang w:val="el-GR"/>
        </w:rPr>
        <w:t>Δελτίο</w:t>
      </w:r>
      <w:r w:rsidRPr="00685563">
        <w:rPr>
          <w:color w:val="3D3B3B"/>
        </w:rPr>
        <w:t xml:space="preserve"> </w:t>
      </w:r>
      <w:r>
        <w:rPr>
          <w:color w:val="3D3B3B"/>
          <w:lang w:val="el-GR"/>
        </w:rPr>
        <w:t>Τύπου</w:t>
      </w:r>
    </w:p>
    <w:p w14:paraId="30E141A4" w14:textId="55151785" w:rsidR="000D0BE3" w:rsidRDefault="00685563">
      <w:pPr>
        <w:pStyle w:val="BodyText"/>
        <w:spacing w:before="120"/>
        <w:ind w:right="948"/>
        <w:jc w:val="right"/>
      </w:pPr>
      <w:r>
        <w:rPr>
          <w:lang w:val="el-GR"/>
        </w:rPr>
        <w:t>Μάρτιος</w:t>
      </w:r>
      <w:r w:rsidR="004025EC">
        <w:rPr>
          <w:spacing w:val="-5"/>
        </w:rPr>
        <w:t xml:space="preserve"> </w:t>
      </w:r>
      <w:r w:rsidR="004025EC">
        <w:t>4,</w:t>
      </w:r>
      <w:r w:rsidR="004025EC">
        <w:rPr>
          <w:spacing w:val="-3"/>
        </w:rPr>
        <w:t xml:space="preserve"> </w:t>
      </w:r>
      <w:r w:rsidR="004025EC">
        <w:rPr>
          <w:spacing w:val="-4"/>
        </w:rPr>
        <w:t>2024</w:t>
      </w:r>
    </w:p>
    <w:p w14:paraId="4CA0041F" w14:textId="77777777" w:rsidR="000D0BE3" w:rsidRDefault="000D0BE3">
      <w:pPr>
        <w:pStyle w:val="BodyText"/>
      </w:pPr>
    </w:p>
    <w:p w14:paraId="31CB0768" w14:textId="77777777" w:rsidR="000D0BE3" w:rsidRDefault="000D0BE3">
      <w:pPr>
        <w:pStyle w:val="BodyText"/>
        <w:spacing w:before="17"/>
      </w:pPr>
    </w:p>
    <w:p w14:paraId="54E7FB12" w14:textId="7BA467E8" w:rsidR="000D0BE3" w:rsidRPr="00C83AA2" w:rsidRDefault="00C83AA2">
      <w:pPr>
        <w:pStyle w:val="BodyText"/>
        <w:spacing w:before="1"/>
        <w:ind w:left="111"/>
        <w:jc w:val="both"/>
        <w:rPr>
          <w:lang w:val="el-GR"/>
        </w:rPr>
      </w:pPr>
      <w:r>
        <w:rPr>
          <w:lang w:val="el-GR"/>
        </w:rPr>
        <w:t>Συνεχής</w:t>
      </w:r>
      <w:r w:rsidRPr="00C83AA2">
        <w:rPr>
          <w:lang w:val="el-GR"/>
        </w:rPr>
        <w:t xml:space="preserve"> προώθηση της υλοποίησης του προγράμματος στρατηγικής ανάπτυξής</w:t>
      </w:r>
      <w:r w:rsidR="004025EC" w:rsidRPr="004025EC">
        <w:rPr>
          <w:lang w:val="el-GR"/>
        </w:rPr>
        <w:t xml:space="preserve"> </w:t>
      </w:r>
      <w:r w:rsidR="004025EC">
        <w:rPr>
          <w:lang w:val="el-GR"/>
        </w:rPr>
        <w:t xml:space="preserve">μέσα </w:t>
      </w:r>
      <w:r w:rsidR="004025EC" w:rsidRPr="004025EC">
        <w:rPr>
          <w:lang w:val="el-GR"/>
        </w:rPr>
        <w:t>σε ένα απαιτητικό περιβάλλον</w:t>
      </w:r>
    </w:p>
    <w:p w14:paraId="1FAD035D" w14:textId="2CE10120" w:rsidR="00685563" w:rsidRPr="00685563" w:rsidRDefault="00685563">
      <w:pPr>
        <w:spacing w:before="286" w:line="273" w:lineRule="auto"/>
        <w:ind w:left="111" w:right="661"/>
        <w:rPr>
          <w:b/>
          <w:sz w:val="32"/>
          <w:lang w:val="el-GR"/>
        </w:rPr>
      </w:pPr>
      <w:r w:rsidRPr="00685563">
        <w:rPr>
          <w:b/>
          <w:sz w:val="32"/>
          <w:lang w:val="el-GR"/>
        </w:rPr>
        <w:t xml:space="preserve">Η </w:t>
      </w:r>
      <w:r w:rsidRPr="00685563">
        <w:rPr>
          <w:b/>
          <w:sz w:val="32"/>
        </w:rPr>
        <w:t>Henkel</w:t>
      </w:r>
      <w:r w:rsidRPr="00685563">
        <w:rPr>
          <w:b/>
          <w:sz w:val="32"/>
          <w:lang w:val="el-GR"/>
        </w:rPr>
        <w:t xml:space="preserve"> </w:t>
      </w:r>
      <w:r>
        <w:rPr>
          <w:b/>
          <w:sz w:val="32"/>
          <w:lang w:val="el-GR"/>
        </w:rPr>
        <w:t>παρουσίασε</w:t>
      </w:r>
      <w:r w:rsidRPr="00685563">
        <w:rPr>
          <w:b/>
          <w:sz w:val="32"/>
          <w:lang w:val="el-GR"/>
        </w:rPr>
        <w:t xml:space="preserve"> πολύ ισχυρή ανάπτυξη </w:t>
      </w:r>
      <w:r>
        <w:rPr>
          <w:b/>
          <w:sz w:val="32"/>
          <w:lang w:val="el-GR"/>
        </w:rPr>
        <w:t>οργανικών πωλήσεων</w:t>
      </w:r>
      <w:r w:rsidRPr="00685563">
        <w:rPr>
          <w:b/>
          <w:sz w:val="32"/>
          <w:lang w:val="el-GR"/>
        </w:rPr>
        <w:t xml:space="preserve"> και σημαντική βελτίωση κερδών το 2023</w:t>
      </w:r>
    </w:p>
    <w:p w14:paraId="7147320E" w14:textId="19469FA3" w:rsidR="000D0BE3" w:rsidRPr="00685563" w:rsidRDefault="00685563">
      <w:pPr>
        <w:pStyle w:val="ListParagraph"/>
        <w:numPr>
          <w:ilvl w:val="0"/>
          <w:numId w:val="1"/>
        </w:numPr>
        <w:tabs>
          <w:tab w:val="left" w:pos="468"/>
        </w:tabs>
        <w:spacing w:before="219"/>
        <w:ind w:hanging="357"/>
        <w:rPr>
          <w:b/>
          <w:lang w:val="el-GR"/>
        </w:rPr>
      </w:pPr>
      <w:r w:rsidRPr="00685563">
        <w:rPr>
          <w:b/>
          <w:lang w:val="el-GR"/>
        </w:rPr>
        <w:t>Ισχυρές επιχειρηματικές επιδόσεις το 2023</w:t>
      </w:r>
    </w:p>
    <w:p w14:paraId="535839EC" w14:textId="3D911989" w:rsidR="000D0BE3" w:rsidRPr="00685563" w:rsidRDefault="00685563">
      <w:pPr>
        <w:pStyle w:val="ListParagraph"/>
        <w:numPr>
          <w:ilvl w:val="1"/>
          <w:numId w:val="1"/>
        </w:numPr>
        <w:tabs>
          <w:tab w:val="left" w:pos="819"/>
        </w:tabs>
        <w:spacing w:before="125"/>
        <w:rPr>
          <w:b/>
          <w:lang w:val="el-GR"/>
        </w:rPr>
      </w:pPr>
      <w:r>
        <w:rPr>
          <w:b/>
          <w:lang w:val="el-GR"/>
        </w:rPr>
        <w:t>Πωλήσεις</w:t>
      </w:r>
      <w:r w:rsidR="004025EC" w:rsidRPr="00685563">
        <w:rPr>
          <w:b/>
          <w:lang w:val="el-GR"/>
        </w:rPr>
        <w:t>:</w:t>
      </w:r>
      <w:r w:rsidR="004025EC" w:rsidRPr="00685563">
        <w:rPr>
          <w:b/>
          <w:spacing w:val="-7"/>
          <w:lang w:val="el-GR"/>
        </w:rPr>
        <w:t xml:space="preserve"> </w:t>
      </w:r>
      <w:r w:rsidR="004025EC" w:rsidRPr="00685563">
        <w:rPr>
          <w:b/>
          <w:lang w:val="el-GR"/>
        </w:rPr>
        <w:t>21.5</w:t>
      </w:r>
      <w:r w:rsidRPr="00685563">
        <w:rPr>
          <w:b/>
          <w:spacing w:val="-2"/>
          <w:lang w:val="el-GR"/>
        </w:rPr>
        <w:t>δισ. ευρώ, πολύ ισχυρή οργανική ανάπτυξη 4,2</w:t>
      </w:r>
      <w:r w:rsidR="00EB3CB1">
        <w:rPr>
          <w:b/>
          <w:spacing w:val="-2"/>
          <w:lang w:val="el-GR"/>
        </w:rPr>
        <w:t>%</w:t>
      </w:r>
    </w:p>
    <w:p w14:paraId="7AB2EFDE" w14:textId="53A3A051" w:rsidR="000D0BE3" w:rsidRPr="00685563" w:rsidRDefault="00685563">
      <w:pPr>
        <w:pStyle w:val="ListParagraph"/>
        <w:numPr>
          <w:ilvl w:val="1"/>
          <w:numId w:val="1"/>
        </w:numPr>
        <w:tabs>
          <w:tab w:val="left" w:pos="819"/>
        </w:tabs>
        <w:spacing w:before="111"/>
        <w:rPr>
          <w:b/>
          <w:lang w:val="el-GR"/>
        </w:rPr>
      </w:pPr>
      <w:r w:rsidRPr="00685563">
        <w:rPr>
          <w:b/>
          <w:spacing w:val="-2"/>
          <w:lang w:val="el-GR"/>
        </w:rPr>
        <w:t>Λειτουργικά κέρδη (</w:t>
      </w:r>
      <w:r w:rsidRPr="00685563">
        <w:rPr>
          <w:b/>
          <w:spacing w:val="-2"/>
        </w:rPr>
        <w:t>EBIT</w:t>
      </w:r>
      <w:r w:rsidRPr="00685563">
        <w:rPr>
          <w:b/>
          <w:spacing w:val="-2"/>
          <w:lang w:val="el-GR"/>
        </w:rPr>
        <w:t>)*: 2,6 δισ. ευρώ, σημαντική αύξηση 10,2</w:t>
      </w:r>
      <w:r w:rsidR="00EB3CB1">
        <w:rPr>
          <w:b/>
          <w:spacing w:val="-2"/>
          <w:lang w:val="el-GR"/>
        </w:rPr>
        <w:t>%</w:t>
      </w:r>
    </w:p>
    <w:p w14:paraId="63210114" w14:textId="02F1FC9D" w:rsidR="00685563" w:rsidRPr="00685563" w:rsidRDefault="00685563" w:rsidP="00685563">
      <w:pPr>
        <w:pStyle w:val="ListParagraph"/>
        <w:numPr>
          <w:ilvl w:val="1"/>
          <w:numId w:val="1"/>
        </w:numPr>
        <w:tabs>
          <w:tab w:val="left" w:pos="819"/>
        </w:tabs>
        <w:spacing w:before="113"/>
        <w:rPr>
          <w:b/>
          <w:lang w:val="el-GR"/>
        </w:rPr>
      </w:pPr>
      <w:r w:rsidRPr="00685563">
        <w:rPr>
          <w:b/>
          <w:spacing w:val="-2"/>
          <w:lang w:val="el-GR"/>
        </w:rPr>
        <w:t xml:space="preserve">Περιθώριο </w:t>
      </w:r>
      <w:r w:rsidRPr="00685563">
        <w:rPr>
          <w:b/>
          <w:spacing w:val="-2"/>
        </w:rPr>
        <w:t>EBIT</w:t>
      </w:r>
      <w:r w:rsidRPr="00685563">
        <w:rPr>
          <w:b/>
          <w:spacing w:val="-2"/>
          <w:lang w:val="el-GR"/>
        </w:rPr>
        <w:t>*: 11,9</w:t>
      </w:r>
      <w:r w:rsidR="00EB3CB1">
        <w:rPr>
          <w:b/>
          <w:spacing w:val="-2"/>
          <w:lang w:val="el-GR"/>
        </w:rPr>
        <w:t>%</w:t>
      </w:r>
      <w:r w:rsidRPr="00685563">
        <w:rPr>
          <w:b/>
          <w:spacing w:val="-2"/>
          <w:lang w:val="el-GR"/>
        </w:rPr>
        <w:t>, ισχυρή βελτίωση κατά 150 μονάδες βάσης</w:t>
      </w:r>
    </w:p>
    <w:p w14:paraId="797A3552" w14:textId="3F25E9B9" w:rsidR="00685563" w:rsidRPr="00685563" w:rsidRDefault="00685563" w:rsidP="00685563">
      <w:pPr>
        <w:pStyle w:val="ListParagraph"/>
        <w:numPr>
          <w:ilvl w:val="1"/>
          <w:numId w:val="1"/>
        </w:numPr>
        <w:tabs>
          <w:tab w:val="left" w:pos="819"/>
        </w:tabs>
        <w:spacing w:before="113"/>
        <w:rPr>
          <w:b/>
          <w:lang w:val="el-GR"/>
        </w:rPr>
      </w:pPr>
      <w:r w:rsidRPr="00685563">
        <w:rPr>
          <w:b/>
          <w:lang w:val="el-GR"/>
        </w:rPr>
        <w:t>Κέρδη ανά προνομιούχο μετοχή (</w:t>
      </w:r>
      <w:r w:rsidRPr="00685563">
        <w:rPr>
          <w:b/>
        </w:rPr>
        <w:t>EPS</w:t>
      </w:r>
      <w:r w:rsidRPr="00685563">
        <w:rPr>
          <w:b/>
          <w:lang w:val="el-GR"/>
        </w:rPr>
        <w:t>)* σημαντικά υψηλότερα: 4,35 ευρώ,</w:t>
      </w:r>
      <w:r w:rsidRPr="00685563">
        <w:rPr>
          <w:lang w:val="el-GR"/>
        </w:rPr>
        <w:t xml:space="preserve"> </w:t>
      </w:r>
      <w:r w:rsidRPr="00685563">
        <w:rPr>
          <w:b/>
          <w:lang w:val="el-GR"/>
        </w:rPr>
        <w:t>+20,0</w:t>
      </w:r>
      <w:r w:rsidR="00EB3CB1">
        <w:rPr>
          <w:b/>
          <w:lang w:val="el-GR"/>
        </w:rPr>
        <w:t>%</w:t>
      </w:r>
      <w:r w:rsidRPr="00685563">
        <w:rPr>
          <w:b/>
          <w:lang w:val="el-GR"/>
        </w:rPr>
        <w:t xml:space="preserve"> σε σταθερές συναλλαγματικές ισοτιμίες</w:t>
      </w:r>
    </w:p>
    <w:p w14:paraId="3D9265C1" w14:textId="73622697" w:rsidR="00685563" w:rsidRPr="000227F7" w:rsidRDefault="000227F7" w:rsidP="000227F7">
      <w:pPr>
        <w:pStyle w:val="ListParagraph"/>
        <w:numPr>
          <w:ilvl w:val="1"/>
          <w:numId w:val="1"/>
        </w:numPr>
        <w:tabs>
          <w:tab w:val="left" w:pos="820"/>
        </w:tabs>
        <w:spacing w:before="113"/>
        <w:ind w:left="820"/>
        <w:rPr>
          <w:b/>
          <w:lang w:val="el-GR"/>
        </w:rPr>
      </w:pPr>
      <w:r w:rsidRPr="000227F7">
        <w:rPr>
          <w:b/>
          <w:lang w:val="el-GR"/>
        </w:rPr>
        <w:t>Διαθέσιμες</w:t>
      </w:r>
      <w:r w:rsidR="00685563" w:rsidRPr="000227F7">
        <w:rPr>
          <w:b/>
          <w:lang w:val="el-GR"/>
        </w:rPr>
        <w:t xml:space="preserve"> ταμειακές ροές σε νέο υψηλό</w:t>
      </w:r>
      <w:r w:rsidRPr="000227F7">
        <w:rPr>
          <w:b/>
          <w:lang w:val="el-GR"/>
        </w:rPr>
        <w:t xml:space="preserve"> επίπεδο</w:t>
      </w:r>
      <w:r w:rsidR="00685563" w:rsidRPr="000227F7">
        <w:rPr>
          <w:b/>
          <w:lang w:val="el-GR"/>
        </w:rPr>
        <w:t xml:space="preserve"> 2,6 δισ. ευρώ</w:t>
      </w:r>
    </w:p>
    <w:p w14:paraId="706404D2" w14:textId="3A87F8F8" w:rsidR="000227F7" w:rsidRPr="000227F7" w:rsidRDefault="000227F7">
      <w:pPr>
        <w:pStyle w:val="ListParagraph"/>
        <w:numPr>
          <w:ilvl w:val="0"/>
          <w:numId w:val="1"/>
        </w:numPr>
        <w:tabs>
          <w:tab w:val="left" w:pos="468"/>
        </w:tabs>
        <w:ind w:hanging="357"/>
        <w:rPr>
          <w:b/>
          <w:lang w:val="el-GR"/>
        </w:rPr>
      </w:pPr>
      <w:r>
        <w:rPr>
          <w:b/>
          <w:lang w:val="el-GR"/>
        </w:rPr>
        <w:t>Σ</w:t>
      </w:r>
      <w:r w:rsidRPr="000227F7">
        <w:rPr>
          <w:b/>
          <w:lang w:val="el-GR"/>
        </w:rPr>
        <w:t xml:space="preserve">ταθερό </w:t>
      </w:r>
      <w:r>
        <w:rPr>
          <w:b/>
          <w:lang w:val="el-GR"/>
        </w:rPr>
        <w:t>π</w:t>
      </w:r>
      <w:r w:rsidRPr="000227F7">
        <w:rPr>
          <w:b/>
          <w:lang w:val="el-GR"/>
        </w:rPr>
        <w:t>ροτεινόμενο μέρισμα: 1,85 ευρώ ανά προνομιούχο μετοχή</w:t>
      </w:r>
    </w:p>
    <w:p w14:paraId="0B61E3DD" w14:textId="477C49BD" w:rsidR="000227F7" w:rsidRPr="00C83AA2" w:rsidRDefault="000227F7">
      <w:pPr>
        <w:pStyle w:val="ListParagraph"/>
        <w:numPr>
          <w:ilvl w:val="0"/>
          <w:numId w:val="1"/>
        </w:numPr>
        <w:tabs>
          <w:tab w:val="left" w:pos="468"/>
        </w:tabs>
        <w:spacing w:before="125"/>
        <w:ind w:hanging="357"/>
        <w:rPr>
          <w:b/>
          <w:lang w:val="el-GR"/>
        </w:rPr>
      </w:pPr>
      <w:r w:rsidRPr="00C83AA2">
        <w:rPr>
          <w:b/>
          <w:lang w:val="el-GR"/>
        </w:rPr>
        <w:t>Συνεχής προώθηση της υλοποίησης τ</w:t>
      </w:r>
      <w:r w:rsidR="00C83AA2" w:rsidRPr="00C83AA2">
        <w:rPr>
          <w:b/>
          <w:lang w:val="el-GR"/>
        </w:rPr>
        <w:t>ου</w:t>
      </w:r>
      <w:r w:rsidRPr="00C83AA2">
        <w:rPr>
          <w:b/>
          <w:lang w:val="el-GR"/>
        </w:rPr>
        <w:t xml:space="preserve"> </w:t>
      </w:r>
      <w:r w:rsidR="00C83AA2" w:rsidRPr="00C83AA2">
        <w:rPr>
          <w:b/>
          <w:lang w:val="el-GR"/>
        </w:rPr>
        <w:t>προγράμματος στρατηγικής ανάπτυξής</w:t>
      </w:r>
    </w:p>
    <w:p w14:paraId="5BE67ABB" w14:textId="5811EDE5" w:rsidR="000D0BE3" w:rsidRPr="000227F7" w:rsidRDefault="004025EC">
      <w:pPr>
        <w:pStyle w:val="ListParagraph"/>
        <w:numPr>
          <w:ilvl w:val="1"/>
          <w:numId w:val="1"/>
        </w:numPr>
        <w:tabs>
          <w:tab w:val="left" w:pos="819"/>
        </w:tabs>
        <w:spacing w:before="123"/>
        <w:rPr>
          <w:b/>
          <w:lang w:val="el-GR"/>
        </w:rPr>
      </w:pPr>
      <w:r w:rsidRPr="00C83AA2">
        <w:rPr>
          <w:b/>
        </w:rPr>
        <w:t>Consumer</w:t>
      </w:r>
      <w:r w:rsidRPr="00C83AA2">
        <w:rPr>
          <w:b/>
          <w:spacing w:val="-6"/>
          <w:lang w:val="el-GR"/>
        </w:rPr>
        <w:t xml:space="preserve"> </w:t>
      </w:r>
      <w:r w:rsidRPr="00C83AA2">
        <w:rPr>
          <w:b/>
        </w:rPr>
        <w:t>Brands</w:t>
      </w:r>
      <w:r w:rsidRPr="000227F7">
        <w:rPr>
          <w:b/>
          <w:lang w:val="el-GR"/>
        </w:rPr>
        <w:t>:</w:t>
      </w:r>
      <w:r w:rsidRPr="000227F7">
        <w:rPr>
          <w:b/>
          <w:spacing w:val="-7"/>
          <w:lang w:val="el-GR"/>
        </w:rPr>
        <w:t xml:space="preserve"> </w:t>
      </w:r>
      <w:r w:rsidR="000227F7" w:rsidRPr="000227F7">
        <w:rPr>
          <w:b/>
          <w:lang w:val="el-GR"/>
        </w:rPr>
        <w:t>Η συγχώνευση προχωρά ταχύτερα από το προγραμματισμένο</w:t>
      </w:r>
    </w:p>
    <w:p w14:paraId="2A270F18" w14:textId="3F8D09AC" w:rsidR="000227F7" w:rsidRPr="000227F7" w:rsidRDefault="004025EC" w:rsidP="000227F7">
      <w:pPr>
        <w:pStyle w:val="ListParagraph"/>
        <w:numPr>
          <w:ilvl w:val="1"/>
          <w:numId w:val="1"/>
        </w:numPr>
        <w:tabs>
          <w:tab w:val="left" w:pos="819"/>
        </w:tabs>
        <w:spacing w:before="111"/>
        <w:rPr>
          <w:b/>
          <w:lang w:val="el-GR"/>
        </w:rPr>
      </w:pPr>
      <w:r w:rsidRPr="000227F7">
        <w:rPr>
          <w:b/>
        </w:rPr>
        <w:t>Adhesive</w:t>
      </w:r>
      <w:r w:rsidRPr="000227F7">
        <w:rPr>
          <w:b/>
          <w:spacing w:val="-10"/>
          <w:lang w:val="el-GR"/>
        </w:rPr>
        <w:t xml:space="preserve"> </w:t>
      </w:r>
      <w:r w:rsidRPr="000227F7">
        <w:rPr>
          <w:b/>
        </w:rPr>
        <w:t>Technologies</w:t>
      </w:r>
      <w:r w:rsidRPr="000227F7">
        <w:rPr>
          <w:b/>
          <w:lang w:val="el-GR"/>
        </w:rPr>
        <w:t>:</w:t>
      </w:r>
      <w:r w:rsidRPr="000227F7">
        <w:rPr>
          <w:b/>
          <w:spacing w:val="-8"/>
          <w:lang w:val="el-GR"/>
        </w:rPr>
        <w:t xml:space="preserve"> </w:t>
      </w:r>
      <w:r w:rsidR="000227F7" w:rsidRPr="000227F7">
        <w:rPr>
          <w:b/>
          <w:lang w:val="el-GR"/>
        </w:rPr>
        <w:t xml:space="preserve">Νέος οργανισμός </w:t>
      </w:r>
      <w:r w:rsidR="000227F7">
        <w:rPr>
          <w:b/>
          <w:lang w:val="el-GR"/>
        </w:rPr>
        <w:t xml:space="preserve">με ακόμα μεγαλύτερη </w:t>
      </w:r>
      <w:r w:rsidR="00EB3CB1">
        <w:rPr>
          <w:b/>
          <w:lang w:val="el-GR"/>
        </w:rPr>
        <w:t>αφοσίωση</w:t>
      </w:r>
      <w:r w:rsidR="000227F7" w:rsidRPr="000227F7">
        <w:rPr>
          <w:b/>
          <w:lang w:val="el-GR"/>
        </w:rPr>
        <w:t xml:space="preserve"> στον πελάτη </w:t>
      </w:r>
    </w:p>
    <w:p w14:paraId="1A75A024" w14:textId="77777777" w:rsidR="00EB3CB1" w:rsidRDefault="00EB3CB1">
      <w:pPr>
        <w:pStyle w:val="ListParagraph"/>
        <w:numPr>
          <w:ilvl w:val="1"/>
          <w:numId w:val="1"/>
        </w:numPr>
        <w:tabs>
          <w:tab w:val="left" w:pos="819"/>
        </w:tabs>
        <w:spacing w:before="113"/>
        <w:rPr>
          <w:b/>
          <w:lang w:val="el-GR"/>
        </w:rPr>
      </w:pPr>
      <w:r w:rsidRPr="00EB3CB1">
        <w:rPr>
          <w:b/>
          <w:lang w:val="el-GR"/>
        </w:rPr>
        <w:t xml:space="preserve">Ενισχύθηκαν και οι δύο επιχειρηματικές μονάδες με στοχευμένες εξαγορές </w:t>
      </w:r>
    </w:p>
    <w:p w14:paraId="52BE5E79" w14:textId="39E62122" w:rsidR="000D0BE3" w:rsidRPr="00EB3CB1" w:rsidRDefault="00EB3CB1">
      <w:pPr>
        <w:pStyle w:val="ListParagraph"/>
        <w:numPr>
          <w:ilvl w:val="1"/>
          <w:numId w:val="1"/>
        </w:numPr>
        <w:tabs>
          <w:tab w:val="left" w:pos="819"/>
        </w:tabs>
        <w:spacing w:before="113"/>
        <w:rPr>
          <w:b/>
          <w:lang w:val="el-GR"/>
        </w:rPr>
      </w:pPr>
      <w:r w:rsidRPr="00EB3CB1">
        <w:rPr>
          <w:b/>
          <w:spacing w:val="-4"/>
          <w:lang w:val="el-GR"/>
        </w:rPr>
        <w:t>Προώθηση της βιωσιμότητας σε βασικούς τομείς</w:t>
      </w:r>
    </w:p>
    <w:p w14:paraId="6C3B2AEF" w14:textId="47CF6CEF" w:rsidR="000D0BE3" w:rsidRPr="00C83AA2" w:rsidRDefault="00C83AA2">
      <w:pPr>
        <w:pStyle w:val="ListParagraph"/>
        <w:numPr>
          <w:ilvl w:val="0"/>
          <w:numId w:val="1"/>
        </w:numPr>
        <w:tabs>
          <w:tab w:val="left" w:pos="468"/>
        </w:tabs>
        <w:ind w:hanging="357"/>
        <w:rPr>
          <w:b/>
          <w:lang w:val="el-GR"/>
        </w:rPr>
      </w:pPr>
      <w:r>
        <w:rPr>
          <w:b/>
          <w:spacing w:val="-2"/>
          <w:lang w:val="el-GR"/>
        </w:rPr>
        <w:t>Π</w:t>
      </w:r>
      <w:r w:rsidRPr="00C83AA2">
        <w:rPr>
          <w:b/>
          <w:spacing w:val="-2"/>
          <w:lang w:val="el-GR"/>
        </w:rPr>
        <w:t xml:space="preserve">ροοπτικές για το οικονομικό έτος </w:t>
      </w:r>
      <w:r w:rsidR="004025EC" w:rsidRPr="00C83AA2">
        <w:rPr>
          <w:b/>
          <w:lang w:val="el-GR"/>
        </w:rPr>
        <w:t>2024</w:t>
      </w:r>
      <w:r w:rsidR="004025EC" w:rsidRPr="00C83AA2">
        <w:rPr>
          <w:b/>
          <w:spacing w:val="-4"/>
          <w:lang w:val="el-GR"/>
        </w:rPr>
        <w:t xml:space="preserve"> </w:t>
      </w:r>
      <w:r w:rsidR="004025EC" w:rsidRPr="00C83AA2">
        <w:rPr>
          <w:b/>
          <w:lang w:val="el-GR"/>
        </w:rPr>
        <w:t>–</w:t>
      </w:r>
      <w:r w:rsidR="004025EC" w:rsidRPr="00C83AA2">
        <w:rPr>
          <w:b/>
          <w:spacing w:val="-4"/>
          <w:lang w:val="el-GR"/>
        </w:rPr>
        <w:t xml:space="preserve"> </w:t>
      </w:r>
      <w:r w:rsidRPr="00C83AA2">
        <w:rPr>
          <w:b/>
          <w:spacing w:val="-4"/>
          <w:lang w:val="el-GR"/>
        </w:rPr>
        <w:t xml:space="preserve">εστίαση στην κερδοφόρα ανάπτυξη </w:t>
      </w:r>
      <w:r w:rsidRPr="00C83AA2">
        <w:rPr>
          <w:b/>
          <w:spacing w:val="-2"/>
          <w:lang w:val="el-GR"/>
        </w:rPr>
        <w:t xml:space="preserve"> </w:t>
      </w:r>
    </w:p>
    <w:p w14:paraId="4EFC9DF0" w14:textId="3BCFD93C" w:rsidR="00EB3CB1" w:rsidRPr="00EB3CB1" w:rsidRDefault="00EB3CB1" w:rsidP="00EB3CB1">
      <w:pPr>
        <w:pStyle w:val="ListParagraph"/>
        <w:numPr>
          <w:ilvl w:val="1"/>
          <w:numId w:val="1"/>
        </w:numPr>
        <w:tabs>
          <w:tab w:val="left" w:pos="1188"/>
        </w:tabs>
        <w:spacing w:before="111"/>
        <w:ind w:left="1188" w:hanging="357"/>
        <w:rPr>
          <w:b/>
          <w:lang w:val="el-GR"/>
        </w:rPr>
      </w:pPr>
      <w:r w:rsidRPr="00EB3CB1">
        <w:rPr>
          <w:b/>
          <w:lang w:val="el-GR"/>
        </w:rPr>
        <w:t>Οργανική αύξηση των πωλήσεων</w:t>
      </w:r>
      <w:r w:rsidR="004025EC" w:rsidRPr="00EB3CB1">
        <w:rPr>
          <w:b/>
          <w:lang w:val="el-GR"/>
        </w:rPr>
        <w:t>:</w:t>
      </w:r>
      <w:r w:rsidR="004025EC" w:rsidRPr="00EB3CB1">
        <w:rPr>
          <w:b/>
          <w:spacing w:val="-3"/>
          <w:lang w:val="el-GR"/>
        </w:rPr>
        <w:t xml:space="preserve"> </w:t>
      </w:r>
      <w:r w:rsidRPr="00EB3CB1">
        <w:rPr>
          <w:b/>
          <w:spacing w:val="-3"/>
          <w:lang w:val="el-GR"/>
        </w:rPr>
        <w:t xml:space="preserve">από </w:t>
      </w:r>
      <w:r w:rsidR="004025EC" w:rsidRPr="00EB3CB1">
        <w:rPr>
          <w:b/>
          <w:lang w:val="el-GR"/>
        </w:rPr>
        <w:t>2.0</w:t>
      </w:r>
      <w:r>
        <w:rPr>
          <w:b/>
          <w:lang w:val="el-GR"/>
        </w:rPr>
        <w:t>%</w:t>
      </w:r>
      <w:r w:rsidR="004025EC" w:rsidRPr="00EB3CB1">
        <w:rPr>
          <w:b/>
          <w:spacing w:val="-3"/>
          <w:lang w:val="el-GR"/>
        </w:rPr>
        <w:t xml:space="preserve"> </w:t>
      </w:r>
      <w:r>
        <w:rPr>
          <w:b/>
          <w:lang w:val="el-GR"/>
        </w:rPr>
        <w:t>έως</w:t>
      </w:r>
      <w:r w:rsidR="004025EC" w:rsidRPr="00EB3CB1">
        <w:rPr>
          <w:b/>
          <w:spacing w:val="-4"/>
          <w:lang w:val="el-GR"/>
        </w:rPr>
        <w:t xml:space="preserve"> </w:t>
      </w:r>
      <w:r w:rsidR="004025EC" w:rsidRPr="00EB3CB1">
        <w:rPr>
          <w:b/>
          <w:lang w:val="el-GR"/>
        </w:rPr>
        <w:t>4.0</w:t>
      </w:r>
      <w:r>
        <w:rPr>
          <w:b/>
          <w:spacing w:val="-3"/>
          <w:lang w:val="el-GR"/>
        </w:rPr>
        <w:t>%</w:t>
      </w:r>
    </w:p>
    <w:p w14:paraId="38F828B5" w14:textId="6C6684ED" w:rsidR="000D0BE3" w:rsidRPr="00EB3CB1" w:rsidRDefault="00EB3CB1" w:rsidP="00EB3CB1">
      <w:pPr>
        <w:pStyle w:val="ListParagraph"/>
        <w:numPr>
          <w:ilvl w:val="1"/>
          <w:numId w:val="1"/>
        </w:numPr>
        <w:tabs>
          <w:tab w:val="left" w:pos="1188"/>
        </w:tabs>
        <w:spacing w:before="111"/>
        <w:ind w:left="1188" w:hanging="357"/>
        <w:rPr>
          <w:b/>
          <w:lang w:val="el-GR"/>
        </w:rPr>
      </w:pPr>
      <w:r>
        <w:rPr>
          <w:b/>
          <w:lang w:val="el-GR"/>
        </w:rPr>
        <w:t>Π</w:t>
      </w:r>
      <w:r w:rsidRPr="00EB3CB1">
        <w:rPr>
          <w:b/>
          <w:lang w:val="el-GR"/>
        </w:rPr>
        <w:t xml:space="preserve">εριθώριο </w:t>
      </w:r>
      <w:r w:rsidRPr="00EB3CB1">
        <w:rPr>
          <w:b/>
        </w:rPr>
        <w:t>EBIT</w:t>
      </w:r>
      <w:r w:rsidR="004025EC" w:rsidRPr="00EB3CB1">
        <w:rPr>
          <w:b/>
          <w:lang w:val="el-GR"/>
        </w:rPr>
        <w:t>*:</w:t>
      </w:r>
      <w:r w:rsidR="004025EC" w:rsidRPr="00EB3CB1">
        <w:rPr>
          <w:b/>
          <w:spacing w:val="-4"/>
          <w:lang w:val="el-GR"/>
        </w:rPr>
        <w:t xml:space="preserve"> </w:t>
      </w:r>
      <w:r>
        <w:rPr>
          <w:b/>
          <w:spacing w:val="-4"/>
          <w:lang w:val="el-GR"/>
        </w:rPr>
        <w:t xml:space="preserve">από </w:t>
      </w:r>
      <w:r w:rsidR="004025EC" w:rsidRPr="00EB3CB1">
        <w:rPr>
          <w:b/>
          <w:lang w:val="el-GR"/>
        </w:rPr>
        <w:t>12.0</w:t>
      </w:r>
      <w:r>
        <w:rPr>
          <w:b/>
          <w:lang w:val="el-GR"/>
        </w:rPr>
        <w:t>% έως</w:t>
      </w:r>
      <w:r w:rsidR="004025EC" w:rsidRPr="00EB3CB1">
        <w:rPr>
          <w:b/>
          <w:spacing w:val="-3"/>
          <w:lang w:val="el-GR"/>
        </w:rPr>
        <w:t xml:space="preserve"> </w:t>
      </w:r>
      <w:r w:rsidR="004025EC" w:rsidRPr="00EB3CB1">
        <w:rPr>
          <w:b/>
          <w:lang w:val="el-GR"/>
        </w:rPr>
        <w:t>13.5</w:t>
      </w:r>
      <w:r>
        <w:rPr>
          <w:b/>
          <w:spacing w:val="-3"/>
          <w:lang w:val="el-GR"/>
        </w:rPr>
        <w:t>%</w:t>
      </w:r>
    </w:p>
    <w:p w14:paraId="233E7D53" w14:textId="3DA7CA47" w:rsidR="000D0BE3" w:rsidRPr="00EB3CB1" w:rsidRDefault="00EB3CB1">
      <w:pPr>
        <w:pStyle w:val="ListParagraph"/>
        <w:numPr>
          <w:ilvl w:val="1"/>
          <w:numId w:val="1"/>
        </w:numPr>
        <w:tabs>
          <w:tab w:val="left" w:pos="1189"/>
        </w:tabs>
        <w:spacing w:before="113" w:line="266" w:lineRule="auto"/>
        <w:ind w:left="1189" w:right="1785" w:hanging="358"/>
        <w:rPr>
          <w:b/>
          <w:lang w:val="el-GR"/>
        </w:rPr>
      </w:pPr>
      <w:r w:rsidRPr="00EB3CB1">
        <w:rPr>
          <w:b/>
          <w:lang w:val="el-GR"/>
        </w:rPr>
        <w:t>Κέρδη ανά προνομιούχο μετοχή (</w:t>
      </w:r>
      <w:r w:rsidRPr="00EB3CB1">
        <w:rPr>
          <w:b/>
        </w:rPr>
        <w:t>EPS</w:t>
      </w:r>
      <w:r w:rsidRPr="00EB3CB1">
        <w:rPr>
          <w:b/>
          <w:lang w:val="el-GR"/>
        </w:rPr>
        <w:t xml:space="preserve">)*: Αύξηση της τάξης του +5% έως +20% </w:t>
      </w:r>
      <w:r>
        <w:rPr>
          <w:b/>
          <w:lang w:val="el-GR"/>
        </w:rPr>
        <w:t>(</w:t>
      </w:r>
      <w:r w:rsidRPr="00EB3CB1">
        <w:rPr>
          <w:b/>
          <w:lang w:val="el-GR"/>
        </w:rPr>
        <w:t>σε σταθερές συναλλαγματικές ισοτιμίες</w:t>
      </w:r>
      <w:r>
        <w:rPr>
          <w:b/>
          <w:lang w:val="el-GR"/>
        </w:rPr>
        <w:t>)</w:t>
      </w:r>
    </w:p>
    <w:p w14:paraId="719FEF67" w14:textId="21DBEFD2" w:rsidR="00EB3CB1" w:rsidRPr="00C83AA2" w:rsidRDefault="00EB3CB1" w:rsidP="00C83AA2">
      <w:pPr>
        <w:spacing w:before="291" w:line="276" w:lineRule="auto"/>
        <w:ind w:left="110" w:right="607"/>
        <w:jc w:val="both"/>
        <w:rPr>
          <w:bCs/>
          <w:sz w:val="20"/>
          <w:szCs w:val="20"/>
          <w:lang w:val="el-GR"/>
        </w:rPr>
      </w:pPr>
      <w:r w:rsidRPr="00C83AA2">
        <w:rPr>
          <w:bCs/>
          <w:sz w:val="20"/>
          <w:szCs w:val="20"/>
          <w:lang w:val="el-GR"/>
        </w:rPr>
        <w:t xml:space="preserve">Ντίσελντορφ, Γερμανία </w:t>
      </w:r>
      <w:r w:rsidR="004025EC" w:rsidRPr="00C83AA2">
        <w:rPr>
          <w:bCs/>
          <w:sz w:val="20"/>
          <w:szCs w:val="20"/>
          <w:lang w:val="el-GR"/>
        </w:rPr>
        <w:t xml:space="preserve">– </w:t>
      </w:r>
      <w:r w:rsidR="00C83AA2" w:rsidRPr="00C83AA2">
        <w:rPr>
          <w:bCs/>
          <w:sz w:val="20"/>
          <w:szCs w:val="20"/>
          <w:lang w:val="el-GR"/>
        </w:rPr>
        <w:t>«</w:t>
      </w:r>
      <w:r w:rsidRPr="00C83AA2">
        <w:rPr>
          <w:bCs/>
          <w:sz w:val="20"/>
          <w:szCs w:val="20"/>
          <w:lang w:val="el-GR"/>
        </w:rPr>
        <w:t>Παρά το διαρκώς απαιτητικό περιβάλλον της αγοράς, προωθήσαμε με συνέπεια τη στρατηγική ανάπτυξής μας το 2023 και μάλιστα επιταχύναμε την εφαρμογή της.</w:t>
      </w:r>
      <w:r w:rsidR="00C83AA2" w:rsidRPr="00C83AA2">
        <w:rPr>
          <w:bCs/>
          <w:sz w:val="20"/>
          <w:szCs w:val="20"/>
          <w:lang w:val="el-GR"/>
        </w:rPr>
        <w:t xml:space="preserve"> </w:t>
      </w:r>
      <w:r w:rsidRPr="00C83AA2">
        <w:rPr>
          <w:bCs/>
          <w:sz w:val="20"/>
          <w:szCs w:val="20"/>
          <w:lang w:val="el-GR"/>
        </w:rPr>
        <w:t xml:space="preserve">Προσφέραμε πολύ ισχυρή οργανική ανάπτυξη πωλήσεων και βελτιώσαμε σημαντικά την κερδοφορία. </w:t>
      </w:r>
      <w:r w:rsidR="00C83AA2" w:rsidRPr="00C83AA2">
        <w:rPr>
          <w:bCs/>
          <w:sz w:val="20"/>
          <w:szCs w:val="20"/>
          <w:lang w:val="el-GR"/>
        </w:rPr>
        <w:t>Αυτό είχε ως αποτέλεσμα να</w:t>
      </w:r>
      <w:r w:rsidRPr="00C83AA2">
        <w:rPr>
          <w:bCs/>
          <w:sz w:val="20"/>
          <w:szCs w:val="20"/>
          <w:lang w:val="el-GR"/>
        </w:rPr>
        <w:t xml:space="preserve"> </w:t>
      </w:r>
      <w:r w:rsidR="00C83AA2" w:rsidRPr="00C83AA2">
        <w:rPr>
          <w:bCs/>
          <w:sz w:val="20"/>
          <w:szCs w:val="20"/>
          <w:lang w:val="el-GR"/>
        </w:rPr>
        <w:t>υπερβούμε</w:t>
      </w:r>
      <w:r w:rsidRPr="00C83AA2">
        <w:rPr>
          <w:bCs/>
          <w:sz w:val="20"/>
          <w:szCs w:val="20"/>
          <w:lang w:val="el-GR"/>
        </w:rPr>
        <w:t xml:space="preserve"> τις προοπτικές</w:t>
      </w:r>
      <w:r w:rsidR="00C83AA2" w:rsidRPr="00C83AA2">
        <w:rPr>
          <w:bCs/>
          <w:sz w:val="20"/>
          <w:szCs w:val="20"/>
          <w:lang w:val="el-GR"/>
        </w:rPr>
        <w:t xml:space="preserve"> και προβλέψεις</w:t>
      </w:r>
      <w:r w:rsidRPr="00C83AA2">
        <w:rPr>
          <w:bCs/>
          <w:sz w:val="20"/>
          <w:szCs w:val="20"/>
          <w:lang w:val="el-GR"/>
        </w:rPr>
        <w:t xml:space="preserve"> που είχαν </w:t>
      </w:r>
      <w:r w:rsidR="00C83AA2" w:rsidRPr="00C83AA2">
        <w:rPr>
          <w:bCs/>
          <w:sz w:val="20"/>
          <w:szCs w:val="20"/>
          <w:lang w:val="el-GR"/>
        </w:rPr>
        <w:t>τεθεί</w:t>
      </w:r>
      <w:r w:rsidRPr="00C83AA2">
        <w:rPr>
          <w:bCs/>
          <w:sz w:val="20"/>
          <w:szCs w:val="20"/>
          <w:lang w:val="el-GR"/>
        </w:rPr>
        <w:t xml:space="preserve"> στην αρχή του έτους.</w:t>
      </w:r>
      <w:r w:rsidR="00C83AA2" w:rsidRPr="00C83AA2">
        <w:rPr>
          <w:bCs/>
          <w:sz w:val="20"/>
          <w:szCs w:val="20"/>
          <w:lang w:val="el-GR"/>
        </w:rPr>
        <w:t xml:space="preserve"> Αυτή η επιτυχημένη εξέλιξη οδηγήθηκε τόσο από την επιχειρηματική μονάδα Συγκολλητικών Τεχνολογιών (Adhesive Technologies) όσο και από τη μονάδα Consumer Brands», δήλωσε ο CEO της Henkel, Carsten Knobel.</w:t>
      </w:r>
    </w:p>
    <w:p w14:paraId="0FEEA804" w14:textId="761A70BB" w:rsidR="000D0BE3" w:rsidRPr="00C83AA2" w:rsidRDefault="004025EC" w:rsidP="00C83AA2">
      <w:pPr>
        <w:pStyle w:val="BodyText"/>
        <w:spacing w:before="15"/>
        <w:rPr>
          <w:b/>
          <w:sz w:val="20"/>
          <w:lang w:val="el-GR"/>
        </w:rPr>
        <w:sectPr w:rsidR="000D0BE3" w:rsidRPr="00C83AA2">
          <w:footerReference w:type="default" r:id="rId8"/>
          <w:type w:val="continuous"/>
          <w:pgSz w:w="11910" w:h="16850"/>
          <w:pgMar w:top="920" w:right="800" w:bottom="1140" w:left="1300" w:header="0" w:footer="945" w:gutter="0"/>
          <w:pgNumType w:start="1"/>
          <w:cols w:space="720"/>
        </w:sectPr>
      </w:pPr>
      <w:r>
        <w:rPr>
          <w:noProof/>
        </w:rPr>
        <w:drawing>
          <wp:anchor distT="0" distB="0" distL="0" distR="0" simplePos="0" relativeHeight="487587840" behindDoc="1" locked="0" layoutInCell="1" allowOverlap="1" wp14:anchorId="1A8FF2D9" wp14:editId="1D58B26A">
            <wp:simplePos x="0" y="0"/>
            <wp:positionH relativeFrom="page">
              <wp:posOffset>1329443</wp:posOffset>
            </wp:positionH>
            <wp:positionV relativeFrom="paragraph">
              <wp:posOffset>96520</wp:posOffset>
            </wp:positionV>
            <wp:extent cx="4940240" cy="381190"/>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4940240" cy="381190"/>
                    </a:xfrm>
                    <a:prstGeom prst="rect">
                      <a:avLst/>
                    </a:prstGeom>
                  </pic:spPr>
                </pic:pic>
              </a:graphicData>
            </a:graphic>
          </wp:anchor>
        </w:drawing>
      </w:r>
    </w:p>
    <w:p w14:paraId="7A76C54F" w14:textId="77777777" w:rsidR="00DC6471" w:rsidRDefault="00DC6471" w:rsidP="004025EC">
      <w:pPr>
        <w:rPr>
          <w:b/>
          <w:bCs/>
          <w:sz w:val="17"/>
          <w:lang w:val="el-GR"/>
        </w:rPr>
      </w:pPr>
    </w:p>
    <w:p w14:paraId="75FE0B67" w14:textId="0F68B2BD" w:rsidR="00DC6471" w:rsidRPr="00DC6471" w:rsidRDefault="00DC6471" w:rsidP="00DC6471">
      <w:pPr>
        <w:spacing w:before="291" w:line="276" w:lineRule="auto"/>
        <w:ind w:left="110" w:right="607"/>
        <w:jc w:val="both"/>
        <w:rPr>
          <w:bCs/>
          <w:sz w:val="20"/>
          <w:szCs w:val="20"/>
          <w:lang w:val="el-GR"/>
        </w:rPr>
      </w:pPr>
      <w:bookmarkStart w:id="0" w:name="_Hlk160444435"/>
      <w:r w:rsidRPr="00DC6471">
        <w:rPr>
          <w:b/>
          <w:sz w:val="20"/>
          <w:szCs w:val="20"/>
          <w:lang w:val="el-GR"/>
        </w:rPr>
        <w:t>ΣΗΜΕΙΩΣΗ</w:t>
      </w:r>
      <w:r w:rsidRPr="00DC6471">
        <w:rPr>
          <w:bCs/>
          <w:sz w:val="20"/>
          <w:szCs w:val="20"/>
          <w:lang w:val="el-GR"/>
        </w:rPr>
        <w:t xml:space="preserve">: Το πλήρες δελτίο τύπου διατίθεται στην αγγλική γλώσσα στον ιστότοπο </w:t>
      </w:r>
      <w:hyperlink r:id="rId10" w:history="1">
        <w:r w:rsidRPr="00DC6471">
          <w:rPr>
            <w:rStyle w:val="Hyperlink"/>
            <w:bCs/>
            <w:sz w:val="20"/>
            <w:szCs w:val="20"/>
            <w:lang w:val="el-GR"/>
          </w:rPr>
          <w:t>Henkel.com</w:t>
        </w:r>
      </w:hyperlink>
      <w:r w:rsidRPr="00DC6471">
        <w:rPr>
          <w:bCs/>
          <w:sz w:val="20"/>
          <w:szCs w:val="20"/>
          <w:lang w:val="el-GR"/>
        </w:rPr>
        <w:t>.</w:t>
      </w:r>
    </w:p>
    <w:bookmarkEnd w:id="0"/>
    <w:p w14:paraId="11A01CEF" w14:textId="77777777" w:rsidR="00DC6471" w:rsidRDefault="00DC6471" w:rsidP="004025EC">
      <w:pPr>
        <w:rPr>
          <w:b/>
          <w:bCs/>
          <w:sz w:val="17"/>
          <w:lang w:val="el-GR"/>
        </w:rPr>
      </w:pPr>
    </w:p>
    <w:p w14:paraId="7EA7BB55" w14:textId="1F2F73B6" w:rsidR="004025EC" w:rsidRPr="004025EC" w:rsidRDefault="004025EC" w:rsidP="004025EC">
      <w:pPr>
        <w:rPr>
          <w:rFonts w:eastAsia="Times New Roman"/>
          <w:sz w:val="17"/>
          <w:szCs w:val="17"/>
          <w:lang w:val="el-GR"/>
        </w:rPr>
      </w:pPr>
      <w:r w:rsidRPr="004025EC">
        <w:rPr>
          <w:b/>
          <w:bCs/>
          <w:sz w:val="17"/>
          <w:lang w:val="el-GR"/>
        </w:rPr>
        <w:t xml:space="preserve">Πληροφορίες για τη </w:t>
      </w:r>
      <w:r>
        <w:rPr>
          <w:b/>
          <w:bCs/>
          <w:sz w:val="17"/>
        </w:rPr>
        <w:t>Henkel</w:t>
      </w:r>
      <w:r w:rsidRPr="004025EC">
        <w:rPr>
          <w:b/>
          <w:bCs/>
          <w:sz w:val="17"/>
          <w:lang w:val="el-GR"/>
        </w:rPr>
        <w:t xml:space="preserve"> </w:t>
      </w:r>
    </w:p>
    <w:p w14:paraId="03CA9A54" w14:textId="77777777" w:rsidR="004025EC" w:rsidRDefault="004025EC" w:rsidP="004025EC">
      <w:pPr>
        <w:rPr>
          <w:rFonts w:cs="Times New Roman"/>
          <w:sz w:val="17"/>
          <w:szCs w:val="17"/>
          <w:lang w:val="it-IT"/>
        </w:rPr>
      </w:pPr>
    </w:p>
    <w:p w14:paraId="0E8F321B" w14:textId="1104CBE8" w:rsidR="004025EC" w:rsidRDefault="004025EC" w:rsidP="004025EC">
      <w:pPr>
        <w:jc w:val="both"/>
        <w:rPr>
          <w:rFonts w:asciiTheme="minorHAnsi" w:hAnsiTheme="minorHAnsi" w:cs="Calibri"/>
          <w:b/>
          <w:bCs/>
          <w:color w:val="0000FF"/>
          <w:sz w:val="17"/>
          <w:szCs w:val="17"/>
          <w:u w:val="single"/>
          <w:lang w:val="el-GR"/>
        </w:rPr>
      </w:pPr>
      <w:r w:rsidRPr="004025EC">
        <w:rPr>
          <w:sz w:val="17"/>
          <w:lang w:val="el-GR"/>
        </w:rPr>
        <w:t xml:space="preserve">Με τα εμπορικά σήματα, τις καινοτομίες και τις τεχνολογίες της, η </w:t>
      </w:r>
      <w:r>
        <w:rPr>
          <w:sz w:val="17"/>
        </w:rPr>
        <w:t>Henkel</w:t>
      </w:r>
      <w:r w:rsidRPr="004025EC">
        <w:rPr>
          <w:sz w:val="17"/>
          <w:lang w:val="el-GR"/>
        </w:rPr>
        <w:t xml:space="preserve"> κατέχει ηγετική θέση τόσο στον βιομηχανικό όσο και στον καταναλωτικό τομέα</w:t>
      </w:r>
      <w:r>
        <w:rPr>
          <w:sz w:val="17"/>
          <w:lang w:val="el-GR"/>
        </w:rPr>
        <w:t xml:space="preserve"> σε όλο τον κόσμο</w:t>
      </w:r>
      <w:r w:rsidRPr="004025EC">
        <w:rPr>
          <w:sz w:val="17"/>
          <w:lang w:val="el-GR"/>
        </w:rPr>
        <w:t>. Η επιχειρηματική μονάδα Συγκολλητικών Τεχνολογιών (</w:t>
      </w:r>
      <w:r>
        <w:rPr>
          <w:sz w:val="17"/>
        </w:rPr>
        <w:t>Adhesive</w:t>
      </w:r>
      <w:r w:rsidRPr="004025EC">
        <w:rPr>
          <w:sz w:val="17"/>
          <w:lang w:val="el-GR"/>
        </w:rPr>
        <w:t xml:space="preserve"> </w:t>
      </w:r>
      <w:r>
        <w:rPr>
          <w:sz w:val="17"/>
        </w:rPr>
        <w:t>Technologies</w:t>
      </w:r>
      <w:r w:rsidRPr="004025EC">
        <w:rPr>
          <w:sz w:val="17"/>
          <w:lang w:val="el-GR"/>
        </w:rPr>
        <w:t>)</w:t>
      </w:r>
      <w:r w:rsidRPr="004025EC">
        <w:rPr>
          <w:b/>
          <w:bCs/>
          <w:sz w:val="17"/>
          <w:lang w:val="el-GR"/>
        </w:rPr>
        <w:t xml:space="preserve"> </w:t>
      </w:r>
      <w:r w:rsidRPr="004025EC">
        <w:rPr>
          <w:sz w:val="17"/>
          <w:lang w:val="el-GR"/>
        </w:rPr>
        <w:t>κατέχει ηγετική θέση στην παγκόσμια αγορά σε κόλλες, στεγανωτικά και λειτουργικές επιστρώσεις. Με τ</w:t>
      </w:r>
      <w:r>
        <w:rPr>
          <w:sz w:val="17"/>
          <w:lang w:val="el-GR"/>
        </w:rPr>
        <w:t>ην</w:t>
      </w:r>
      <w:r w:rsidRPr="004025EC">
        <w:rPr>
          <w:sz w:val="17"/>
          <w:lang w:val="el-GR"/>
        </w:rPr>
        <w:t xml:space="preserve"> </w:t>
      </w:r>
      <w:r>
        <w:rPr>
          <w:sz w:val="17"/>
        </w:rPr>
        <w:t>Consumer</w:t>
      </w:r>
      <w:r w:rsidRPr="004025EC">
        <w:rPr>
          <w:sz w:val="17"/>
          <w:lang w:val="el-GR"/>
        </w:rPr>
        <w:t xml:space="preserve"> </w:t>
      </w:r>
      <w:r>
        <w:rPr>
          <w:sz w:val="17"/>
        </w:rPr>
        <w:t>Brands</w:t>
      </w:r>
      <w:r w:rsidRPr="004025EC">
        <w:rPr>
          <w:sz w:val="17"/>
          <w:lang w:val="el-GR"/>
        </w:rPr>
        <w:t>, η εταιρεία κατέχει ηγετική θέση στους τομείς της περιποίησης μαλλιών, του πλυσίματος των ρούχων και του καθαρισμού του σπιτιού σε πολλές αγορές και κατηγορίες πολλών χωρών του κόσμου. Τα τρία κύρια εμπορικά σήματα</w:t>
      </w:r>
      <w:r>
        <w:rPr>
          <w:sz w:val="17"/>
          <w:lang w:val="el-GR"/>
        </w:rPr>
        <w:t xml:space="preserve"> της</w:t>
      </w:r>
      <w:r w:rsidRPr="004025EC">
        <w:rPr>
          <w:sz w:val="17"/>
          <w:lang w:val="el-GR"/>
        </w:rPr>
        <w:t xml:space="preserve"> είναι η </w:t>
      </w:r>
      <w:r>
        <w:rPr>
          <w:sz w:val="17"/>
        </w:rPr>
        <w:t>Loctite</w:t>
      </w:r>
      <w:r w:rsidRPr="004025EC">
        <w:rPr>
          <w:sz w:val="17"/>
          <w:lang w:val="el-GR"/>
        </w:rPr>
        <w:t xml:space="preserve">, </w:t>
      </w:r>
      <w:r>
        <w:rPr>
          <w:sz w:val="17"/>
          <w:lang w:val="el-GR"/>
        </w:rPr>
        <w:t>το</w:t>
      </w:r>
      <w:r w:rsidRPr="004025EC">
        <w:rPr>
          <w:sz w:val="17"/>
          <w:lang w:val="el-GR"/>
        </w:rPr>
        <w:t xml:space="preserve"> </w:t>
      </w:r>
      <w:r>
        <w:rPr>
          <w:sz w:val="17"/>
        </w:rPr>
        <w:t>Persil</w:t>
      </w:r>
      <w:r w:rsidRPr="004025EC">
        <w:rPr>
          <w:sz w:val="17"/>
          <w:lang w:val="el-GR"/>
        </w:rPr>
        <w:t xml:space="preserve"> και </w:t>
      </w:r>
      <w:r>
        <w:rPr>
          <w:sz w:val="17"/>
          <w:lang w:val="el-GR"/>
        </w:rPr>
        <w:t>το</w:t>
      </w:r>
      <w:r w:rsidRPr="004025EC">
        <w:rPr>
          <w:sz w:val="17"/>
          <w:lang w:val="el-GR"/>
        </w:rPr>
        <w:t xml:space="preserve"> </w:t>
      </w:r>
      <w:r>
        <w:rPr>
          <w:sz w:val="17"/>
        </w:rPr>
        <w:t>Schwarzkopf</w:t>
      </w:r>
      <w:r w:rsidRPr="004025EC">
        <w:rPr>
          <w:sz w:val="17"/>
          <w:lang w:val="el-GR"/>
        </w:rPr>
        <w:t xml:space="preserve">. Το </w:t>
      </w:r>
      <w:r>
        <w:rPr>
          <w:sz w:val="17"/>
          <w:lang w:val="el-GR"/>
        </w:rPr>
        <w:t xml:space="preserve">οικονομικό έτος </w:t>
      </w:r>
      <w:r w:rsidRPr="004025EC">
        <w:rPr>
          <w:sz w:val="17"/>
          <w:lang w:val="el-GR"/>
        </w:rPr>
        <w:t>202</w:t>
      </w:r>
      <w:r>
        <w:rPr>
          <w:sz w:val="17"/>
          <w:lang w:val="el-GR"/>
        </w:rPr>
        <w:t>3,</w:t>
      </w:r>
      <w:r w:rsidRPr="004025EC">
        <w:rPr>
          <w:sz w:val="17"/>
          <w:lang w:val="el-GR"/>
        </w:rPr>
        <w:t xml:space="preserve"> η </w:t>
      </w:r>
      <w:r>
        <w:rPr>
          <w:sz w:val="17"/>
        </w:rPr>
        <w:t>Henkel</w:t>
      </w:r>
      <w:r w:rsidRPr="004025EC">
        <w:rPr>
          <w:sz w:val="17"/>
          <w:lang w:val="el-GR"/>
        </w:rPr>
        <w:t xml:space="preserve"> σημείωσε πωλήσεις άνω των 21,5 δισεκατομμυρίων ευρώ και προσαρμοσμένα λειτουργικά κέρδη περίπου 2,6 δισεκατομμυρίων ευρώ.</w:t>
      </w:r>
      <w:r>
        <w:rPr>
          <w:sz w:val="17"/>
          <w:lang w:val="el-GR"/>
        </w:rPr>
        <w:t xml:space="preserve"> Οι </w:t>
      </w:r>
      <w:r w:rsidRPr="004025EC">
        <w:rPr>
          <w:sz w:val="17"/>
          <w:lang w:val="el-GR"/>
        </w:rPr>
        <w:t xml:space="preserve">προνομιακές μετοχές </w:t>
      </w:r>
      <w:r>
        <w:rPr>
          <w:sz w:val="17"/>
        </w:rPr>
        <w:t>Henkel</w:t>
      </w:r>
      <w:r w:rsidRPr="004025EC">
        <w:rPr>
          <w:sz w:val="17"/>
          <w:lang w:val="el-GR"/>
        </w:rPr>
        <w:t xml:space="preserve"> είναι εισηγμένες στο γερμανικό Χρηματιστήριο βάσει του δείκτη </w:t>
      </w:r>
      <w:r>
        <w:rPr>
          <w:sz w:val="17"/>
        </w:rPr>
        <w:t>DAX</w:t>
      </w:r>
      <w:r w:rsidRPr="004025EC">
        <w:rPr>
          <w:sz w:val="17"/>
          <w:lang w:val="el-GR"/>
        </w:rPr>
        <w:t xml:space="preserve">. Η </w:t>
      </w:r>
      <w:r>
        <w:rPr>
          <w:sz w:val="17"/>
        </w:rPr>
        <w:t>Henkel</w:t>
      </w:r>
      <w:r w:rsidRPr="004025EC">
        <w:rPr>
          <w:sz w:val="17"/>
          <w:lang w:val="el-GR"/>
        </w:rPr>
        <w:t xml:space="preserve"> έχει μακρά παράδοση στην αειφόρο ανάπτυξη, διαθέτοντας μια σαφή στρατηγική βιωσιμότητας με συγκεκριμένους στόχους. Η </w:t>
      </w:r>
      <w:r>
        <w:rPr>
          <w:sz w:val="17"/>
        </w:rPr>
        <w:t>Henkel</w:t>
      </w:r>
      <w:r w:rsidRPr="004025EC">
        <w:rPr>
          <w:sz w:val="17"/>
          <w:lang w:val="el-GR"/>
        </w:rPr>
        <w:t xml:space="preserve"> ιδρύθηκε το 1876 και απασχολεί </w:t>
      </w:r>
      <w:r>
        <w:rPr>
          <w:sz w:val="17"/>
          <w:lang w:val="el-GR"/>
        </w:rPr>
        <w:t>περίπου</w:t>
      </w:r>
      <w:r w:rsidRPr="004025EC">
        <w:rPr>
          <w:sz w:val="17"/>
          <w:lang w:val="el-GR"/>
        </w:rPr>
        <w:t xml:space="preserve"> </w:t>
      </w:r>
      <w:r>
        <w:rPr>
          <w:sz w:val="17"/>
          <w:lang w:val="el-GR"/>
        </w:rPr>
        <w:t>48</w:t>
      </w:r>
      <w:r w:rsidRPr="004025EC">
        <w:rPr>
          <w:sz w:val="17"/>
          <w:lang w:val="el-GR"/>
        </w:rPr>
        <w:t xml:space="preserve">.000 άτομα σε όλο τον κόσμο –μια ετερογενή ομάδα, που είναι ενωμένη κάτω από μια ισχυρή εταιρική κουλτούρα, κοινές αξίες και έναν κοινό σκοπό: «Πρωτοπόροι στην καρδιά για το καλό των γενεών». Για περισσότερες πληροφορίες, επισκεφθείτε τον ιστότοπο </w:t>
      </w:r>
      <w:hyperlink r:id="rId11" w:history="1">
        <w:r>
          <w:rPr>
            <w:rStyle w:val="Hyperlink"/>
            <w:sz w:val="17"/>
            <w:szCs w:val="18"/>
          </w:rPr>
          <w:t>www</w:t>
        </w:r>
        <w:r w:rsidRPr="004025EC">
          <w:rPr>
            <w:rStyle w:val="Hyperlink"/>
            <w:sz w:val="17"/>
            <w:szCs w:val="18"/>
            <w:lang w:val="el-GR"/>
          </w:rPr>
          <w:t>.</w:t>
        </w:r>
        <w:r>
          <w:rPr>
            <w:rStyle w:val="Hyperlink"/>
            <w:sz w:val="17"/>
            <w:szCs w:val="18"/>
          </w:rPr>
          <w:t>henkel</w:t>
        </w:r>
        <w:r w:rsidRPr="004025EC">
          <w:rPr>
            <w:rStyle w:val="Hyperlink"/>
            <w:sz w:val="17"/>
            <w:szCs w:val="18"/>
            <w:lang w:val="el-GR"/>
          </w:rPr>
          <w:t>.</w:t>
        </w:r>
        <w:r>
          <w:rPr>
            <w:rStyle w:val="Hyperlink"/>
            <w:sz w:val="17"/>
            <w:szCs w:val="18"/>
          </w:rPr>
          <w:t>com</w:t>
        </w:r>
      </w:hyperlink>
      <w:r w:rsidRPr="004025EC">
        <w:rPr>
          <w:sz w:val="17"/>
          <w:lang w:val="el-GR"/>
        </w:rPr>
        <w:t xml:space="preserve"> </w:t>
      </w:r>
    </w:p>
    <w:p w14:paraId="2681E205" w14:textId="77777777" w:rsidR="004025EC" w:rsidRDefault="004025EC" w:rsidP="004025EC">
      <w:pPr>
        <w:rPr>
          <w:rFonts w:asciiTheme="minorHAnsi" w:hAnsiTheme="minorHAnsi" w:cs="Calibri"/>
          <w:b/>
          <w:bCs/>
          <w:color w:val="0000FF"/>
          <w:sz w:val="17"/>
          <w:szCs w:val="17"/>
          <w:u w:val="single"/>
          <w:lang w:val="it-IT"/>
        </w:rPr>
      </w:pPr>
    </w:p>
    <w:p w14:paraId="66A01430" w14:textId="77777777" w:rsidR="004025EC" w:rsidRDefault="004025EC" w:rsidP="004025EC">
      <w:pPr>
        <w:rPr>
          <w:rFonts w:asciiTheme="minorHAnsi" w:hAnsiTheme="minorHAnsi" w:cs="Calibri"/>
          <w:b/>
          <w:bCs/>
          <w:color w:val="0000FF"/>
          <w:sz w:val="17"/>
          <w:szCs w:val="17"/>
          <w:u w:val="single"/>
          <w:lang w:val="it-IT"/>
        </w:rPr>
      </w:pPr>
    </w:p>
    <w:p w14:paraId="5FC893BC" w14:textId="77777777" w:rsidR="004025EC" w:rsidRDefault="004025EC" w:rsidP="004025EC">
      <w:pPr>
        <w:tabs>
          <w:tab w:val="left" w:pos="1080"/>
          <w:tab w:val="left" w:pos="4500"/>
        </w:tabs>
        <w:rPr>
          <w:rFonts w:asciiTheme="majorHAnsi" w:hAnsiTheme="majorHAnsi" w:cs="Times New Roman"/>
          <w:b/>
          <w:sz w:val="17"/>
          <w:szCs w:val="24"/>
          <w:lang w:val="el-GR"/>
        </w:rPr>
      </w:pPr>
    </w:p>
    <w:p w14:paraId="2CD87CCC" w14:textId="77777777" w:rsidR="004025EC" w:rsidRPr="004025EC" w:rsidRDefault="004025EC" w:rsidP="004025EC">
      <w:pPr>
        <w:rPr>
          <w:b/>
          <w:bCs/>
          <w:sz w:val="17"/>
          <w:lang w:val="el-GR"/>
        </w:rPr>
      </w:pPr>
      <w:r w:rsidRPr="004025EC">
        <w:rPr>
          <w:b/>
          <w:bCs/>
          <w:sz w:val="17"/>
          <w:lang w:val="el-GR"/>
        </w:rPr>
        <w:t xml:space="preserve">Για πληροφορίες προς τον Τύπο: </w:t>
      </w:r>
    </w:p>
    <w:p w14:paraId="08386E5C" w14:textId="46DF1D45" w:rsidR="004025EC" w:rsidRPr="004025EC" w:rsidRDefault="004025EC" w:rsidP="004025EC">
      <w:pPr>
        <w:rPr>
          <w:sz w:val="17"/>
          <w:lang w:val="el-GR"/>
        </w:rPr>
      </w:pPr>
      <w:r w:rsidRPr="004025EC">
        <w:rPr>
          <w:sz w:val="17"/>
          <w:lang w:val="el-GR"/>
        </w:rPr>
        <w:t xml:space="preserve">Μπία Ενωτιάδη, </w:t>
      </w:r>
      <w:hyperlink r:id="rId12" w:history="1">
        <w:r w:rsidRPr="004025EC">
          <w:rPr>
            <w:sz w:val="17"/>
            <w:lang w:val="el-GR"/>
          </w:rPr>
          <w:t>benotiad@ikon.bbdogroup.gr</w:t>
        </w:r>
      </w:hyperlink>
      <w:r w:rsidRPr="004025EC">
        <w:rPr>
          <w:sz w:val="17"/>
          <w:lang w:val="el-GR"/>
        </w:rPr>
        <w:t>, 210 6784356</w:t>
      </w:r>
    </w:p>
    <w:p w14:paraId="73F0A90E" w14:textId="3B8BCA90" w:rsidR="000D0BE3" w:rsidRPr="00C83AA2" w:rsidRDefault="000D0BE3" w:rsidP="00C83AA2">
      <w:pPr>
        <w:pStyle w:val="BodyText"/>
        <w:spacing w:before="44"/>
        <w:rPr>
          <w:b/>
          <w:lang w:val="el-GR"/>
        </w:rPr>
      </w:pPr>
    </w:p>
    <w:sectPr w:rsidR="000D0BE3" w:rsidRPr="00C83AA2" w:rsidSect="000227F7">
      <w:pgSz w:w="11910" w:h="16850"/>
      <w:pgMar w:top="1860" w:right="800" w:bottom="1100" w:left="1300" w:header="0" w:footer="911"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DAAAC" w14:textId="77777777" w:rsidR="004025EC" w:rsidRDefault="004025EC">
      <w:r>
        <w:separator/>
      </w:r>
    </w:p>
  </w:endnote>
  <w:endnote w:type="continuationSeparator" w:id="0">
    <w:p w14:paraId="617D9FC2" w14:textId="77777777" w:rsidR="004025EC" w:rsidRDefault="00402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5FB39" w14:textId="77777777" w:rsidR="000D0BE3" w:rsidRDefault="004025EC">
    <w:pPr>
      <w:pStyle w:val="BodyText"/>
      <w:spacing w:line="14" w:lineRule="auto"/>
      <w:rPr>
        <w:sz w:val="20"/>
      </w:rPr>
    </w:pPr>
    <w:r>
      <w:rPr>
        <w:noProof/>
      </w:rPr>
      <mc:AlternateContent>
        <mc:Choice Requires="wps">
          <w:drawing>
            <wp:anchor distT="0" distB="0" distL="0" distR="0" simplePos="0" relativeHeight="487481344" behindDoc="1" locked="0" layoutInCell="1" allowOverlap="1" wp14:anchorId="4D816CC0" wp14:editId="4B74EDDC">
              <wp:simplePos x="0" y="0"/>
              <wp:positionH relativeFrom="page">
                <wp:posOffset>955342</wp:posOffset>
              </wp:positionH>
              <wp:positionV relativeFrom="page">
                <wp:posOffset>9956042</wp:posOffset>
              </wp:positionV>
              <wp:extent cx="2818263" cy="1270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263" cy="127000"/>
                      </a:xfrm>
                      <a:prstGeom prst="rect">
                        <a:avLst/>
                      </a:prstGeom>
                    </wps:spPr>
                    <wps:txbx>
                      <w:txbxContent>
                        <w:p w14:paraId="001DF181" w14:textId="2FEA7F35" w:rsidR="000D0BE3" w:rsidRPr="00EB3CB1" w:rsidRDefault="00EB3CB1">
                          <w:pPr>
                            <w:spacing w:before="20"/>
                            <w:ind w:left="20"/>
                            <w:rPr>
                              <w:sz w:val="12"/>
                              <w:lang w:val="el-GR"/>
                            </w:rPr>
                          </w:pPr>
                          <w:r>
                            <w:rPr>
                              <w:sz w:val="12"/>
                              <w:lang w:val="el-GR"/>
                            </w:rPr>
                            <w:t>*</w:t>
                          </w:r>
                          <w:r w:rsidRPr="00EB3CB1">
                            <w:rPr>
                              <w:sz w:val="12"/>
                              <w:lang w:val="el-GR"/>
                            </w:rPr>
                            <w:t>Προσαρμοσμένο για εφάπαξ έξοδα και έσοδα, και για έξοδα</w:t>
                          </w:r>
                          <w:r>
                            <w:rPr>
                              <w:sz w:val="12"/>
                              <w:lang w:val="el-GR"/>
                            </w:rPr>
                            <w:t xml:space="preserve"> ανα</w:t>
                          </w:r>
                          <w:r w:rsidRPr="00EB3CB1">
                            <w:rPr>
                              <w:sz w:val="12"/>
                              <w:lang w:val="el-GR"/>
                            </w:rPr>
                            <w:t>διάρθρωσης.</w:t>
                          </w:r>
                        </w:p>
                      </w:txbxContent>
                    </wps:txbx>
                    <wps:bodyPr wrap="square" lIns="0" tIns="0" rIns="0" bIns="0" rtlCol="0">
                      <a:noAutofit/>
                    </wps:bodyPr>
                  </wps:wsp>
                </a:graphicData>
              </a:graphic>
              <wp14:sizeRelH relativeFrom="margin">
                <wp14:pctWidth>0</wp14:pctWidth>
              </wp14:sizeRelH>
            </wp:anchor>
          </w:drawing>
        </mc:Choice>
        <mc:Fallback>
          <w:pict>
            <v:shapetype w14:anchorId="4D816CC0" id="_x0000_t202" coordsize="21600,21600" o:spt="202" path="m,l,21600r21600,l21600,xe">
              <v:stroke joinstyle="miter"/>
              <v:path gradientshapeok="t" o:connecttype="rect"/>
            </v:shapetype>
            <v:shape id="Textbox 1" o:spid="_x0000_s1026" type="#_x0000_t202" style="position:absolute;margin-left:75.2pt;margin-top:783.95pt;width:221.9pt;height:10pt;z-index:-1583513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" filled="f" stroked="f">
              <v:textbox inset="0,0,0,0">
                <w:txbxContent>
                  <w:p w14:paraId="001DF181" w14:textId="2FEA7F35" w:rsidR="000D0BE3" w:rsidRPr="00EB3CB1" w:rsidRDefault="00EB3CB1">
                    <w:pPr>
                      <w:spacing w:before="20"/>
                      <w:ind w:left="20"/>
                      <w:rPr>
                        <w:sz w:val="12"/>
                        <w:lang w:val="el-GR"/>
                      </w:rPr>
                    </w:pPr>
                    <w:r>
                      <w:rPr>
                        <w:sz w:val="12"/>
                        <w:lang w:val="el-GR"/>
                      </w:rPr>
                      <w:t>*</w:t>
                    </w:r>
                    <w:r w:rsidRPr="00EB3CB1">
                      <w:rPr>
                        <w:sz w:val="12"/>
                        <w:lang w:val="el-GR"/>
                      </w:rPr>
                      <w:t>Προσαρμοσμένο για εφάπαξ έξοδα και έσοδα, και για έξοδα</w:t>
                    </w:r>
                    <w:r>
                      <w:rPr>
                        <w:sz w:val="12"/>
                        <w:lang w:val="el-GR"/>
                      </w:rPr>
                      <w:t xml:space="preserve"> ανα</w:t>
                    </w:r>
                    <w:r w:rsidRPr="00EB3CB1">
                      <w:rPr>
                        <w:sz w:val="12"/>
                        <w:lang w:val="el-GR"/>
                      </w:rPr>
                      <w:t>διάρθρωσης.</w:t>
                    </w:r>
                  </w:p>
                </w:txbxContent>
              </v:textbox>
              <w10:wrap anchorx="page" anchory="page"/>
            </v:shape>
          </w:pict>
        </mc:Fallback>
      </mc:AlternateContent>
    </w:r>
    <w:r>
      <w:rPr>
        <w:noProof/>
      </w:rPr>
      <mc:AlternateContent>
        <mc:Choice Requires="wps">
          <w:drawing>
            <wp:anchor distT="0" distB="0" distL="0" distR="0" simplePos="0" relativeHeight="487481856" behindDoc="1" locked="0" layoutInCell="1" allowOverlap="1" wp14:anchorId="259FDA37" wp14:editId="00833059">
              <wp:simplePos x="0" y="0"/>
              <wp:positionH relativeFrom="page">
                <wp:posOffset>6353047</wp:posOffset>
              </wp:positionH>
              <wp:positionV relativeFrom="page">
                <wp:posOffset>9975663</wp:posOffset>
              </wp:positionV>
              <wp:extent cx="322580" cy="1270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580" cy="127000"/>
                      </a:xfrm>
                      <a:prstGeom prst="rect">
                        <a:avLst/>
                      </a:prstGeom>
                    </wps:spPr>
                    <wps:txbx>
                      <w:txbxContent>
                        <w:p w14:paraId="38CC173C" w14:textId="77777777" w:rsidR="000D0BE3" w:rsidRDefault="004025EC">
                          <w:pPr>
                            <w:spacing w:before="20"/>
                            <w:ind w:left="20"/>
                            <w:rPr>
                              <w:sz w:val="12"/>
                            </w:rPr>
                          </w:pPr>
                          <w:r>
                            <w:rPr>
                              <w:sz w:val="12"/>
                            </w:rPr>
                            <w:t>Page</w:t>
                          </w:r>
                          <w:r>
                            <w:rPr>
                              <w:spacing w:val="-4"/>
                              <w:sz w:val="12"/>
                            </w:rPr>
                            <w:t xml:space="preserve"> </w:t>
                          </w:r>
                          <w:r>
                            <w:rPr>
                              <w:spacing w:val="-5"/>
                              <w:sz w:val="12"/>
                            </w:rPr>
                            <w:t>1/9</w:t>
                          </w:r>
                        </w:p>
                      </w:txbxContent>
                    </wps:txbx>
                    <wps:bodyPr wrap="square" lIns="0" tIns="0" rIns="0" bIns="0" rtlCol="0">
                      <a:noAutofit/>
                    </wps:bodyPr>
                  </wps:wsp>
                </a:graphicData>
              </a:graphic>
            </wp:anchor>
          </w:drawing>
        </mc:Choice>
        <mc:Fallback>
          <w:pict>
            <v:shape w14:anchorId="259FDA37" id="Textbox 2" o:spid="_x0000_s1027" type="#_x0000_t202" style="position:absolute;margin-left:500.25pt;margin-top:785.5pt;width:25.4pt;height:10pt;z-index:-1583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" filled="f" stroked="f">
              <v:textbox inset="0,0,0,0">
                <w:txbxContent>
                  <w:p w14:paraId="38CC173C" w14:textId="77777777" w:rsidR="000D0BE3" w:rsidRDefault="004025EC">
                    <w:pPr>
                      <w:spacing w:before="20"/>
                      <w:ind w:left="20"/>
                      <w:rPr>
                        <w:sz w:val="12"/>
                      </w:rPr>
                    </w:pPr>
                    <w:r>
                      <w:rPr>
                        <w:sz w:val="12"/>
                      </w:rPr>
                      <w:t>Page</w:t>
                    </w:r>
                    <w:r>
                      <w:rPr>
                        <w:spacing w:val="-4"/>
                        <w:sz w:val="12"/>
                      </w:rPr>
                      <w:t xml:space="preserve"> </w:t>
                    </w:r>
                    <w:r>
                      <w:rPr>
                        <w:spacing w:val="-5"/>
                        <w:sz w:val="12"/>
                      </w:rPr>
                      <w:t>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AFE67" w14:textId="77777777" w:rsidR="004025EC" w:rsidRDefault="004025EC">
      <w:r>
        <w:separator/>
      </w:r>
    </w:p>
  </w:footnote>
  <w:footnote w:type="continuationSeparator" w:id="0">
    <w:p w14:paraId="08C8B53D" w14:textId="77777777" w:rsidR="004025EC" w:rsidRDefault="004025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D48DC"/>
    <w:multiLevelType w:val="hybridMultilevel"/>
    <w:tmpl w:val="ACA4AD36"/>
    <w:lvl w:ilvl="0" w:tplc="83F860B0">
      <w:numFmt w:val="bullet"/>
      <w:lvlText w:val=""/>
      <w:lvlJc w:val="left"/>
      <w:pPr>
        <w:ind w:left="468" w:hanging="358"/>
      </w:pPr>
      <w:rPr>
        <w:rFonts w:ascii="Wingdings" w:eastAsia="Wingdings" w:hAnsi="Wingdings" w:cs="Wingdings" w:hint="default"/>
        <w:b w:val="0"/>
        <w:bCs w:val="0"/>
        <w:i w:val="0"/>
        <w:iCs w:val="0"/>
        <w:color w:val="E0000F"/>
        <w:spacing w:val="0"/>
        <w:w w:val="100"/>
        <w:sz w:val="24"/>
        <w:szCs w:val="24"/>
        <w:lang w:val="en-US" w:eastAsia="en-US" w:bidi="ar-SA"/>
      </w:rPr>
    </w:lvl>
    <w:lvl w:ilvl="1" w:tplc="CD14FE26">
      <w:numFmt w:val="bullet"/>
      <w:lvlText w:val="-"/>
      <w:lvlJc w:val="left"/>
      <w:pPr>
        <w:ind w:left="819" w:hanging="281"/>
      </w:pPr>
      <w:rPr>
        <w:rFonts w:ascii="Arial" w:eastAsia="Arial" w:hAnsi="Arial" w:cs="Arial" w:hint="default"/>
        <w:b w:val="0"/>
        <w:bCs w:val="0"/>
        <w:i w:val="0"/>
        <w:iCs w:val="0"/>
        <w:color w:val="FF0000"/>
        <w:spacing w:val="0"/>
        <w:w w:val="100"/>
        <w:sz w:val="22"/>
        <w:szCs w:val="22"/>
        <w:lang w:val="en-US" w:eastAsia="en-US" w:bidi="ar-SA"/>
      </w:rPr>
    </w:lvl>
    <w:lvl w:ilvl="2" w:tplc="AAE47DFE">
      <w:numFmt w:val="bullet"/>
      <w:lvlText w:val="•"/>
      <w:lvlJc w:val="left"/>
      <w:pPr>
        <w:ind w:left="1180" w:hanging="281"/>
      </w:pPr>
      <w:rPr>
        <w:rFonts w:hint="default"/>
        <w:lang w:val="en-US" w:eastAsia="en-US" w:bidi="ar-SA"/>
      </w:rPr>
    </w:lvl>
    <w:lvl w:ilvl="3" w:tplc="F97E12AC">
      <w:numFmt w:val="bullet"/>
      <w:lvlText w:val="•"/>
      <w:lvlJc w:val="left"/>
      <w:pPr>
        <w:ind w:left="2258" w:hanging="281"/>
      </w:pPr>
      <w:rPr>
        <w:rFonts w:hint="default"/>
        <w:lang w:val="en-US" w:eastAsia="en-US" w:bidi="ar-SA"/>
      </w:rPr>
    </w:lvl>
    <w:lvl w:ilvl="4" w:tplc="BD1663F6">
      <w:numFmt w:val="bullet"/>
      <w:lvlText w:val="•"/>
      <w:lvlJc w:val="left"/>
      <w:pPr>
        <w:ind w:left="3336" w:hanging="281"/>
      </w:pPr>
      <w:rPr>
        <w:rFonts w:hint="default"/>
        <w:lang w:val="en-US" w:eastAsia="en-US" w:bidi="ar-SA"/>
      </w:rPr>
    </w:lvl>
    <w:lvl w:ilvl="5" w:tplc="5A4472C6">
      <w:numFmt w:val="bullet"/>
      <w:lvlText w:val="•"/>
      <w:lvlJc w:val="left"/>
      <w:pPr>
        <w:ind w:left="4414" w:hanging="281"/>
      </w:pPr>
      <w:rPr>
        <w:rFonts w:hint="default"/>
        <w:lang w:val="en-US" w:eastAsia="en-US" w:bidi="ar-SA"/>
      </w:rPr>
    </w:lvl>
    <w:lvl w:ilvl="6" w:tplc="ADAAFA5A">
      <w:numFmt w:val="bullet"/>
      <w:lvlText w:val="•"/>
      <w:lvlJc w:val="left"/>
      <w:pPr>
        <w:ind w:left="5493" w:hanging="281"/>
      </w:pPr>
      <w:rPr>
        <w:rFonts w:hint="default"/>
        <w:lang w:val="en-US" w:eastAsia="en-US" w:bidi="ar-SA"/>
      </w:rPr>
    </w:lvl>
    <w:lvl w:ilvl="7" w:tplc="D50E2EA4">
      <w:numFmt w:val="bullet"/>
      <w:lvlText w:val="•"/>
      <w:lvlJc w:val="left"/>
      <w:pPr>
        <w:ind w:left="6571" w:hanging="281"/>
      </w:pPr>
      <w:rPr>
        <w:rFonts w:hint="default"/>
        <w:lang w:val="en-US" w:eastAsia="en-US" w:bidi="ar-SA"/>
      </w:rPr>
    </w:lvl>
    <w:lvl w:ilvl="8" w:tplc="D57CB046">
      <w:numFmt w:val="bullet"/>
      <w:lvlText w:val="•"/>
      <w:lvlJc w:val="left"/>
      <w:pPr>
        <w:ind w:left="7649" w:hanging="281"/>
      </w:pPr>
      <w:rPr>
        <w:rFonts w:hint="default"/>
        <w:lang w:val="en-US" w:eastAsia="en-US" w:bidi="ar-SA"/>
      </w:rPr>
    </w:lvl>
  </w:abstractNum>
  <w:num w:numId="1" w16cid:durableId="1331324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0D0BE3"/>
    <w:rsid w:val="000227F7"/>
    <w:rsid w:val="000D0BE3"/>
    <w:rsid w:val="004025EC"/>
    <w:rsid w:val="00405773"/>
    <w:rsid w:val="00685563"/>
    <w:rsid w:val="009646DA"/>
    <w:rsid w:val="00B73F76"/>
    <w:rsid w:val="00C83AA2"/>
    <w:rsid w:val="00DC6471"/>
    <w:rsid w:val="00EB3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FD04BD"/>
  <w15:docId w15:val="{7F6D7D5D-0E49-4366-A80B-0E487AF01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rPr>
  </w:style>
  <w:style w:type="paragraph" w:styleId="Heading1">
    <w:name w:val="heading 1"/>
    <w:basedOn w:val="Normal"/>
    <w:uiPriority w:val="9"/>
    <w:qFormat/>
    <w:pPr>
      <w:ind w:left="110"/>
      <w:jc w:val="both"/>
      <w:outlineLvl w:val="0"/>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right="608"/>
      <w:jc w:val="right"/>
    </w:pPr>
    <w:rPr>
      <w:b/>
      <w:bCs/>
      <w:sz w:val="40"/>
      <w:szCs w:val="40"/>
    </w:rPr>
  </w:style>
  <w:style w:type="paragraph" w:styleId="ListParagraph">
    <w:name w:val="List Paragraph"/>
    <w:basedOn w:val="Normal"/>
    <w:uiPriority w:val="1"/>
    <w:qFormat/>
    <w:pPr>
      <w:spacing w:before="110"/>
      <w:ind w:left="819" w:hanging="28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B3CB1"/>
    <w:pPr>
      <w:tabs>
        <w:tab w:val="center" w:pos="4320"/>
        <w:tab w:val="right" w:pos="8640"/>
      </w:tabs>
    </w:pPr>
  </w:style>
  <w:style w:type="character" w:customStyle="1" w:styleId="HeaderChar">
    <w:name w:val="Header Char"/>
    <w:basedOn w:val="DefaultParagraphFont"/>
    <w:link w:val="Header"/>
    <w:uiPriority w:val="99"/>
    <w:rsid w:val="00EB3CB1"/>
    <w:rPr>
      <w:rFonts w:ascii="Segoe UI" w:eastAsia="Segoe UI" w:hAnsi="Segoe UI" w:cs="Segoe UI"/>
    </w:rPr>
  </w:style>
  <w:style w:type="paragraph" w:styleId="Footer">
    <w:name w:val="footer"/>
    <w:basedOn w:val="Normal"/>
    <w:link w:val="FooterChar"/>
    <w:uiPriority w:val="99"/>
    <w:unhideWhenUsed/>
    <w:rsid w:val="00EB3CB1"/>
    <w:pPr>
      <w:tabs>
        <w:tab w:val="center" w:pos="4320"/>
        <w:tab w:val="right" w:pos="8640"/>
      </w:tabs>
    </w:pPr>
  </w:style>
  <w:style w:type="character" w:customStyle="1" w:styleId="FooterChar">
    <w:name w:val="Footer Char"/>
    <w:basedOn w:val="DefaultParagraphFont"/>
    <w:link w:val="Footer"/>
    <w:uiPriority w:val="99"/>
    <w:rsid w:val="00EB3CB1"/>
    <w:rPr>
      <w:rFonts w:ascii="Segoe UI" w:eastAsia="Segoe UI" w:hAnsi="Segoe UI" w:cs="Segoe UI"/>
    </w:rPr>
  </w:style>
  <w:style w:type="character" w:styleId="Hyperlink">
    <w:name w:val="Hyperlink"/>
    <w:basedOn w:val="DefaultParagraphFont"/>
    <w:uiPriority w:val="99"/>
    <w:unhideWhenUsed/>
    <w:rsid w:val="004025EC"/>
    <w:rPr>
      <w:color w:val="0000FF"/>
      <w:u w:val="single"/>
    </w:rPr>
  </w:style>
  <w:style w:type="character" w:styleId="UnresolvedMention">
    <w:name w:val="Unresolved Mention"/>
    <w:basedOn w:val="DefaultParagraphFont"/>
    <w:uiPriority w:val="99"/>
    <w:semiHidden/>
    <w:unhideWhenUsed/>
    <w:rsid w:val="00DC64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6185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benotiad@ikon.bbdogroup.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enkel.com/" TargetMode="External"/><Relationship Id="rId5" Type="http://schemas.openxmlformats.org/officeDocument/2006/relationships/footnotes" Target="footnotes.xml"/><Relationship Id="rId10" Type="http://schemas.openxmlformats.org/officeDocument/2006/relationships/hyperlink" Target="https://www.henkel.com/press-and-media/press-releases-and-kits/2024-03-04-henkel-delivers-very-strong-organic-sales-growth-and-significant-earnings-improvement-in-2023-1935330"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3118</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Pressemitteilung</vt:lpstr>
    </vt:vector>
  </TitlesOfParts>
  <Company>Henkel AG &amp; Co. KGaA</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Henkel</dc:creator>
  <dc:description/>
  <cp:lastModifiedBy>Anastasios Stamelos</cp:lastModifiedBy>
  <cp:revision>2</cp:revision>
  <dcterms:created xsi:type="dcterms:W3CDTF">2025-01-24T14:01:00Z</dcterms:created>
  <dcterms:modified xsi:type="dcterms:W3CDTF">2025-01-24T14:01:00Z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0x0101004E3C925157EE074095811C87522C7BC7</vt:lpwstr>
  </property>
  <property fmtid="{D5CDD505-2E9C-101B-9397-08002B2CF9AE}" pid="3" name="Created">
    <vt:filetime>2024-03-04T00:00:00Z</vt:filetime>
  </property>
  <property fmtid="{D5CDD505-2E9C-101B-9397-08002B2CF9AE}" pid="4" name="Creator">
    <vt:lpwstr>Acrobat PDFMaker 10.1 für Word</vt:lpwstr>
  </property>
  <property fmtid="{D5CDD505-2E9C-101B-9397-08002B2CF9AE}" pid="5" name="LastSaved">
    <vt:filetime>2024-03-04T00:00:00Z</vt:filetime>
  </property>
  <property fmtid="{D5CDD505-2E9C-101B-9397-08002B2CF9AE}" pid="6" name="MediaServiceImageTags">
    <vt:lpwstr/>
  </property>
  <property fmtid="{D5CDD505-2E9C-101B-9397-08002B2CF9AE}" pid="7" name="Producer">
    <vt:lpwstr>Adobe PDF Library 10.0</vt:lpwstr>
  </property>
  <property fmtid="{D5CDD505-2E9C-101B-9397-08002B2CF9AE}" pid="8" name="SourceModified">
    <vt:lpwstr>D:20240304062416</vt:lpwstr>
  </property>
</Properties>
</file>