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439BE49A" w:rsidR="00B422EC" w:rsidRPr="003677DB" w:rsidRDefault="0091556D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18</w:t>
      </w:r>
      <w:r w:rsidR="0FC32071" w:rsidRPr="2FF3BE93">
        <w:rPr>
          <w:lang w:val="pt-PT"/>
        </w:rPr>
        <w:t xml:space="preserve">. </w:t>
      </w:r>
      <w:r>
        <w:rPr>
          <w:lang w:val="pt-PT"/>
        </w:rPr>
        <w:t>septembar</w:t>
      </w:r>
      <w:r w:rsidR="00BF6E82" w:rsidRPr="2FF3BE93">
        <w:rPr>
          <w:lang w:val="pt-PT"/>
        </w:rPr>
        <w:t>, 20</w:t>
      </w:r>
      <w:r w:rsidR="00F635FC" w:rsidRPr="2FF3BE93">
        <w:rPr>
          <w:lang w:val="pt-PT"/>
        </w:rPr>
        <w:t>2</w:t>
      </w:r>
      <w:r w:rsidR="003677DB" w:rsidRPr="2FF3BE93">
        <w:rPr>
          <w:lang w:val="pt-PT"/>
        </w:rPr>
        <w:t>4</w:t>
      </w:r>
    </w:p>
    <w:p w14:paraId="736BB9D4" w14:textId="77777777" w:rsidR="0091556D" w:rsidRDefault="0091556D" w:rsidP="0091556D">
      <w:pPr>
        <w:jc w:val="center"/>
        <w:rPr>
          <w:b/>
          <w:bCs/>
          <w:sz w:val="28"/>
          <w:szCs w:val="28"/>
          <w:lang w:val="sr-Latn-RS"/>
        </w:rPr>
      </w:pPr>
    </w:p>
    <w:p w14:paraId="2519E3BE" w14:textId="354D5968" w:rsidR="0091556D" w:rsidRDefault="0091556D" w:rsidP="0091556D">
      <w:pPr>
        <w:jc w:val="center"/>
        <w:rPr>
          <w:b/>
          <w:bCs/>
          <w:sz w:val="28"/>
          <w:szCs w:val="28"/>
          <w:lang w:val="sr-Latn-RS"/>
        </w:rPr>
      </w:pPr>
      <w:r w:rsidRPr="006F7ECA">
        <w:rPr>
          <w:b/>
          <w:bCs/>
          <w:sz w:val="28"/>
          <w:szCs w:val="28"/>
          <w:lang w:val="sr-Latn-RS"/>
        </w:rPr>
        <w:t xml:space="preserve">Jesen u znaku samopouzdanja: Schwarzkopf Gliss Program </w:t>
      </w:r>
      <w:r>
        <w:rPr>
          <w:b/>
          <w:bCs/>
          <w:sz w:val="28"/>
          <w:szCs w:val="28"/>
          <w:lang w:val="sr-Latn-RS"/>
        </w:rPr>
        <w:t xml:space="preserve">samopouzdanja </w:t>
      </w:r>
      <w:r w:rsidRPr="006F7ECA">
        <w:rPr>
          <w:b/>
          <w:bCs/>
          <w:sz w:val="28"/>
          <w:szCs w:val="28"/>
          <w:lang w:val="sr-Latn-RS"/>
        </w:rPr>
        <w:t xml:space="preserve">nastavlja da </w:t>
      </w:r>
      <w:r>
        <w:rPr>
          <w:b/>
          <w:bCs/>
          <w:sz w:val="28"/>
          <w:szCs w:val="28"/>
          <w:lang w:val="sr-Latn-RS"/>
        </w:rPr>
        <w:t>osnažuje žene</w:t>
      </w:r>
    </w:p>
    <w:p w14:paraId="35387E2E" w14:textId="52E4A3FF" w:rsidR="7E093EBF" w:rsidRDefault="7E093EBF" w:rsidP="7E093EBF">
      <w:pPr>
        <w:rPr>
          <w:lang w:val="pt-PT"/>
        </w:rPr>
      </w:pPr>
    </w:p>
    <w:p w14:paraId="6F8A26ED" w14:textId="77777777" w:rsidR="0091556D" w:rsidRPr="00073B8E" w:rsidRDefault="54CA39E9" w:rsidP="0091556D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  <w:r w:rsidRPr="2FF3BE93">
        <w:rPr>
          <w:lang w:val="pt-PT"/>
        </w:rPr>
        <w:t>Beograd</w:t>
      </w:r>
      <w:r w:rsidR="007F0F63" w:rsidRPr="2FF3BE93">
        <w:rPr>
          <w:lang w:val="pt-PT"/>
        </w:rPr>
        <w:t xml:space="preserve"> </w:t>
      </w:r>
      <w:r w:rsidR="007F0F63" w:rsidRPr="2FF3BE93">
        <w:rPr>
          <w:rFonts w:asciiTheme="majorHAnsi" w:eastAsiaTheme="majorEastAsia" w:hAnsiTheme="majorHAnsi" w:cstheme="majorBidi"/>
          <w:szCs w:val="22"/>
          <w:lang w:val="pt-PT"/>
        </w:rPr>
        <w:t>–</w:t>
      </w:r>
      <w:r w:rsidR="69B2FECC" w:rsidRPr="2FF3BE93">
        <w:rPr>
          <w:rFonts w:asciiTheme="majorHAnsi" w:eastAsiaTheme="majorEastAsia" w:hAnsiTheme="majorHAnsi" w:cstheme="majorBidi"/>
          <w:szCs w:val="22"/>
          <w:lang w:val="pt-PT"/>
        </w:rPr>
        <w:t xml:space="preserve"> </w:t>
      </w:r>
      <w:r w:rsidR="0091556D"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Jedinstveni </w:t>
      </w:r>
      <w:r w:rsidR="0091556D" w:rsidRPr="00073B8E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lang w:val="pt-PT"/>
        </w:rPr>
        <w:t>Schwarzkopf Gliss Program samopouzdanja</w:t>
      </w:r>
      <w:r w:rsidR="0091556D"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kreiran od strane kompanije Henkel i brenda Schwarzkopf Gliss, nastavlja se ove jeseni pod sloganom </w:t>
      </w:r>
      <w:r w:rsidR="0091556D" w:rsidRPr="00073B8E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lang w:val="pt-PT"/>
        </w:rPr>
        <w:t>“Snažne žene za snažan svet”</w:t>
      </w:r>
      <w:r w:rsidR="0091556D"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. Pedeset dama koje su dobile priliku da budu deo ovog besplatnog programa i tokom prolećnog dela stekle nova znanja i veštine, nastaviće ove jeseni da rade na razvoju ličnih i profesionalnih veština uz vrhunske predavače.</w:t>
      </w:r>
    </w:p>
    <w:p w14:paraId="781A2D26" w14:textId="77777777" w:rsidR="0091556D" w:rsidRPr="00073B8E" w:rsidRDefault="0091556D" w:rsidP="0091556D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</w:p>
    <w:p w14:paraId="2204366E" w14:textId="77777777" w:rsidR="0091556D" w:rsidRPr="00073B8E" w:rsidRDefault="0091556D" w:rsidP="0091556D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  <w:r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Kroz niz predavanja tokom prolećnog dela programa, polaznice su imale priliku da steknu različita znanja u oblasti ličnog i poslovnog razvoja. Od odabira karijere i pripreme za intervju, preko veština prezentovanja i timskog rada, pa do upravljanja stresom i jačanja samopouzdanja – ovaj program je obuhvatio ključne aspekte profesionalnog, ali i ličnog rasta. Nakon letnje pauze, tokom jesenjeg dela Programa samopouzdanja, polaznice će kroz seriju predavanja i radionica dobiti praktične savete koji će im pomoći da unaprede svoju karijeru i uspešno se suoče sa profesionalnim izazovima. </w:t>
      </w:r>
    </w:p>
    <w:p w14:paraId="6A436C48" w14:textId="77777777" w:rsidR="0091556D" w:rsidRPr="00073B8E" w:rsidRDefault="0091556D" w:rsidP="0091556D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</w:p>
    <w:p w14:paraId="16A8D5D5" w14:textId="4F669C0B" w:rsidR="0091556D" w:rsidRPr="00073B8E" w:rsidRDefault="0091556D" w:rsidP="0091556D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  <w:r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Prvi modul u okviru jesenjeg dela Schwarzkopf Gliss Programa samopouzdanja, pod nazivom “Tips&amp;tricks za blistav poslovni izgled”, otvoriće Brana Kostić – makeup artist, koja će polaznicama preneti korisne 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savete u oblasti šminke</w:t>
      </w:r>
      <w:r w:rsidR="006432A6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za poslovne prilike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. Ovaj modul upotpuniće i Aleksandar Dramićanin, hair artist i brend ambasador za Schwarzkopf professional Srbija, koji će upoznati polaznice sa načinima nege i stilizovanja kose. Na narednom modulu “Novi početak, novi stil”, modni stilista Ašok Murti </w:t>
      </w:r>
      <w:r w:rsidR="00E37FF4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predstaviće</w:t>
      </w:r>
      <w:r w:rsidR="00093AE1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polaznic</w:t>
      </w:r>
      <w:r w:rsidR="00E37FF4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ama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pravil</w:t>
      </w:r>
      <w:r w:rsidR="00093AE1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a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poslovnog</w:t>
      </w:r>
      <w:r w:rsidR="00093AE1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oblačenja,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dok će Milica</w:t>
      </w:r>
      <w:r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Stojiljković, autor programa ličnog razvoja “Lepo mi je”, približiti temu promene posla u kasnijim godinama. Biljana Bogovac, rukovodeća partnerka kompanije PwC, govoriće na temu žena na rukovodećim pozicijama u okviru modula “Kultura uspeha”, dok će Nevena Stanisavljević</w:t>
      </w:r>
      <w:r w:rsidRPr="00073B8E">
        <w:rPr>
          <w:lang w:val="pt-PT"/>
        </w:rPr>
        <w:t xml:space="preserve">, </w:t>
      </w:r>
      <w:r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osnivačica HR World organizacije i direktorka HR Week konferencije,  </w:t>
      </w:r>
      <w:r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lastRenderedPageBreak/>
        <w:t xml:space="preserve">obraditi temu poslovne kulture. </w:t>
      </w:r>
      <w:r w:rsidR="00FE7C71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Na poslednjem 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susret</w:t>
      </w:r>
      <w:r w:rsidR="00FE7C71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u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, pod nazivom “ZaBLISStaj u objektivu”,</w:t>
      </w:r>
      <w:r w:rsidR="00FE7C71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polaznic</w:t>
      </w:r>
      <w:r w:rsidR="00FE7C71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e će se upoznati sa Schwarzkopf GLISS brendom i imaće 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jedinstvenu priliku da</w:t>
      </w:r>
      <w:r w:rsidR="00247F33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</w:t>
      </w:r>
      <w:r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kreiraju savršenu fotografiju svog portreta rekreirajući čuveni Schwarzkopf logotip u obliku siluete</w:t>
      </w:r>
      <w:r w:rsidR="00FE7C71" w:rsidRPr="004D1D92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.</w:t>
      </w:r>
    </w:p>
    <w:p w14:paraId="7E7CCD42" w14:textId="77777777" w:rsidR="0091556D" w:rsidRPr="00073B8E" w:rsidRDefault="0091556D" w:rsidP="0091556D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</w:p>
    <w:p w14:paraId="662004DF" w14:textId="1FE1A992" w:rsidR="0091556D" w:rsidRPr="00073B8E" w:rsidRDefault="0091556D" w:rsidP="0091556D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  <w:r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Schwarzkopf G</w:t>
      </w:r>
      <w:r w:rsidR="00FE7C71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lis</w:t>
      </w:r>
      <w:r w:rsidRPr="00073B8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s Program samopouzdanja nije samo prilika za sticanje novih znanja i veština u ličnom i profesionalnom razvoju, već i mesto međusobnog povezivanja i inspiracije. Stvarajući zajednicu snažnih žena, program doprinosi jačanju svake polaznice da postane najbolja verzija sebe, jer samo sigurna i snažna žena je samouverena na svim životnim poljima.</w:t>
      </w:r>
    </w:p>
    <w:p w14:paraId="6A5434E5" w14:textId="7567DD90" w:rsidR="000521CD" w:rsidRPr="003677DB" w:rsidRDefault="000521CD" w:rsidP="0091556D">
      <w:pPr>
        <w:rPr>
          <w:lang w:val="pt-PT"/>
        </w:rPr>
      </w:pPr>
    </w:p>
    <w:p w14:paraId="5ED38070" w14:textId="639F0D2B" w:rsidR="00E23EC8" w:rsidRPr="00073B8E" w:rsidRDefault="2EBE7A62" w:rsidP="7E093EBF">
      <w:pPr>
        <w:ind w:left="-20" w:right="-20"/>
        <w:rPr>
          <w:lang w:val="pt-PT"/>
        </w:rPr>
      </w:pPr>
      <w:r w:rsidRPr="7E093EBF">
        <w:rPr>
          <w:rFonts w:eastAsia="Segoe UI" w:cs="Segoe UI"/>
          <w:b/>
          <w:bCs/>
          <w:sz w:val="18"/>
          <w:szCs w:val="18"/>
          <w:lang w:val="sr-Latn-RS"/>
        </w:rPr>
        <w:t>O kompaniji Henkel</w:t>
      </w:r>
    </w:p>
    <w:p w14:paraId="7F2D543D" w14:textId="519A1D09" w:rsidR="00E23EC8" w:rsidRPr="00073B8E" w:rsidRDefault="2EBE7A62" w:rsidP="7E093EBF">
      <w:pPr>
        <w:ind w:left="-20" w:right="-20"/>
        <w:rPr>
          <w:lang w:val="pt-PT"/>
        </w:rPr>
      </w:pPr>
      <w:r w:rsidRPr="7E093EBF">
        <w:rPr>
          <w:rFonts w:eastAsia="Segoe UI" w:cs="Segoe UI"/>
          <w:sz w:val="18"/>
          <w:szCs w:val="18"/>
          <w:lang w:val="sr-Latn-RS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>
        <w:r w:rsidRPr="7E093EBF">
          <w:rPr>
            <w:rStyle w:val="Hyperlink"/>
            <w:rFonts w:eastAsia="Segoe UI" w:cs="Segoe UI"/>
            <w:lang w:val="sr-Latn-RS"/>
          </w:rPr>
          <w:t>www.henkel.rs</w:t>
        </w:r>
      </w:hyperlink>
    </w:p>
    <w:p w14:paraId="4E9F741E" w14:textId="4BA00992" w:rsidR="00E23EC8" w:rsidRDefault="00E23EC8" w:rsidP="7E093EBF">
      <w:pPr>
        <w:rPr>
          <w:rStyle w:val="AboutandContactBody"/>
          <w:lang w:val="pt-PT"/>
        </w:rPr>
      </w:pPr>
    </w:p>
    <w:p w14:paraId="5636788A" w14:textId="77777777" w:rsidR="00E23EC8" w:rsidRPr="00F40775" w:rsidRDefault="00E23EC8" w:rsidP="00E23EC8">
      <w:pPr>
        <w:rPr>
          <w:rStyle w:val="AboutandContactBody"/>
          <w:lang w:val="pt-PT"/>
        </w:rPr>
      </w:pPr>
    </w:p>
    <w:p w14:paraId="02BB3794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  <w:t>Jelena Gavrilović Šarenac</w:t>
      </w:r>
      <w:r w:rsidRPr="00F40775">
        <w:rPr>
          <w:rStyle w:val="AboutandContactBody"/>
          <w:lang w:val="pt-PT"/>
        </w:rPr>
        <w:tab/>
        <w:t>Ana Rončević</w:t>
      </w:r>
    </w:p>
    <w:p w14:paraId="634FDC64" w14:textId="5D8A10E2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 w:rsidR="001B687E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09C6C7F1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29F12A57" w14:textId="77777777" w:rsidR="00E23EC8" w:rsidRDefault="00E23EC8" w:rsidP="00E23EC8">
      <w:pPr>
        <w:rPr>
          <w:rStyle w:val="AboutandContactBody"/>
          <w:lang w:val="it-IT"/>
        </w:rPr>
      </w:pPr>
    </w:p>
    <w:p w14:paraId="23F21184" w14:textId="77777777" w:rsidR="00E23EC8" w:rsidRPr="00F40775" w:rsidRDefault="00E23EC8" w:rsidP="00E23EC8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14:paraId="0AE9B6D5" w14:textId="4317D1AF" w:rsidR="00385185" w:rsidRPr="00E23EC8" w:rsidRDefault="00385185" w:rsidP="00643D8A">
      <w:pPr>
        <w:rPr>
          <w:rFonts w:cs="Segoe UI"/>
          <w:szCs w:val="22"/>
          <w:lang w:val="it-IT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0C4F79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552D" w14:textId="77777777" w:rsidR="00A8679E" w:rsidRDefault="00A8679E">
      <w:r>
        <w:separator/>
      </w:r>
    </w:p>
  </w:endnote>
  <w:endnote w:type="continuationSeparator" w:id="0">
    <w:p w14:paraId="5A9C6B3B" w14:textId="77777777" w:rsidR="00A8679E" w:rsidRDefault="00A8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E49B6" w14:textId="77777777" w:rsidR="00A8679E" w:rsidRDefault="00A8679E">
      <w:r>
        <w:separator/>
      </w:r>
    </w:p>
  </w:footnote>
  <w:footnote w:type="continuationSeparator" w:id="0">
    <w:p w14:paraId="72830E3F" w14:textId="77777777" w:rsidR="00A8679E" w:rsidRDefault="00A8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E8D08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722E8"/>
    <w:rsid w:val="00073B8E"/>
    <w:rsid w:val="00080D10"/>
    <w:rsid w:val="0008357F"/>
    <w:rsid w:val="00093AE1"/>
    <w:rsid w:val="000B695A"/>
    <w:rsid w:val="000C210A"/>
    <w:rsid w:val="000C4F79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687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00E9"/>
    <w:rsid w:val="00212488"/>
    <w:rsid w:val="00220628"/>
    <w:rsid w:val="00222BD7"/>
    <w:rsid w:val="00223457"/>
    <w:rsid w:val="002304D2"/>
    <w:rsid w:val="00234ABD"/>
    <w:rsid w:val="002354D9"/>
    <w:rsid w:val="00236E2A"/>
    <w:rsid w:val="00237F62"/>
    <w:rsid w:val="0024586A"/>
    <w:rsid w:val="00247F33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A7835"/>
    <w:rsid w:val="003B1069"/>
    <w:rsid w:val="003B390A"/>
    <w:rsid w:val="003C15DE"/>
    <w:rsid w:val="003C4EB2"/>
    <w:rsid w:val="003F1AF3"/>
    <w:rsid w:val="003F4D8D"/>
    <w:rsid w:val="003F66FD"/>
    <w:rsid w:val="004313E7"/>
    <w:rsid w:val="004325E3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6BB"/>
    <w:rsid w:val="004B54E8"/>
    <w:rsid w:val="004C4FEB"/>
    <w:rsid w:val="004C6B79"/>
    <w:rsid w:val="004D059B"/>
    <w:rsid w:val="004D1D92"/>
    <w:rsid w:val="004D4CB6"/>
    <w:rsid w:val="004E0870"/>
    <w:rsid w:val="004E3341"/>
    <w:rsid w:val="004F10C1"/>
    <w:rsid w:val="005019F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15E5"/>
    <w:rsid w:val="005A3846"/>
    <w:rsid w:val="005A77D5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2A6"/>
    <w:rsid w:val="00643D8A"/>
    <w:rsid w:val="006513EB"/>
    <w:rsid w:val="00651965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90B19"/>
    <w:rsid w:val="006A0A3C"/>
    <w:rsid w:val="006A6806"/>
    <w:rsid w:val="006A79F0"/>
    <w:rsid w:val="006B47EE"/>
    <w:rsid w:val="006B499F"/>
    <w:rsid w:val="006D4996"/>
    <w:rsid w:val="006D54AB"/>
    <w:rsid w:val="006E24B8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1C44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2B7C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036E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4F16"/>
    <w:rsid w:val="0088596E"/>
    <w:rsid w:val="00887687"/>
    <w:rsid w:val="0089796A"/>
    <w:rsid w:val="008A2375"/>
    <w:rsid w:val="008A59ED"/>
    <w:rsid w:val="008D4B58"/>
    <w:rsid w:val="008D50D1"/>
    <w:rsid w:val="008D76C5"/>
    <w:rsid w:val="008E0AFA"/>
    <w:rsid w:val="008E52A1"/>
    <w:rsid w:val="008E75D3"/>
    <w:rsid w:val="008F125E"/>
    <w:rsid w:val="008F4D2F"/>
    <w:rsid w:val="00906292"/>
    <w:rsid w:val="009067AB"/>
    <w:rsid w:val="009076AF"/>
    <w:rsid w:val="0091556D"/>
    <w:rsid w:val="00917162"/>
    <w:rsid w:val="009251CC"/>
    <w:rsid w:val="0092714E"/>
    <w:rsid w:val="00935FEC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0E7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3DB1"/>
    <w:rsid w:val="00A54AC5"/>
    <w:rsid w:val="00A55DC3"/>
    <w:rsid w:val="00A56D41"/>
    <w:rsid w:val="00A61353"/>
    <w:rsid w:val="00A66DB1"/>
    <w:rsid w:val="00A67A92"/>
    <w:rsid w:val="00A72B24"/>
    <w:rsid w:val="00A8679E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1251"/>
    <w:rsid w:val="00BF2B82"/>
    <w:rsid w:val="00BF432A"/>
    <w:rsid w:val="00BF6E82"/>
    <w:rsid w:val="00C060C7"/>
    <w:rsid w:val="00C22AE9"/>
    <w:rsid w:val="00C24C17"/>
    <w:rsid w:val="00C258B8"/>
    <w:rsid w:val="00C3758F"/>
    <w:rsid w:val="00C40B88"/>
    <w:rsid w:val="00C42C93"/>
    <w:rsid w:val="00C43854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1803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3EC8"/>
    <w:rsid w:val="00E25AEA"/>
    <w:rsid w:val="00E279A9"/>
    <w:rsid w:val="00E27B28"/>
    <w:rsid w:val="00E30DEF"/>
    <w:rsid w:val="00E30ED2"/>
    <w:rsid w:val="00E31276"/>
    <w:rsid w:val="00E37F70"/>
    <w:rsid w:val="00E37FF4"/>
    <w:rsid w:val="00E446C1"/>
    <w:rsid w:val="00E758B9"/>
    <w:rsid w:val="00E82DF5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  <w:rsid w:val="00FE7C71"/>
    <w:rsid w:val="02E7AEDC"/>
    <w:rsid w:val="0372EDC4"/>
    <w:rsid w:val="0DE5D036"/>
    <w:rsid w:val="0FC32071"/>
    <w:rsid w:val="10B193A0"/>
    <w:rsid w:val="1662EFAC"/>
    <w:rsid w:val="168692BC"/>
    <w:rsid w:val="1A5781CA"/>
    <w:rsid w:val="1B3CFA7A"/>
    <w:rsid w:val="2260C4B8"/>
    <w:rsid w:val="22FA04C5"/>
    <w:rsid w:val="27232055"/>
    <w:rsid w:val="2EBE7A62"/>
    <w:rsid w:val="2FF3BE93"/>
    <w:rsid w:val="333C1487"/>
    <w:rsid w:val="335995EF"/>
    <w:rsid w:val="349E78CD"/>
    <w:rsid w:val="34BC9D4A"/>
    <w:rsid w:val="3C23A868"/>
    <w:rsid w:val="3CBC76BF"/>
    <w:rsid w:val="3E6A0E43"/>
    <w:rsid w:val="42C754CE"/>
    <w:rsid w:val="43E25262"/>
    <w:rsid w:val="4723B051"/>
    <w:rsid w:val="48127699"/>
    <w:rsid w:val="49875D8E"/>
    <w:rsid w:val="4CED029D"/>
    <w:rsid w:val="4F15332A"/>
    <w:rsid w:val="51975271"/>
    <w:rsid w:val="528327DE"/>
    <w:rsid w:val="533322D2"/>
    <w:rsid w:val="54CA39E9"/>
    <w:rsid w:val="5AEA391F"/>
    <w:rsid w:val="5B250C5A"/>
    <w:rsid w:val="5CE76EFA"/>
    <w:rsid w:val="621932FC"/>
    <w:rsid w:val="6421990D"/>
    <w:rsid w:val="66C7B9E5"/>
    <w:rsid w:val="69B2FECC"/>
    <w:rsid w:val="6C37A9EB"/>
    <w:rsid w:val="781535D0"/>
    <w:rsid w:val="78C48700"/>
    <w:rsid w:val="7C6D6E5E"/>
    <w:rsid w:val="7D38D9D4"/>
    <w:rsid w:val="7D4190A8"/>
    <w:rsid w:val="7E0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CommentReference">
    <w:name w:val="annotation reference"/>
    <w:basedOn w:val="DefaultParagraphFont"/>
    <w:rsid w:val="00073B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3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73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cca362e-cf85-4f16-8b73-f94b25c87397"/>
    <ds:schemaRef ds:uri="dd711147-479d-48cd-8cde-486a92a72018"/>
    <ds:schemaRef ds:uri="35b47de6-8d4f-4de6-9664-c4f33e1cac1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C:\Users\frohng\AppData\Local\Temp\Temp1_Completed.zip\Completed\segoe-Henkel-press-release-template-2020-english.dotx</Template>
  <TotalTime>10</TotalTime>
  <Pages>2</Pages>
  <Words>555</Words>
  <Characters>3455</Characters>
  <Application>Microsoft Office Word</Application>
  <DocSecurity>2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IMB</cp:lastModifiedBy>
  <cp:revision>4</cp:revision>
  <cp:lastPrinted>2016-11-16T01:11:00Z</cp:lastPrinted>
  <dcterms:created xsi:type="dcterms:W3CDTF">2024-09-17T06:15:00Z</dcterms:created>
  <dcterms:modified xsi:type="dcterms:W3CDTF">2024-10-22T11:58:00Z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