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E39A" w14:textId="1FFA7B21" w:rsidR="00B422EC" w:rsidRPr="00F22CAC" w:rsidRDefault="00081692" w:rsidP="00E670B5">
      <w:pPr>
        <w:pStyle w:val="MonthDayYear"/>
        <w:tabs>
          <w:tab w:val="left" w:pos="7371"/>
        </w:tabs>
      </w:pPr>
      <w:r>
        <w:tab/>
        <w:t>13 Ağustos 2024</w:t>
      </w:r>
    </w:p>
    <w:p w14:paraId="60F0AAB2" w14:textId="73D00CA4" w:rsidR="00033476" w:rsidRPr="0058377F" w:rsidRDefault="0058377F" w:rsidP="00033476">
      <w:pPr>
        <w:pStyle w:val="Topline"/>
        <w:spacing w:after="360"/>
        <w:rPr>
          <w:rFonts w:asciiTheme="majorHAnsi" w:hAnsiTheme="majorHAnsi" w:cstheme="majorHAnsi"/>
        </w:rPr>
      </w:pPr>
      <w:r>
        <w:rPr>
          <w:rFonts w:asciiTheme="majorHAnsi" w:hAnsiTheme="majorHAnsi"/>
        </w:rPr>
        <w:t>Güçlü yarıyıl sonuçları, büyüme stratejisinin başarıyla uygulanmasına katkıda bulundu</w:t>
      </w:r>
    </w:p>
    <w:p w14:paraId="005FA639" w14:textId="77777777" w:rsidR="00004698" w:rsidRPr="0058377F" w:rsidRDefault="00004698" w:rsidP="00004698">
      <w:pPr>
        <w:jc w:val="left"/>
        <w:rPr>
          <w:rStyle w:val="Headline"/>
          <w:rFonts w:asciiTheme="majorHAnsi" w:hAnsiTheme="majorHAnsi" w:cstheme="majorHAnsi"/>
        </w:rPr>
      </w:pPr>
      <w:r>
        <w:rPr>
          <w:rStyle w:val="Headline"/>
          <w:rFonts w:asciiTheme="majorHAnsi" w:hAnsiTheme="majorHAnsi"/>
        </w:rPr>
        <w:t>Henkel, 2024’ün ilk yarısı</w:t>
      </w:r>
      <w:r w:rsidRPr="00FE177A">
        <w:rPr>
          <w:rStyle w:val="Headline"/>
          <w:rFonts w:asciiTheme="majorHAnsi" w:hAnsiTheme="majorHAnsi"/>
        </w:rPr>
        <w:t>n</w:t>
      </w:r>
      <w:r>
        <w:rPr>
          <w:rStyle w:val="Headline"/>
          <w:rFonts w:asciiTheme="majorHAnsi" w:hAnsiTheme="majorHAnsi"/>
        </w:rPr>
        <w:t>da</w:t>
      </w:r>
      <w:r w:rsidRPr="00FE177A">
        <w:rPr>
          <w:rStyle w:val="Headline"/>
          <w:rFonts w:asciiTheme="majorHAnsi" w:hAnsiTheme="majorHAnsi"/>
        </w:rPr>
        <w:t xml:space="preserve"> iyi organik</w:t>
      </w:r>
      <w:r>
        <w:rPr>
          <w:rStyle w:val="Headline"/>
          <w:rFonts w:asciiTheme="majorHAnsi" w:hAnsiTheme="majorHAnsi"/>
        </w:rPr>
        <w:t xml:space="preserve"> satış büyümesi ve çok güçlü bir karlılık gelişimi gerçekleştirdi</w:t>
      </w:r>
    </w:p>
    <w:p w14:paraId="76A670BB" w14:textId="77777777" w:rsidR="00033476" w:rsidRPr="0058377F" w:rsidRDefault="00033476" w:rsidP="00033476"/>
    <w:p w14:paraId="6A3FAF04" w14:textId="2CF243BE" w:rsidR="00033476" w:rsidRPr="00083F9D" w:rsidRDefault="00083F9D" w:rsidP="00EA7DEB">
      <w:pPr>
        <w:pStyle w:val="ListParagraph"/>
        <w:numPr>
          <w:ilvl w:val="0"/>
          <w:numId w:val="7"/>
        </w:numPr>
        <w:spacing w:after="80"/>
        <w:ind w:left="284" w:right="-108" w:hanging="357"/>
        <w:contextualSpacing w:val="0"/>
        <w:jc w:val="left"/>
        <w:rPr>
          <w:rFonts w:asciiTheme="majorHAnsi" w:hAnsiTheme="majorHAnsi" w:cstheme="majorHAnsi"/>
          <w:b/>
          <w:szCs w:val="22"/>
        </w:rPr>
      </w:pPr>
      <w:bookmarkStart w:id="0" w:name="_Hlk140061525"/>
      <w:bookmarkStart w:id="1" w:name="_Hlk43712519"/>
      <w:r>
        <w:rPr>
          <w:rFonts w:asciiTheme="majorHAnsi" w:hAnsiTheme="majorHAnsi"/>
          <w:b/>
        </w:rPr>
        <w:t xml:space="preserve">Yılın ilk yarısında Grup satışları organik olarak yüzde 2,9 </w:t>
      </w:r>
      <w:r w:rsidR="000817AA">
        <w:rPr>
          <w:rFonts w:asciiTheme="majorHAnsi" w:hAnsiTheme="majorHAnsi"/>
          <w:b/>
        </w:rPr>
        <w:t xml:space="preserve">oranında </w:t>
      </w:r>
      <w:r>
        <w:rPr>
          <w:rFonts w:asciiTheme="majorHAnsi" w:hAnsiTheme="majorHAnsi"/>
          <w:b/>
        </w:rPr>
        <w:t>büyüyerek</w:t>
      </w:r>
      <w:r w:rsidR="00FD6BFF">
        <w:rPr>
          <w:rFonts w:asciiTheme="majorHAnsi" w:hAnsiTheme="majorHAnsi"/>
          <w:b/>
        </w:rPr>
        <w:t>,</w:t>
      </w:r>
      <w:r>
        <w:rPr>
          <w:rFonts w:asciiTheme="majorHAnsi" w:hAnsiTheme="majorHAnsi"/>
          <w:b/>
        </w:rPr>
        <w:t xml:space="preserve"> yaklaşık 10,8 milyar Euro </w:t>
      </w:r>
      <w:r w:rsidR="000817AA">
        <w:rPr>
          <w:rFonts w:asciiTheme="majorHAnsi" w:hAnsiTheme="majorHAnsi"/>
          <w:b/>
        </w:rPr>
        <w:t xml:space="preserve">olarak gerçekleşti </w:t>
      </w:r>
      <w:r>
        <w:rPr>
          <w:rFonts w:asciiTheme="majorHAnsi" w:hAnsiTheme="majorHAnsi"/>
          <w:b/>
        </w:rPr>
        <w:t>(nominal</w:t>
      </w:r>
      <w:r w:rsidR="000817AA">
        <w:rPr>
          <w:rFonts w:asciiTheme="majorHAnsi" w:hAnsiTheme="majorHAnsi"/>
          <w:b/>
        </w:rPr>
        <w:t xml:space="preserve"> değişim</w:t>
      </w:r>
      <w:r>
        <w:rPr>
          <w:rFonts w:asciiTheme="majorHAnsi" w:hAnsiTheme="majorHAnsi"/>
          <w:b/>
        </w:rPr>
        <w:t xml:space="preserve"> yüzde -1,0) - her iki iş biriminde de büyüme</w:t>
      </w:r>
      <w:r w:rsidR="000817AA">
        <w:rPr>
          <w:rFonts w:asciiTheme="majorHAnsi" w:hAnsiTheme="majorHAnsi"/>
          <w:b/>
        </w:rPr>
        <w:t xml:space="preserve"> gözlendi</w:t>
      </w:r>
      <w:r>
        <w:rPr>
          <w:rFonts w:asciiTheme="majorHAnsi" w:hAnsiTheme="majorHAnsi"/>
          <w:b/>
        </w:rPr>
        <w:t>.</w:t>
      </w:r>
    </w:p>
    <w:p w14:paraId="282A1AAD" w14:textId="266EC971" w:rsidR="00033476" w:rsidRPr="00083F9D" w:rsidRDefault="00083F9D" w:rsidP="00FE177A">
      <w:pPr>
        <w:pStyle w:val="ListParagraph"/>
        <w:numPr>
          <w:ilvl w:val="0"/>
          <w:numId w:val="7"/>
        </w:numPr>
        <w:spacing w:after="80"/>
        <w:ind w:left="284" w:right="-108" w:hanging="357"/>
        <w:contextualSpacing w:val="0"/>
        <w:jc w:val="left"/>
        <w:rPr>
          <w:rFonts w:asciiTheme="majorHAnsi" w:hAnsiTheme="majorHAnsi" w:cstheme="majorHAnsi"/>
          <w:b/>
          <w:szCs w:val="22"/>
        </w:rPr>
      </w:pPr>
      <w:r>
        <w:rPr>
          <w:rFonts w:asciiTheme="majorHAnsi" w:hAnsiTheme="majorHAnsi"/>
          <w:b/>
        </w:rPr>
        <w:t>Faaliyet karı (V</w:t>
      </w:r>
      <w:r w:rsidR="000817AA">
        <w:rPr>
          <w:rFonts w:asciiTheme="majorHAnsi" w:hAnsiTheme="majorHAnsi"/>
          <w:b/>
        </w:rPr>
        <w:t>F</w:t>
      </w:r>
      <w:r>
        <w:rPr>
          <w:rFonts w:asciiTheme="majorHAnsi" w:hAnsiTheme="majorHAnsi"/>
          <w:b/>
        </w:rPr>
        <w:t>ÖK)*</w:t>
      </w:r>
      <w:r w:rsidRPr="00FE177A">
        <w:rPr>
          <w:rFonts w:asciiTheme="majorHAnsi" w:hAnsiTheme="majorHAnsi"/>
          <w:b/>
        </w:rPr>
        <w:t>: 1</w:t>
      </w:r>
      <w:r w:rsidR="00FE177A">
        <w:rPr>
          <w:rFonts w:asciiTheme="majorHAnsi" w:hAnsiTheme="majorHAnsi"/>
          <w:b/>
        </w:rPr>
        <w:t>,</w:t>
      </w:r>
      <w:r w:rsidRPr="00FE177A">
        <w:rPr>
          <w:rFonts w:asciiTheme="majorHAnsi" w:hAnsiTheme="majorHAnsi"/>
          <w:b/>
        </w:rPr>
        <w:t>610 m</w:t>
      </w:r>
      <w:r>
        <w:rPr>
          <w:rFonts w:asciiTheme="majorHAnsi" w:hAnsiTheme="majorHAnsi"/>
          <w:b/>
        </w:rPr>
        <w:t>ilyar Euro'ya ulaşan çok güçlü artış</w:t>
      </w:r>
      <w:r w:rsidR="009136BA">
        <w:rPr>
          <w:rFonts w:asciiTheme="majorHAnsi" w:hAnsiTheme="majorHAnsi"/>
          <w:b/>
        </w:rPr>
        <w:t xml:space="preserve"> sergiledi</w:t>
      </w:r>
      <w:r>
        <w:rPr>
          <w:rFonts w:asciiTheme="majorHAnsi" w:hAnsiTheme="majorHAnsi"/>
          <w:b/>
        </w:rPr>
        <w:t xml:space="preserve"> (+yüzde 28</w:t>
      </w:r>
      <w:r w:rsidR="000817AA">
        <w:rPr>
          <w:rFonts w:asciiTheme="majorHAnsi" w:hAnsiTheme="majorHAnsi"/>
          <w:b/>
        </w:rPr>
        <w:t>,</w:t>
      </w:r>
      <w:r>
        <w:rPr>
          <w:rFonts w:asciiTheme="majorHAnsi" w:hAnsiTheme="majorHAnsi"/>
          <w:b/>
        </w:rPr>
        <w:t>4</w:t>
      </w:r>
      <w:r w:rsidR="000817AA">
        <w:rPr>
          <w:rFonts w:asciiTheme="majorHAnsi" w:hAnsiTheme="majorHAnsi"/>
          <w:b/>
        </w:rPr>
        <w:t xml:space="preserve"> artış</w:t>
      </w:r>
      <w:r>
        <w:rPr>
          <w:rFonts w:asciiTheme="majorHAnsi" w:hAnsiTheme="majorHAnsi"/>
          <w:b/>
        </w:rPr>
        <w:t>).</w:t>
      </w:r>
    </w:p>
    <w:p w14:paraId="724E19BD" w14:textId="6003BAAC" w:rsidR="00033476" w:rsidRPr="00083F9D" w:rsidRDefault="00083F9D" w:rsidP="00521891">
      <w:pPr>
        <w:pStyle w:val="ListParagraph"/>
        <w:numPr>
          <w:ilvl w:val="0"/>
          <w:numId w:val="7"/>
        </w:numPr>
        <w:spacing w:after="80"/>
        <w:ind w:left="284" w:right="-108" w:hanging="357"/>
        <w:contextualSpacing w:val="0"/>
        <w:jc w:val="left"/>
        <w:rPr>
          <w:rFonts w:asciiTheme="majorHAnsi" w:hAnsiTheme="majorHAnsi" w:cstheme="majorHAnsi"/>
          <w:b/>
          <w:szCs w:val="22"/>
        </w:rPr>
      </w:pPr>
      <w:r>
        <w:rPr>
          <w:rFonts w:asciiTheme="majorHAnsi" w:hAnsiTheme="majorHAnsi"/>
          <w:b/>
        </w:rPr>
        <w:t>V</w:t>
      </w:r>
      <w:r w:rsidR="000817AA">
        <w:rPr>
          <w:rFonts w:asciiTheme="majorHAnsi" w:hAnsiTheme="majorHAnsi"/>
          <w:b/>
        </w:rPr>
        <w:t>F</w:t>
      </w:r>
      <w:r>
        <w:rPr>
          <w:rFonts w:asciiTheme="majorHAnsi" w:hAnsiTheme="majorHAnsi"/>
          <w:b/>
        </w:rPr>
        <w:t>ÖK marjı* da çok güçlü bir şekilde iyileşerek yüzde 14,9'a yükseldi (+340 baz puan</w:t>
      </w:r>
      <w:r w:rsidR="0098216A">
        <w:rPr>
          <w:rFonts w:asciiTheme="majorHAnsi" w:hAnsiTheme="majorHAnsi"/>
          <w:b/>
        </w:rPr>
        <w:t xml:space="preserve"> artış</w:t>
      </w:r>
      <w:r>
        <w:rPr>
          <w:rFonts w:asciiTheme="majorHAnsi" w:hAnsiTheme="majorHAnsi"/>
          <w:b/>
        </w:rPr>
        <w:t>).</w:t>
      </w:r>
    </w:p>
    <w:p w14:paraId="393E5F06" w14:textId="0D2A45ED" w:rsidR="00033476" w:rsidRPr="00083F9D" w:rsidRDefault="00083F9D" w:rsidP="00416DCF">
      <w:pPr>
        <w:pStyle w:val="ListParagraph"/>
        <w:numPr>
          <w:ilvl w:val="0"/>
          <w:numId w:val="7"/>
        </w:numPr>
        <w:spacing w:after="80"/>
        <w:ind w:left="284" w:right="-108" w:hanging="357"/>
        <w:contextualSpacing w:val="0"/>
        <w:jc w:val="left"/>
        <w:rPr>
          <w:rFonts w:asciiTheme="majorHAnsi" w:hAnsiTheme="majorHAnsi" w:cstheme="majorHAnsi"/>
          <w:b/>
          <w:szCs w:val="22"/>
        </w:rPr>
      </w:pPr>
      <w:r>
        <w:rPr>
          <w:rFonts w:asciiTheme="majorHAnsi" w:hAnsiTheme="majorHAnsi"/>
          <w:b/>
        </w:rPr>
        <w:t>İmtiyazlı hisse senedi başına karlılık (EPS)* yaklaşık üçte bir oranında artarak 2,78 Euro'ya (sabit kur</w:t>
      </w:r>
      <w:r w:rsidR="0098216A">
        <w:rPr>
          <w:rFonts w:asciiTheme="majorHAnsi" w:hAnsiTheme="majorHAnsi"/>
          <w:b/>
        </w:rPr>
        <w:t xml:space="preserve"> ile</w:t>
      </w:r>
      <w:r>
        <w:rPr>
          <w:rFonts w:asciiTheme="majorHAnsi" w:hAnsiTheme="majorHAnsi"/>
          <w:b/>
        </w:rPr>
        <w:t xml:space="preserve"> yüzde +32,9) yükseldi.</w:t>
      </w:r>
    </w:p>
    <w:bookmarkEnd w:id="0"/>
    <w:p w14:paraId="55CEF77D" w14:textId="01794F56" w:rsidR="00FC626F" w:rsidRPr="00A87F87" w:rsidRDefault="0098216A" w:rsidP="00FC626F">
      <w:pPr>
        <w:pStyle w:val="ListParagraph"/>
        <w:numPr>
          <w:ilvl w:val="0"/>
          <w:numId w:val="7"/>
        </w:numPr>
        <w:spacing w:after="80"/>
        <w:ind w:left="284" w:right="-108"/>
        <w:contextualSpacing w:val="0"/>
        <w:jc w:val="left"/>
        <w:rPr>
          <w:rFonts w:asciiTheme="majorHAnsi" w:hAnsiTheme="majorHAnsi" w:cstheme="majorHAnsi"/>
          <w:b/>
          <w:szCs w:val="22"/>
        </w:rPr>
      </w:pPr>
      <w:r>
        <w:rPr>
          <w:rFonts w:asciiTheme="majorHAnsi" w:hAnsiTheme="majorHAnsi"/>
          <w:b/>
        </w:rPr>
        <w:t xml:space="preserve">800 milyon </w:t>
      </w:r>
      <w:r w:rsidR="00FC626F">
        <w:rPr>
          <w:rFonts w:asciiTheme="majorHAnsi" w:hAnsiTheme="majorHAnsi"/>
          <w:b/>
        </w:rPr>
        <w:t>Euro civarında çok iyi serbest nakit akışı sağlan</w:t>
      </w:r>
      <w:r w:rsidR="00B231B3">
        <w:rPr>
          <w:rFonts w:asciiTheme="majorHAnsi" w:hAnsiTheme="majorHAnsi"/>
          <w:b/>
        </w:rPr>
        <w:t>dı</w:t>
      </w:r>
      <w:r w:rsidR="00FC626F">
        <w:rPr>
          <w:rFonts w:asciiTheme="majorHAnsi" w:hAnsiTheme="majorHAnsi"/>
          <w:b/>
        </w:rPr>
        <w:t xml:space="preserve">. </w:t>
      </w:r>
    </w:p>
    <w:p w14:paraId="0BB3FCBD" w14:textId="7269AC22" w:rsidR="00063BE9" w:rsidRPr="00083F9D" w:rsidRDefault="00063BE9" w:rsidP="00063BE9">
      <w:pPr>
        <w:pStyle w:val="ListParagraph"/>
        <w:numPr>
          <w:ilvl w:val="0"/>
          <w:numId w:val="7"/>
        </w:numPr>
        <w:spacing w:after="80"/>
        <w:ind w:left="284" w:right="-108" w:hanging="357"/>
        <w:contextualSpacing w:val="0"/>
        <w:jc w:val="left"/>
        <w:rPr>
          <w:rFonts w:asciiTheme="majorHAnsi" w:hAnsiTheme="majorHAnsi" w:cstheme="majorHAnsi"/>
          <w:b/>
          <w:szCs w:val="22"/>
        </w:rPr>
      </w:pPr>
      <w:r>
        <w:rPr>
          <w:rFonts w:asciiTheme="majorHAnsi" w:hAnsiTheme="majorHAnsi"/>
          <w:b/>
        </w:rPr>
        <w:t xml:space="preserve">Stratejik büyüme gündeminin uygulanmasında daha </w:t>
      </w:r>
      <w:r w:rsidR="00C51C42">
        <w:rPr>
          <w:rFonts w:asciiTheme="majorHAnsi" w:hAnsiTheme="majorHAnsi"/>
          <w:b/>
        </w:rPr>
        <w:t>fazla</w:t>
      </w:r>
      <w:r>
        <w:rPr>
          <w:rFonts w:asciiTheme="majorHAnsi" w:hAnsiTheme="majorHAnsi"/>
          <w:b/>
        </w:rPr>
        <w:t xml:space="preserve"> ilerleme kaydedildi.</w:t>
      </w:r>
    </w:p>
    <w:p w14:paraId="7ACB2441" w14:textId="3CA38939" w:rsidR="00700939" w:rsidRPr="00083F9D" w:rsidRDefault="0058377F" w:rsidP="00083F9D">
      <w:pPr>
        <w:pStyle w:val="ListParagraph"/>
        <w:numPr>
          <w:ilvl w:val="0"/>
          <w:numId w:val="7"/>
        </w:numPr>
        <w:spacing w:after="80"/>
        <w:ind w:left="284" w:right="-108" w:hanging="357"/>
        <w:contextualSpacing w:val="0"/>
        <w:jc w:val="left"/>
        <w:rPr>
          <w:rFonts w:asciiTheme="majorHAnsi" w:hAnsiTheme="majorHAnsi" w:cstheme="majorHAnsi"/>
          <w:b/>
          <w:szCs w:val="22"/>
        </w:rPr>
      </w:pPr>
      <w:r>
        <w:rPr>
          <w:rFonts w:asciiTheme="majorHAnsi" w:hAnsiTheme="majorHAnsi"/>
          <w:b/>
        </w:rPr>
        <w:t xml:space="preserve">Temmuz ayı ortasında 2024 mali yılına </w:t>
      </w:r>
      <w:r w:rsidR="0098216A">
        <w:rPr>
          <w:rFonts w:asciiTheme="majorHAnsi" w:hAnsiTheme="majorHAnsi"/>
          <w:b/>
        </w:rPr>
        <w:t xml:space="preserve">ait </w:t>
      </w:r>
      <w:r>
        <w:rPr>
          <w:rFonts w:asciiTheme="majorHAnsi" w:hAnsiTheme="majorHAnsi"/>
          <w:b/>
        </w:rPr>
        <w:t>karlılık öngörüsü yükseltil</w:t>
      </w:r>
      <w:r w:rsidR="00B231B3">
        <w:rPr>
          <w:rFonts w:asciiTheme="majorHAnsi" w:hAnsiTheme="majorHAnsi"/>
          <w:b/>
        </w:rPr>
        <w:t>di</w:t>
      </w:r>
      <w:r>
        <w:rPr>
          <w:rFonts w:asciiTheme="majorHAnsi" w:hAnsiTheme="majorHAnsi"/>
          <w:b/>
        </w:rPr>
        <w:t>:</w:t>
      </w:r>
    </w:p>
    <w:p w14:paraId="05405C96" w14:textId="6F65820C" w:rsidR="00700939" w:rsidRPr="0058377F" w:rsidRDefault="0058377F" w:rsidP="0058377F">
      <w:pPr>
        <w:pStyle w:val="He01FlietextAufzhlung2Ebene"/>
      </w:pPr>
      <w:r>
        <w:t>Organik satış büyümesi: Yüzde 2,5 ile 4,5 aralığında (değişim yok)</w:t>
      </w:r>
    </w:p>
    <w:p w14:paraId="68AF45A3" w14:textId="5BBA84CF" w:rsidR="0058377F" w:rsidRPr="0058377F" w:rsidRDefault="0058377F" w:rsidP="0058377F">
      <w:pPr>
        <w:pStyle w:val="He01FlietextAufzhlung2Ebene"/>
      </w:pPr>
      <w:r>
        <w:t xml:space="preserve">Düzeltilmiş satış kazancı: Yüzde 13,5 </w:t>
      </w:r>
      <w:r w:rsidR="0098216A">
        <w:t>ile</w:t>
      </w:r>
      <w:r>
        <w:t xml:space="preserve"> 14,5 aralığında (önceki öngörü: yüzde 13,0 </w:t>
      </w:r>
      <w:r w:rsidR="00D812EE">
        <w:t>il</w:t>
      </w:r>
      <w:r w:rsidR="0098216A">
        <w:t>e</w:t>
      </w:r>
      <w:r>
        <w:t xml:space="preserve"> 14,0 aralığında)</w:t>
      </w:r>
    </w:p>
    <w:p w14:paraId="799F73CB" w14:textId="0F5B18E1" w:rsidR="00700939" w:rsidRPr="0058377F" w:rsidRDefault="0098216A" w:rsidP="0058377F">
      <w:pPr>
        <w:pStyle w:val="He01FlietextAufzhlung2Ebene"/>
      </w:pPr>
      <w:bookmarkStart w:id="2" w:name="_Hlk175834076"/>
      <w:r>
        <w:t>İ</w:t>
      </w:r>
      <w:r w:rsidR="0058377F">
        <w:t xml:space="preserve">mtiyazlı hisse senedi başına karlılık (EPS): </w:t>
      </w:r>
      <w:bookmarkEnd w:id="2"/>
      <w:r w:rsidR="0058377F">
        <w:t>Sabit kur ile yüzde +20,0 ile +30,0 aralığında artış (önceki öngörü: yüzde +15,0 ile +25,0 aralığında artış)</w:t>
      </w:r>
    </w:p>
    <w:p w14:paraId="259F4086" w14:textId="68FEEB8D" w:rsidR="00FF56D1" w:rsidRDefault="0058377F" w:rsidP="00FF56D1">
      <w:pPr>
        <w:pStyle w:val="ListParagraph"/>
        <w:numPr>
          <w:ilvl w:val="0"/>
          <w:numId w:val="7"/>
        </w:numPr>
        <w:spacing w:after="80"/>
        <w:ind w:left="284" w:right="-108" w:hanging="357"/>
        <w:contextualSpacing w:val="0"/>
        <w:jc w:val="left"/>
      </w:pPr>
      <w:r>
        <w:rPr>
          <w:rFonts w:asciiTheme="majorHAnsi" w:hAnsiTheme="majorHAnsi"/>
          <w:b/>
        </w:rPr>
        <w:t xml:space="preserve">Orta ve uzun vadeli mali hedeflere halihazırda orta vadede </w:t>
      </w:r>
      <w:r w:rsidR="00F93DAF">
        <w:rPr>
          <w:rFonts w:asciiTheme="majorHAnsi" w:hAnsiTheme="majorHAnsi"/>
          <w:b/>
        </w:rPr>
        <w:t>ulaşılması bekleniyor.</w:t>
      </w:r>
    </w:p>
    <w:p w14:paraId="7DE4421C" w14:textId="77D9557A" w:rsidR="00B62B2A" w:rsidRDefault="00521891" w:rsidP="005018C2">
      <w:pPr>
        <w:rPr>
          <w:rFonts w:cs="Segoe UI"/>
          <w:szCs w:val="22"/>
        </w:rPr>
      </w:pPr>
      <w:r>
        <w:t>Düsseldorf –</w:t>
      </w:r>
      <w:bookmarkStart w:id="3" w:name="_Hlk109033326"/>
      <w:r>
        <w:t xml:space="preserve"> </w:t>
      </w:r>
      <w:bookmarkEnd w:id="3"/>
      <w:r>
        <w:t xml:space="preserve">Henkel, 2024 yılının ilk yarısında iyi organik satış büyümesi ve </w:t>
      </w:r>
      <w:r w:rsidR="009D6210">
        <w:t xml:space="preserve">süregelen </w:t>
      </w:r>
      <w:r>
        <w:t xml:space="preserve">zorlu ekonomik ortamda çok güçlü </w:t>
      </w:r>
      <w:r w:rsidR="00C476A5">
        <w:t xml:space="preserve">bir </w:t>
      </w:r>
      <w:r>
        <w:t xml:space="preserve">karlılık artışı gerçekleştirdi. Şirket, böylece karlı büyüme çizgisini başarıyla sürdürdü. </w:t>
      </w:r>
      <w:bookmarkEnd w:id="1"/>
      <w:r>
        <w:t xml:space="preserve">"Genel olarak, yılın ilk yarısında çok iyi bir iş performansı </w:t>
      </w:r>
      <w:r w:rsidR="00C476A5">
        <w:t>ortaya koyduk</w:t>
      </w:r>
      <w:r>
        <w:t xml:space="preserve">. Bu da stratejimizde doğru yolda olduğumuzu ve amaca yönelik büyümeye </w:t>
      </w:r>
      <w:r>
        <w:lastRenderedPageBreak/>
        <w:t>odaklanmamızın somut başarı</w:t>
      </w:r>
      <w:r w:rsidR="009D0656">
        <w:t>ları beraberinde</w:t>
      </w:r>
      <w:r>
        <w:t xml:space="preserve"> getirdiğini gösteriyor." şeklinde konuşan Henkel CEO'su Carsten Knobel</w:t>
      </w:r>
      <w:r w:rsidR="009D0656">
        <w:t>,</w:t>
      </w:r>
      <w:r>
        <w:t xml:space="preserve"> sözlerini şöyle sürdürdü: </w:t>
      </w:r>
      <w:r w:rsidR="00B62B2A">
        <w:t>"Yılın ilk yarısında, organik satışlardaki büyüme ve karlılıktaki iyileşme her iki iş birimi</w:t>
      </w:r>
      <w:r w:rsidR="009D0656">
        <w:t>mizin</w:t>
      </w:r>
      <w:r w:rsidR="00B62B2A">
        <w:t xml:space="preserve"> de </w:t>
      </w:r>
      <w:r w:rsidR="009D0656">
        <w:t>katkısıyla gerçekleşti.</w:t>
      </w:r>
      <w:r w:rsidR="00895083">
        <w:t xml:space="preserve"> </w:t>
      </w:r>
      <w:r w:rsidR="00B62B2A">
        <w:t xml:space="preserve">Tüketici iş </w:t>
      </w:r>
      <w:r w:rsidR="009D0656">
        <w:t xml:space="preserve">birimlerimizin </w:t>
      </w:r>
      <w:r w:rsidR="00B62B2A">
        <w:t>birleş</w:t>
      </w:r>
      <w:r w:rsidR="009D0656">
        <w:t>imi</w:t>
      </w:r>
      <w:r w:rsidR="00B62B2A">
        <w:t xml:space="preserve"> başarılı oldu ve stratejik </w:t>
      </w:r>
      <w:r w:rsidR="009D0656">
        <w:t>tedbirlerimizin</w:t>
      </w:r>
      <w:r w:rsidR="00B62B2A">
        <w:t xml:space="preserve"> ve girişimlerimizin uygulanması satışlar, brüt kar marjı ve karlılık gelişimi üzerinde çok olumlu bir etki yarattı. Organizasyon yapısını müşterilerimize daha da yakın hale getirdiğimiz </w:t>
      </w:r>
      <w:r w:rsidR="001601ED">
        <w:t>Y</w:t>
      </w:r>
      <w:r w:rsidR="00B62B2A">
        <w:t xml:space="preserve">apıştırıcı </w:t>
      </w:r>
      <w:r w:rsidR="001601ED">
        <w:t>İ</w:t>
      </w:r>
      <w:r w:rsidR="00B62B2A">
        <w:t xml:space="preserve">ş </w:t>
      </w:r>
      <w:r w:rsidR="001601ED">
        <w:t>B</w:t>
      </w:r>
      <w:r w:rsidR="00FE05D3">
        <w:t>irimi</w:t>
      </w:r>
      <w:r w:rsidR="001601ED">
        <w:t>’</w:t>
      </w:r>
      <w:r w:rsidR="00FE05D3">
        <w:t>nde</w:t>
      </w:r>
      <w:r w:rsidR="00B62B2A">
        <w:t xml:space="preserve"> başlattığımız değişiklikler</w:t>
      </w:r>
      <w:r w:rsidR="001601ED">
        <w:t>,</w:t>
      </w:r>
      <w:r w:rsidR="00B62B2A">
        <w:t xml:space="preserve"> Henkel'in gelişimine önemli ölçüde katkıda </w:t>
      </w:r>
      <w:r w:rsidR="0072777C">
        <w:t>bulu</w:t>
      </w:r>
      <w:r w:rsidR="007471D1">
        <w:t>ndu.</w:t>
      </w:r>
      <w:r w:rsidR="00B62B2A">
        <w:t xml:space="preserve"> Serbest nakit akışımız da 2023'ün ilk yarısındaki </w:t>
      </w:r>
      <w:r w:rsidR="00D84F84">
        <w:t>halihazırda</w:t>
      </w:r>
      <w:r w:rsidR="00B62B2A">
        <w:t xml:space="preserve"> yüksek olan seviyesini aşarak güçlü bir performans sergiledi. Tüm bunlar işimize ve geleceğimize</w:t>
      </w:r>
      <w:r w:rsidR="00EC3771">
        <w:t>;</w:t>
      </w:r>
      <w:r w:rsidR="00B62B2A">
        <w:t xml:space="preserve"> </w:t>
      </w:r>
      <w:r w:rsidR="00EC3771">
        <w:t>diğer bir deyişle</w:t>
      </w:r>
      <w:r w:rsidR="00B62B2A">
        <w:t xml:space="preserve"> markal</w:t>
      </w:r>
      <w:r w:rsidR="00B93BDF">
        <w:t>arımıza, sunduğumuz</w:t>
      </w:r>
      <w:r w:rsidR="00363A3A">
        <w:t xml:space="preserve"> </w:t>
      </w:r>
      <w:r w:rsidR="00B62B2A">
        <w:t>teknolojilere ve yeniliklere daha fazla yatırım yapmamızı sağlıyor. Ayrıca, rekabetçi konumumuzu daha da güçlendirmek için sürdürülebilirlik ve dijitalleşme alanlarında önemli girişimleri hayata geçiriyoruz.</w:t>
      </w:r>
    </w:p>
    <w:p w14:paraId="642A570F" w14:textId="77777777" w:rsidR="00B62B2A" w:rsidRPr="00B62B2A" w:rsidRDefault="00B62B2A" w:rsidP="005018C2">
      <w:pPr>
        <w:rPr>
          <w:rFonts w:cs="Segoe UI"/>
          <w:szCs w:val="22"/>
        </w:rPr>
      </w:pPr>
    </w:p>
    <w:p w14:paraId="068A7763" w14:textId="01069253" w:rsidR="00DC5CDA" w:rsidRPr="00354B07" w:rsidRDefault="00354B07" w:rsidP="00DE6C0E">
      <w:pPr>
        <w:rPr>
          <w:rFonts w:cs="Segoe UI"/>
          <w:szCs w:val="22"/>
        </w:rPr>
      </w:pPr>
      <w:r>
        <w:t>Yılın ilk yarısındaki güçlü iş performansı</w:t>
      </w:r>
      <w:r w:rsidR="00AD2A7E">
        <w:t>nı takiben</w:t>
      </w:r>
      <w:r>
        <w:t xml:space="preserve">, yılın geri kalanı için kendimize güveniyoruz ve bu nedenle Temmuz ortasında 2024 mali yılı için karlılık öngörümüzü yükselttik. </w:t>
      </w:r>
      <w:bookmarkStart w:id="4" w:name="_Hlk173508051"/>
      <w:r>
        <w:t>Söz verdi</w:t>
      </w:r>
      <w:bookmarkEnd w:id="4"/>
      <w:r w:rsidR="00436BD9">
        <w:t>klerimizi</w:t>
      </w:r>
      <w:r>
        <w:t xml:space="preserve"> yerine getiriyoruz ve daha fazla karlı büyüme için doğru yoldayız</w:t>
      </w:r>
      <w:r w:rsidR="00DD4E1A">
        <w:t>.</w:t>
      </w:r>
      <w:r>
        <w:t xml:space="preserve"> Bu aynı zamanda orta ve uzun vadeli finansal hedeflerimizde yaptığımız </w:t>
      </w:r>
      <w:r w:rsidR="00FF5ADC">
        <w:t xml:space="preserve">düzeltmelere de </w:t>
      </w:r>
      <w:r>
        <w:t xml:space="preserve">yansımaktadır: </w:t>
      </w:r>
      <w:r w:rsidR="003A5B7B">
        <w:t>O</w:t>
      </w:r>
      <w:r>
        <w:t>rta vadede satış ve karlılık hedeflerimize ulaşacağımız</w:t>
      </w:r>
      <w:r w:rsidR="00FF5ADC">
        <w:t>a</w:t>
      </w:r>
      <w:r>
        <w:t xml:space="preserve"> şimdiden eminiz."</w:t>
      </w:r>
    </w:p>
    <w:p w14:paraId="1F73CADD" w14:textId="77777777" w:rsidR="00033476" w:rsidRPr="00354B07" w:rsidRDefault="00033476" w:rsidP="00033476">
      <w:pPr>
        <w:rPr>
          <w:rFonts w:cs="Segoe UI"/>
          <w:szCs w:val="22"/>
        </w:rPr>
      </w:pPr>
    </w:p>
    <w:p w14:paraId="383A3F60" w14:textId="0CEED235" w:rsidR="00033476" w:rsidRPr="00E61A7F" w:rsidRDefault="009D3E2E" w:rsidP="00033476">
      <w:pPr>
        <w:spacing w:after="120"/>
        <w:ind w:right="-108"/>
        <w:jc w:val="left"/>
        <w:rPr>
          <w:rFonts w:cs="Segoe UI"/>
          <w:b/>
          <w:bCs/>
          <w:szCs w:val="22"/>
        </w:rPr>
      </w:pPr>
      <w:r>
        <w:rPr>
          <w:b/>
        </w:rPr>
        <w:t>2024 Mali Yılı İçin Öngörü</w:t>
      </w:r>
    </w:p>
    <w:p w14:paraId="2FA16D84" w14:textId="49E8D1FA" w:rsidR="00DE6C0E" w:rsidRPr="00E61A7F" w:rsidRDefault="00E61A7F" w:rsidP="00DE6C0E">
      <w:pPr>
        <w:rPr>
          <w:rFonts w:cs="Segoe UI"/>
          <w:szCs w:val="22"/>
        </w:rPr>
      </w:pPr>
      <w:r>
        <w:t xml:space="preserve">İçinde bulunduğumuz mali yıl için 3 Mayıs 2024 tarihinde güncellenen öngörü, 17 Temmuz'da karlılık beklentisine yönelik olarak yükseltildi. Bunun başlıca nedeni, Tüketici Markaları İş Birimi'ndeki daha yüksek kar beklentileri ve aynı zamanda şirketin </w:t>
      </w:r>
      <w:r w:rsidR="0014298B">
        <w:t xml:space="preserve">inovasyonları </w:t>
      </w:r>
      <w:r>
        <w:t xml:space="preserve">desteklemek amacıyla pazarlama </w:t>
      </w:r>
      <w:r w:rsidR="00CA23DC">
        <w:t xml:space="preserve">alanında </w:t>
      </w:r>
      <w:r>
        <w:t>yaptığı yatırımları artırmasıdır. Öngörü, yılın ikinci yarısında doğrudan malzemelere dair daha yüksek fiyat beklentisini dikkate almaya devam ediyor. Henkel</w:t>
      </w:r>
      <w:r w:rsidR="00CA23DC">
        <w:t xml:space="preserve"> an itibarıyla</w:t>
      </w:r>
      <w:r>
        <w:t>, 2024 mali yılı için aşağıdaki satış ve karlılık gelişimini beklemektedir:</w:t>
      </w:r>
    </w:p>
    <w:p w14:paraId="7CD8C817" w14:textId="77777777" w:rsidR="000D738C" w:rsidRPr="00582400" w:rsidRDefault="000D738C" w:rsidP="00B81A6C">
      <w:pPr>
        <w:rPr>
          <w:rFonts w:cs="Segoe UI"/>
          <w:szCs w:val="22"/>
        </w:rPr>
      </w:pPr>
    </w:p>
    <w:p w14:paraId="73F4AEC5" w14:textId="2BF9625D" w:rsidR="001D53D7" w:rsidRPr="00582400" w:rsidRDefault="00E61A7F" w:rsidP="001D53D7">
      <w:r w:rsidRPr="00582400">
        <w:t xml:space="preserve">Henkel, 2024 mali yılında Grup düzeyinde </w:t>
      </w:r>
      <w:r w:rsidRPr="00582400">
        <w:rPr>
          <w:b/>
          <w:bCs/>
        </w:rPr>
        <w:t>organik satış büyümesini</w:t>
      </w:r>
      <w:r w:rsidR="00487002" w:rsidRPr="00582400">
        <w:rPr>
          <w:b/>
          <w:bCs/>
        </w:rPr>
        <w:t>n</w:t>
      </w:r>
      <w:r w:rsidRPr="00582400">
        <w:t xml:space="preserve"> yüzde 2,5 ile 4,5 ara</w:t>
      </w:r>
      <w:r w:rsidR="00D76C2B" w:rsidRPr="00582400">
        <w:t>lığında</w:t>
      </w:r>
      <w:r w:rsidRPr="00582400">
        <w:t xml:space="preserve"> </w:t>
      </w:r>
      <w:r w:rsidR="00487002" w:rsidRPr="00582400">
        <w:t xml:space="preserve">olmasını </w:t>
      </w:r>
      <w:r w:rsidRPr="00582400">
        <w:t xml:space="preserve">beklemeye devam ediyor. Yapıştırıcı Teknolojileri İş Birimi için organik satış büyümesinin hala yüzde 2,0 ile 4,0 aralığında, Tüketici Markaları İş Birimi için ise yüzde 3,0 ile 5,0 aralığında gerçekleşmesi bekleniyor. </w:t>
      </w:r>
      <w:r w:rsidRPr="00582400">
        <w:rPr>
          <w:b/>
          <w:bCs/>
        </w:rPr>
        <w:t xml:space="preserve">Düzeltilmiş satış kazancının </w:t>
      </w:r>
      <w:r w:rsidRPr="00582400">
        <w:rPr>
          <w:bCs/>
        </w:rPr>
        <w:t>(V</w:t>
      </w:r>
      <w:r w:rsidR="00D76C2B" w:rsidRPr="00582400">
        <w:rPr>
          <w:bCs/>
        </w:rPr>
        <w:t>F</w:t>
      </w:r>
      <w:r w:rsidRPr="00582400">
        <w:rPr>
          <w:bCs/>
        </w:rPr>
        <w:t>ÖK marjı)</w:t>
      </w:r>
      <w:r w:rsidRPr="00582400">
        <w:t xml:space="preserve"> yüzde 13,5 ile yüzde 14,5 aralığında gerçekleşmesi bekleniyor. (önceki öngörü: yüzde 13,0 </w:t>
      </w:r>
      <w:r w:rsidR="00D76C2B" w:rsidRPr="00582400">
        <w:t>ile</w:t>
      </w:r>
      <w:r w:rsidRPr="00582400">
        <w:t xml:space="preserve"> 14,0 aralığında). Yapıştırıcı Teknolojileri İş Birimi’nde düzeltilmiş satış kazancının </w:t>
      </w:r>
      <w:r w:rsidR="00D76C2B" w:rsidRPr="00582400">
        <w:t xml:space="preserve">hala </w:t>
      </w:r>
      <w:r w:rsidRPr="00582400">
        <w:t xml:space="preserve">yüzde 16,0 ile 17,0 aralığında </w:t>
      </w:r>
      <w:r w:rsidR="00D76C2B" w:rsidRPr="00582400">
        <w:t xml:space="preserve">olması </w:t>
      </w:r>
      <w:r w:rsidR="00E0409D" w:rsidRPr="00582400">
        <w:t xml:space="preserve"> </w:t>
      </w:r>
      <w:r w:rsidRPr="00582400">
        <w:t>bekleniyor.</w:t>
      </w:r>
      <w:r w:rsidR="00D76C2B" w:rsidRPr="00582400">
        <w:t xml:space="preserve"> </w:t>
      </w:r>
      <w:r w:rsidRPr="00582400">
        <w:t xml:space="preserve">Tüketici Markaları İş Birimi’nde ise düzeltilmiş satış kazancının </w:t>
      </w:r>
      <w:r w:rsidR="00E119AA" w:rsidRPr="00582400">
        <w:t xml:space="preserve">artık </w:t>
      </w:r>
      <w:r w:rsidRPr="00582400">
        <w:t xml:space="preserve">yüzde 13,0 ile 14,0 aralığında gerçekleşmesi bekleniyor (önceki öngörü: yüzde 12,0 </w:t>
      </w:r>
      <w:r w:rsidR="00D76C2B" w:rsidRPr="00582400">
        <w:t>ile</w:t>
      </w:r>
      <w:r w:rsidRPr="00582400">
        <w:t xml:space="preserve"> 13,0 aralığında). Henkel</w:t>
      </w:r>
      <w:r w:rsidR="00190F35" w:rsidRPr="00582400">
        <w:t xml:space="preserve">, </w:t>
      </w:r>
      <w:r w:rsidRPr="00582400">
        <w:rPr>
          <w:b/>
          <w:bCs/>
        </w:rPr>
        <w:t>imtiyazlı</w:t>
      </w:r>
      <w:r w:rsidRPr="00582400">
        <w:t xml:space="preserve"> </w:t>
      </w:r>
      <w:r w:rsidRPr="00582400">
        <w:rPr>
          <w:b/>
        </w:rPr>
        <w:t>hisse senedi başına karlılık (EPS)</w:t>
      </w:r>
      <w:r w:rsidRPr="00582400">
        <w:t xml:space="preserve"> için</w:t>
      </w:r>
      <w:r w:rsidR="00190F35" w:rsidRPr="00582400">
        <w:t>,</w:t>
      </w:r>
      <w:r w:rsidRPr="00582400">
        <w:t xml:space="preserve"> sabit kur ile </w:t>
      </w:r>
      <w:r w:rsidR="00E119AA" w:rsidRPr="00582400">
        <w:t xml:space="preserve">artık </w:t>
      </w:r>
      <w:r w:rsidRPr="00582400">
        <w:t>yüzde +20,0 ile +30,0 aralığında artış olmasını bekliyor (önceki öngörü: yüzde +15,0 ile +25,0 aralığında).</w:t>
      </w:r>
    </w:p>
    <w:p w14:paraId="6C3E85E2" w14:textId="77777777" w:rsidR="005569F4" w:rsidRDefault="005569F4" w:rsidP="001D53D7">
      <w:pPr>
        <w:rPr>
          <w:rFonts w:cs="Segoe UI"/>
          <w:szCs w:val="22"/>
        </w:rPr>
      </w:pPr>
    </w:p>
    <w:p w14:paraId="5988F815" w14:textId="07521B79" w:rsidR="00E61A7F" w:rsidRPr="001D53D7" w:rsidRDefault="00E61A7F" w:rsidP="001D53D7">
      <w:pPr>
        <w:rPr>
          <w:rFonts w:cs="Segoe UI"/>
          <w:szCs w:val="22"/>
        </w:rPr>
      </w:pPr>
      <w:r>
        <w:rPr>
          <w:b/>
        </w:rPr>
        <w:t>2024’ün İlk Yarısında Satış ve Karlılık Gelişimi</w:t>
      </w:r>
    </w:p>
    <w:p w14:paraId="6E31627B" w14:textId="0FE3DF8F" w:rsidR="000B31E4" w:rsidRDefault="000B31E4" w:rsidP="000B31E4">
      <w:pPr>
        <w:rPr>
          <w:rFonts w:cs="Segoe UI"/>
          <w:szCs w:val="22"/>
        </w:rPr>
      </w:pPr>
      <w:r>
        <w:t xml:space="preserve">Zorlu piyasa koşullarının devam ettiği bir ortamda Henkel, 2024 yılının ilk yarısında </w:t>
      </w:r>
      <w:r w:rsidR="00E74988">
        <w:t xml:space="preserve">                        </w:t>
      </w:r>
      <w:r>
        <w:t xml:space="preserve">yüzde -1,0'lik nominal bir değişime karşılık gelen 10,813 milyar Euro'luk </w:t>
      </w:r>
      <w:r>
        <w:rPr>
          <w:b/>
          <w:bCs/>
        </w:rPr>
        <w:t>Grup satış</w:t>
      </w:r>
      <w:r>
        <w:t xml:space="preserve"> </w:t>
      </w:r>
      <w:r w:rsidR="005569F4">
        <w:t>düzeyi</w:t>
      </w:r>
      <w:r w:rsidR="00E74988">
        <w:t xml:space="preserve"> </w:t>
      </w:r>
      <w:r>
        <w:t>yakaladı. Önceki çeyreklerde nominal satış değişiminin Rusya'daki ticari faaliyetlerin elden çıkarılması</w:t>
      </w:r>
      <w:r w:rsidR="005569F4">
        <w:t xml:space="preserve"> sebebiyle</w:t>
      </w:r>
      <w:r>
        <w:t xml:space="preserve"> olumsuz etkilenmesinin ardından Henkel, 2024'ün ikinci çeyreğinde yeniden nominal satış büyümesi elde </w:t>
      </w:r>
      <w:r w:rsidR="00983309">
        <w:t>etti</w:t>
      </w:r>
      <w:r>
        <w:t xml:space="preserve"> (2. Çeyrek: 5,496 milyar Euro, yüzde +3,4</w:t>
      </w:r>
      <w:r w:rsidR="005569F4">
        <w:t xml:space="preserve"> artış</w:t>
      </w:r>
      <w:r>
        <w:t xml:space="preserve">). </w:t>
      </w:r>
      <w:r w:rsidR="00531165">
        <w:t>Döviz k</w:t>
      </w:r>
      <w:r>
        <w:t>ur</w:t>
      </w:r>
      <w:r w:rsidR="005569F4">
        <w:t>larının</w:t>
      </w:r>
      <w:r>
        <w:t xml:space="preserve"> etkileri, satışları yüzde -1,9 oranında azalttı (2. Çeyrek: Yüzde +0</w:t>
      </w:r>
      <w:r w:rsidR="005569F4">
        <w:t>,</w:t>
      </w:r>
      <w:r>
        <w:t>2). Satın alma ve elden çıkarmalar ise satışları yüzde -2,1 oranında azalttı (2. Çeyrek: Yüzde +0,3). Rusya'daki faaliyetlerin Nisan 2023'te</w:t>
      </w:r>
      <w:r w:rsidR="00B66931">
        <w:t xml:space="preserve"> </w:t>
      </w:r>
      <w:r w:rsidR="00D2118D">
        <w:t>elden çıkarılması</w:t>
      </w:r>
      <w:r>
        <w:t xml:space="preserve"> olumsuz bir etki yaratırken, her iki iş biriminde yakın zamanda tamamlanan satın almalar (Seal for Life ve Vidal Sassoon) olumlu yönde katkıda bulundu. </w:t>
      </w:r>
      <w:r>
        <w:rPr>
          <w:b/>
          <w:bCs/>
        </w:rPr>
        <w:t>Organik</w:t>
      </w:r>
      <w:r>
        <w:t xml:space="preserve"> - </w:t>
      </w:r>
      <w:r w:rsidR="005569F4">
        <w:t xml:space="preserve">döviz </w:t>
      </w:r>
      <w:r>
        <w:t>kur</w:t>
      </w:r>
      <w:r w:rsidR="005569F4">
        <w:t>ları</w:t>
      </w:r>
      <w:r>
        <w:t xml:space="preserve"> ve satın alma/elden çıkarmalara göre düzeltilmiş - olarak Henkel, yüzde 2,9'luk iyi bir satış büyümesi elde etti (2. Çeyrek: Yüzde +2,8)</w:t>
      </w:r>
      <w:r w:rsidR="005569F4">
        <w:t>.</w:t>
      </w:r>
    </w:p>
    <w:p w14:paraId="371F28DF" w14:textId="77777777" w:rsidR="000B31E4" w:rsidRDefault="000B31E4" w:rsidP="000B31E4">
      <w:pPr>
        <w:rPr>
          <w:rFonts w:cs="Segoe UI"/>
          <w:szCs w:val="22"/>
        </w:rPr>
      </w:pPr>
    </w:p>
    <w:p w14:paraId="4131D5F6" w14:textId="2CC28585" w:rsidR="00DC5CDA" w:rsidRPr="00144DD5" w:rsidRDefault="002B35E0" w:rsidP="00DC5CDA">
      <w:pPr>
        <w:rPr>
          <w:rFonts w:cs="Segoe UI"/>
          <w:szCs w:val="22"/>
        </w:rPr>
      </w:pPr>
      <w:r>
        <w:rPr>
          <w:b/>
          <w:bCs/>
        </w:rPr>
        <w:t>Yapıştırıcı Teknolojileri</w:t>
      </w:r>
      <w:r>
        <w:t xml:space="preserve"> İş Birimi, 2024 yılının ilk yarısında Mobilite ve Elektronik ile Nalburiye, İnşaat ve Profesyonel iş </w:t>
      </w:r>
      <w:r w:rsidR="00D812EE">
        <w:t>alanlarının</w:t>
      </w:r>
      <w:r>
        <w:t xml:space="preserve"> </w:t>
      </w:r>
      <w:r w:rsidR="00D812EE">
        <w:t>katkısıyla</w:t>
      </w:r>
      <w:r>
        <w:t xml:space="preserve"> yüzde 2,0 oranında iyi bir organik satış büyümesi sağladı (2. Çeyrek: Yüzde +2,6). </w:t>
      </w:r>
      <w:r>
        <w:rPr>
          <w:b/>
          <w:bCs/>
        </w:rPr>
        <w:t>Tüketici Markaları</w:t>
      </w:r>
      <w:r>
        <w:t xml:space="preserve"> İş Birimi, tüm iş alanlarının katkıda bulunmasıyla yüzde 4,3 oranında çok güçlü organik satış büyümesi gerçekleştirdi (2. Çeyrek:  Yüzde +3,3). Her iki iş birimindeki satış büyümesi, pozitif fiyat </w:t>
      </w:r>
      <w:r w:rsidR="007D5DE7">
        <w:t>gelişimiyle</w:t>
      </w:r>
      <w:r>
        <w:t xml:space="preserve"> desteklendi. Grup düzeyinde, Tüketici Markalarındaki portföy </w:t>
      </w:r>
      <w:r w:rsidR="00D812EE">
        <w:t>tedbirlerinden</w:t>
      </w:r>
      <w:r>
        <w:t xml:space="preserve"> etkilenmeye devam eden </w:t>
      </w:r>
      <w:r w:rsidR="002209AC">
        <w:t>miktar</w:t>
      </w:r>
      <w:r>
        <w:t xml:space="preserve"> gelişim</w:t>
      </w:r>
      <w:r w:rsidR="00D812EE">
        <w:t>i</w:t>
      </w:r>
      <w:r>
        <w:t>, hem 2023'ün ilk yarısına</w:t>
      </w:r>
      <w:r w:rsidR="004910D2">
        <w:t>,</w:t>
      </w:r>
      <w:r>
        <w:t xml:space="preserve"> hem de </w:t>
      </w:r>
      <w:r w:rsidR="004910D2">
        <w:t xml:space="preserve">sürekli bir iyileşme göstererek geride bıraktığı </w:t>
      </w:r>
      <w:r>
        <w:t xml:space="preserve">2024'ün ilk çeyreğine kıyasla hafif pozitif bir trend sergiledi. </w:t>
      </w:r>
    </w:p>
    <w:p w14:paraId="7BAD4C7B" w14:textId="77777777" w:rsidR="00033476" w:rsidRPr="00144DD5" w:rsidRDefault="00033476" w:rsidP="00033476">
      <w:pPr>
        <w:rPr>
          <w:rFonts w:cs="Segoe UI"/>
          <w:szCs w:val="22"/>
          <w:highlight w:val="yellow"/>
        </w:rPr>
      </w:pPr>
    </w:p>
    <w:p w14:paraId="3E184C96" w14:textId="4127226E" w:rsidR="00483617" w:rsidRDefault="00483617" w:rsidP="00033476">
      <w:pPr>
        <w:rPr>
          <w:rFonts w:cs="Segoe UI"/>
          <w:szCs w:val="22"/>
        </w:rPr>
      </w:pPr>
      <w:r>
        <w:t xml:space="preserve">Yılın ilk yarısında, </w:t>
      </w:r>
      <w:r>
        <w:rPr>
          <w:b/>
          <w:bCs/>
        </w:rPr>
        <w:t>Avrupa</w:t>
      </w:r>
      <w:r>
        <w:t xml:space="preserve"> bölgesindeki organik satış büyümesi yüzde 1,8 oranında gerçekleşti (2. Çeyrek: Yüzde +1,2). Henkel, </w:t>
      </w:r>
      <w:r>
        <w:rPr>
          <w:b/>
          <w:bCs/>
        </w:rPr>
        <w:t>IMEA</w:t>
      </w:r>
      <w:r>
        <w:t xml:space="preserve"> bölgesinde yüzde 21,0 oranında çift haneli önemli bir organik satış büyümesi elde etti (2. Çeyrek: Yüzde +13,7). </w:t>
      </w:r>
      <w:bookmarkStart w:id="5" w:name="_Hlk175837924"/>
      <w:r>
        <w:rPr>
          <w:b/>
          <w:bCs/>
        </w:rPr>
        <w:t>Kuzey Amerika</w:t>
      </w:r>
      <w:r>
        <w:t xml:space="preserve"> bölgesi yüzde -1,6 oranında organik satış </w:t>
      </w:r>
      <w:r w:rsidR="00F16DB0">
        <w:t xml:space="preserve">değişimi </w:t>
      </w:r>
      <w:r>
        <w:t xml:space="preserve">kaydetti (2. Çeyrek: Yüzde -0,2). </w:t>
      </w:r>
      <w:bookmarkEnd w:id="5"/>
      <w:r>
        <w:rPr>
          <w:b/>
          <w:bCs/>
        </w:rPr>
        <w:t>Latin Amerika</w:t>
      </w:r>
      <w:r>
        <w:t xml:space="preserve"> bölgesi</w:t>
      </w:r>
      <w:r w:rsidR="0031722C">
        <w:t xml:space="preserve">nde organik satışlar </w:t>
      </w:r>
      <w:r>
        <w:t>yüzde 0,0 oranı</w:t>
      </w:r>
      <w:r w:rsidR="0031722C">
        <w:t xml:space="preserve"> ile</w:t>
      </w:r>
      <w:r>
        <w:t xml:space="preserve"> yatay</w:t>
      </w:r>
      <w:r w:rsidR="0031722C">
        <w:t xml:space="preserve"> seyretti </w:t>
      </w:r>
      <w:r>
        <w:t xml:space="preserve">(2. Çeyrek: Yüzde +2,7). </w:t>
      </w:r>
      <w:r>
        <w:rPr>
          <w:b/>
          <w:bCs/>
        </w:rPr>
        <w:t>Asya/Pasifik</w:t>
      </w:r>
      <w:r>
        <w:t xml:space="preserve"> bölgesi yüzde 5,5 oranında organik satış büyümesi gerçekleştirdi (2. Çeyrek: Yüzde +7,5). </w:t>
      </w:r>
    </w:p>
    <w:p w14:paraId="56B7EA49" w14:textId="77777777" w:rsidR="00E67B4F" w:rsidRPr="003F11AB" w:rsidRDefault="00E67B4F" w:rsidP="00033476">
      <w:pPr>
        <w:rPr>
          <w:rFonts w:cs="Segoe UI"/>
          <w:bCs/>
          <w:szCs w:val="22"/>
        </w:rPr>
      </w:pPr>
    </w:p>
    <w:p w14:paraId="498F94F2" w14:textId="24F4067C" w:rsidR="002B35E0" w:rsidRDefault="002B35E0" w:rsidP="00033476">
      <w:pPr>
        <w:rPr>
          <w:rFonts w:cs="Segoe UI"/>
          <w:bCs/>
          <w:szCs w:val="22"/>
        </w:rPr>
      </w:pPr>
      <w:r>
        <w:rPr>
          <w:b/>
          <w:bCs/>
        </w:rPr>
        <w:t>Düzeltilmiş faaliyet karı (düzeltilmiş V</w:t>
      </w:r>
      <w:r w:rsidR="00F16DB0">
        <w:rPr>
          <w:b/>
          <w:bCs/>
        </w:rPr>
        <w:t>F</w:t>
      </w:r>
      <w:r>
        <w:rPr>
          <w:b/>
          <w:bCs/>
        </w:rPr>
        <w:t>ÖK)</w:t>
      </w:r>
      <w:r>
        <w:t xml:space="preserve">, özellikle brüt kar marjındaki güçlü artışın bir sonucu olarak, 2023'ün ilk yarısındaki 1,254 milyar Euro'dan yüzde 28,4 oranında önemli bir artışla 1,610 milyar Euro'ya yükseldi. </w:t>
      </w:r>
    </w:p>
    <w:p w14:paraId="75C429F8" w14:textId="77777777" w:rsidR="002B35E0" w:rsidRDefault="002B35E0" w:rsidP="00033476">
      <w:pPr>
        <w:rPr>
          <w:rFonts w:cs="Segoe UI"/>
          <w:bCs/>
          <w:szCs w:val="22"/>
        </w:rPr>
      </w:pPr>
    </w:p>
    <w:p w14:paraId="27213617" w14:textId="2D668498" w:rsidR="002B35E0" w:rsidRDefault="002B35E0" w:rsidP="00033476">
      <w:pPr>
        <w:rPr>
          <w:rFonts w:cs="Segoe UI"/>
          <w:bCs/>
          <w:szCs w:val="22"/>
        </w:rPr>
      </w:pPr>
      <w:r>
        <w:t xml:space="preserve">Henkel Grubu'nun </w:t>
      </w:r>
      <w:r>
        <w:rPr>
          <w:b/>
          <w:bCs/>
        </w:rPr>
        <w:t>düzeltilmiş satış kazancı (düzeltilmiş V</w:t>
      </w:r>
      <w:r w:rsidR="0031722C">
        <w:rPr>
          <w:b/>
          <w:bCs/>
        </w:rPr>
        <w:t>F</w:t>
      </w:r>
      <w:r>
        <w:rPr>
          <w:b/>
          <w:bCs/>
        </w:rPr>
        <w:t>ÖK marjı)</w:t>
      </w:r>
      <w:r>
        <w:t xml:space="preserve"> bunun sonucunda 340 baz puanlık çok güçlü bir artış kaydederek yüzde 11,5 </w:t>
      </w:r>
      <w:r w:rsidR="0031722C">
        <w:t>seviyesinden</w:t>
      </w:r>
      <w:r>
        <w:t xml:space="preserve"> yüzde 14,9 </w:t>
      </w:r>
      <w:r w:rsidR="0031722C">
        <w:t>seviyesine</w:t>
      </w:r>
      <w:r>
        <w:t xml:space="preserve"> çıktı.</w:t>
      </w:r>
    </w:p>
    <w:p w14:paraId="0504B383" w14:textId="77777777" w:rsidR="000B31E4" w:rsidRDefault="000B31E4" w:rsidP="00033476">
      <w:pPr>
        <w:rPr>
          <w:rFonts w:cs="Segoe UI"/>
          <w:b/>
          <w:szCs w:val="22"/>
        </w:rPr>
      </w:pPr>
    </w:p>
    <w:p w14:paraId="6584EC9F" w14:textId="77777777" w:rsidR="00B80C2B" w:rsidRDefault="00B80C2B" w:rsidP="00033476">
      <w:pPr>
        <w:rPr>
          <w:b/>
        </w:rPr>
      </w:pPr>
    </w:p>
    <w:p w14:paraId="4BB67E6C" w14:textId="3D3B5032" w:rsidR="006823EE" w:rsidRPr="000B31E4" w:rsidRDefault="002B35E0" w:rsidP="00033476">
      <w:pPr>
        <w:rPr>
          <w:rFonts w:cs="Segoe UI"/>
          <w:bCs/>
          <w:szCs w:val="22"/>
        </w:rPr>
      </w:pPr>
      <w:r>
        <w:rPr>
          <w:b/>
        </w:rPr>
        <w:lastRenderedPageBreak/>
        <w:t>İmtiyazlı hisse senedi başına karlılık</w:t>
      </w:r>
      <w:r>
        <w:t xml:space="preserve"> önemli bir artış göstererek 2,46 Euro’ya ulaştı (bir önceki yıl: 1,35 Euro). </w:t>
      </w:r>
      <w:r w:rsidR="00572A23">
        <w:t>İ</w:t>
      </w:r>
      <w:r>
        <w:t xml:space="preserve">mtiyazlı hisse </w:t>
      </w:r>
      <w:r w:rsidR="00CD2D95">
        <w:t xml:space="preserve">senedi </w:t>
      </w:r>
      <w:r>
        <w:t>başına karlılık bir önceki yılın 2,13 Euro'luk değerine kıyasla yüzde 30,5 oranında büyüyerek 2,78 Euro'ya yükseldi. Bu önemli artış, özellikle düzeltilmiş faaliyet karındaki artıştan kaynaklandı. Sabit kur ile imtiyazlı hisse senedi başına karlılık, yüzde 32,9 gibi net bir çift haneli oranda artış gösterdi.</w:t>
      </w:r>
    </w:p>
    <w:p w14:paraId="4117A15C" w14:textId="77777777" w:rsidR="005018C2" w:rsidRPr="000B31E4" w:rsidRDefault="005018C2" w:rsidP="00033476">
      <w:pPr>
        <w:rPr>
          <w:rFonts w:cs="Segoe UI"/>
          <w:szCs w:val="22"/>
        </w:rPr>
      </w:pPr>
    </w:p>
    <w:p w14:paraId="3291D73E" w14:textId="0503C3B6" w:rsidR="00033476" w:rsidRPr="003F11AB" w:rsidRDefault="000B31E4" w:rsidP="00033476">
      <w:pPr>
        <w:rPr>
          <w:rFonts w:cs="Segoe UI"/>
          <w:szCs w:val="22"/>
        </w:rPr>
      </w:pPr>
      <w:r>
        <w:rPr>
          <w:b/>
          <w:bCs/>
        </w:rPr>
        <w:t>Net işletme sermayesi</w:t>
      </w:r>
      <w:r>
        <w:t xml:space="preserve">, önceki yıla kıyasla 0,9 </w:t>
      </w:r>
      <w:r w:rsidR="00CD2D95">
        <w:t xml:space="preserve">yüzde </w:t>
      </w:r>
      <w:r>
        <w:t>puan</w:t>
      </w:r>
      <w:r w:rsidR="00CD2D95">
        <w:t>ı</w:t>
      </w:r>
      <w:r>
        <w:t xml:space="preserve"> azalarak</w:t>
      </w:r>
      <w:r w:rsidR="00C56CE9">
        <w:t>,</w:t>
      </w:r>
      <w:r>
        <w:t xml:space="preserve"> yüzde 6,1 seviyesinden yüzde 5,2 </w:t>
      </w:r>
      <w:r w:rsidR="0087134C">
        <w:t>seviyesine</w:t>
      </w:r>
      <w:r>
        <w:t xml:space="preserve"> geriledi.</w:t>
      </w:r>
    </w:p>
    <w:p w14:paraId="1FFB4343" w14:textId="77777777" w:rsidR="00033476" w:rsidRPr="003F11AB" w:rsidRDefault="00033476" w:rsidP="00033476">
      <w:pPr>
        <w:rPr>
          <w:rFonts w:cs="Segoe UI"/>
          <w:szCs w:val="22"/>
          <w:highlight w:val="yellow"/>
        </w:rPr>
      </w:pPr>
    </w:p>
    <w:p w14:paraId="63418D73" w14:textId="28841F35" w:rsidR="00B33C35" w:rsidRPr="003F11AB" w:rsidRDefault="00E843A4" w:rsidP="00B33C35">
      <w:pPr>
        <w:autoSpaceDE w:val="0"/>
        <w:autoSpaceDN w:val="0"/>
        <w:adjustRightInd w:val="0"/>
      </w:pPr>
      <w:r>
        <w:rPr>
          <w:b/>
          <w:bCs/>
        </w:rPr>
        <w:t>Serbest nakit akışı</w:t>
      </w:r>
      <w:r>
        <w:t xml:space="preserve"> 772 mily</w:t>
      </w:r>
      <w:r w:rsidR="0087134C">
        <w:t>on</w:t>
      </w:r>
      <w:r>
        <w:t xml:space="preserve"> Euro'ya ulaştı ve böylece 2023'ün ilk yarısından (749 mily</w:t>
      </w:r>
      <w:r w:rsidR="0087134C">
        <w:t>on</w:t>
      </w:r>
      <w:r>
        <w:t xml:space="preserve"> Euro) daha yüksek bir seviyede gerçekleşti. Bu durum, esas olarak işletme faaliyetlerinden elde edilen daha yüksek nakit akışından kaynaklandı. </w:t>
      </w:r>
    </w:p>
    <w:p w14:paraId="6D917835" w14:textId="77777777" w:rsidR="00033476" w:rsidRPr="003F11AB" w:rsidRDefault="00033476" w:rsidP="00033476">
      <w:pPr>
        <w:autoSpaceDE w:val="0"/>
        <w:autoSpaceDN w:val="0"/>
        <w:adjustRightInd w:val="0"/>
        <w:rPr>
          <w:rFonts w:cs="Segoe UI"/>
          <w:szCs w:val="22"/>
          <w:highlight w:val="yellow"/>
        </w:rPr>
      </w:pPr>
    </w:p>
    <w:p w14:paraId="7063C506" w14:textId="458E43C7" w:rsidR="00E843A4" w:rsidRPr="00E843A4" w:rsidRDefault="00E843A4" w:rsidP="00E843A4">
      <w:pPr>
        <w:rPr>
          <w:rFonts w:cs="Segoe UI"/>
          <w:szCs w:val="22"/>
        </w:rPr>
      </w:pPr>
      <w:r>
        <w:t xml:space="preserve">30 Haziran 2024 itibarıyla </w:t>
      </w:r>
      <w:r>
        <w:rPr>
          <w:b/>
          <w:bCs/>
        </w:rPr>
        <w:t>net mali durum</w:t>
      </w:r>
      <w:r>
        <w:t xml:space="preserve"> -1,440 milyar Euro'dur (31 Aralık 2023: 12 mily</w:t>
      </w:r>
      <w:r w:rsidR="00575808">
        <w:t>on</w:t>
      </w:r>
      <w:r>
        <w:t xml:space="preserve"> Euro).</w:t>
      </w:r>
    </w:p>
    <w:p w14:paraId="7DBD33CF" w14:textId="77777777" w:rsidR="00033476" w:rsidRPr="003F11AB" w:rsidRDefault="00033476" w:rsidP="00033476">
      <w:pPr>
        <w:spacing w:line="240" w:lineRule="auto"/>
        <w:jc w:val="left"/>
        <w:rPr>
          <w:rFonts w:cs="Segoe UI"/>
          <w:color w:val="3B3B3B"/>
          <w:shd w:val="clear" w:color="auto" w:fill="FFFFFF"/>
        </w:rPr>
      </w:pPr>
    </w:p>
    <w:p w14:paraId="5683DF1E" w14:textId="7FDDCD46" w:rsidR="00033476" w:rsidRPr="003F11AB" w:rsidRDefault="003F11AB" w:rsidP="00033476">
      <w:pPr>
        <w:spacing w:after="120"/>
        <w:rPr>
          <w:rFonts w:cs="Segoe UI"/>
          <w:b/>
          <w:bCs/>
          <w:szCs w:val="22"/>
          <w:highlight w:val="yellow"/>
        </w:rPr>
      </w:pPr>
      <w:r>
        <w:rPr>
          <w:b/>
        </w:rPr>
        <w:t>2024'ün İlk Yarısında İş Birimlerindeki Gelişmeler</w:t>
      </w:r>
    </w:p>
    <w:p w14:paraId="65DE810D" w14:textId="06C59631" w:rsidR="00266359" w:rsidRPr="003F11AB" w:rsidRDefault="003B2EAB" w:rsidP="00033476">
      <w:pPr>
        <w:rPr>
          <w:rFonts w:cs="Segoe UI"/>
          <w:bCs/>
          <w:szCs w:val="22"/>
        </w:rPr>
      </w:pPr>
      <w:bookmarkStart w:id="6" w:name="SNAMD_dc825768bfb2420dbdc0e075b6c733f3"/>
      <w:bookmarkStart w:id="7" w:name="SNERR_085cbfa1dc5245baabab2f6ce609ab4b"/>
      <w:r>
        <w:rPr>
          <w:b/>
          <w:bCs/>
          <w:color w:val="000000" w:themeColor="text1"/>
        </w:rPr>
        <w:t>Yapıştırıcı Teknolojileri</w:t>
      </w:r>
      <w:r>
        <w:rPr>
          <w:color w:val="000000" w:themeColor="text1"/>
        </w:rPr>
        <w:t xml:space="preserve"> İş Birimi, 2024'ün ilk yarısında</w:t>
      </w:r>
      <w:r w:rsidR="00CF7AFD">
        <w:rPr>
          <w:color w:val="000000" w:themeColor="text1"/>
        </w:rPr>
        <w:t>, önceki yılın aynı dönemi ile nominal olarak aynı seviyede</w:t>
      </w:r>
      <w:r>
        <w:rPr>
          <w:color w:val="000000" w:themeColor="text1"/>
        </w:rPr>
        <w:t xml:space="preserve"> 5,475 milyar Euro tutarında </w:t>
      </w:r>
      <w:r>
        <w:rPr>
          <w:b/>
          <w:bCs/>
          <w:color w:val="000000" w:themeColor="text1"/>
        </w:rPr>
        <w:t>satış</w:t>
      </w:r>
      <w:r>
        <w:rPr>
          <w:color w:val="000000" w:themeColor="text1"/>
        </w:rPr>
        <w:t xml:space="preserve"> gerçekleştirdi (2. Çeyrek: 2,798 milyar Euro). </w:t>
      </w:r>
      <w:r>
        <w:rPr>
          <w:b/>
        </w:rPr>
        <w:t>Organik olarak</w:t>
      </w:r>
      <w:r>
        <w:t>, satışlar yüzde 2,0 oranında arttı (2. Çeyrek: Yüzde 2,6).</w:t>
      </w:r>
      <w:r>
        <w:rPr>
          <w:color w:val="000000" w:themeColor="text1"/>
        </w:rPr>
        <w:t xml:space="preserve"> Bu gelişme, yüzde +0,2 oranında fiyat bileşeninden ve yüzde 1,8 oranında </w:t>
      </w:r>
      <w:r w:rsidR="002209AC">
        <w:rPr>
          <w:color w:val="000000" w:themeColor="text1"/>
        </w:rPr>
        <w:t>miktar</w:t>
      </w:r>
      <w:r>
        <w:rPr>
          <w:color w:val="000000" w:themeColor="text1"/>
        </w:rPr>
        <w:t xml:space="preserve"> büyüme</w:t>
      </w:r>
      <w:r w:rsidR="00CF7AFD">
        <w:rPr>
          <w:color w:val="000000" w:themeColor="text1"/>
        </w:rPr>
        <w:t>sin</w:t>
      </w:r>
      <w:r>
        <w:rPr>
          <w:color w:val="000000" w:themeColor="text1"/>
        </w:rPr>
        <w:t xml:space="preserve">den kaynaklandı. Böylece </w:t>
      </w:r>
      <w:r w:rsidR="007724B9">
        <w:rPr>
          <w:color w:val="000000" w:themeColor="text1"/>
        </w:rPr>
        <w:t>Yapıştırıcı Teknolojileri İ</w:t>
      </w:r>
      <w:r>
        <w:rPr>
          <w:color w:val="000000" w:themeColor="text1"/>
        </w:rPr>
        <w:t xml:space="preserve">ş </w:t>
      </w:r>
      <w:r w:rsidR="007724B9">
        <w:rPr>
          <w:color w:val="000000" w:themeColor="text1"/>
        </w:rPr>
        <w:t>B</w:t>
      </w:r>
      <w:r>
        <w:rPr>
          <w:color w:val="000000" w:themeColor="text1"/>
        </w:rPr>
        <w:t xml:space="preserve">irimi, 2024 yılı ilk çeyreğine kıyasla ikinci çeyrekte </w:t>
      </w:r>
      <w:r w:rsidR="002209AC">
        <w:rPr>
          <w:color w:val="000000" w:themeColor="text1"/>
        </w:rPr>
        <w:t>miktar</w:t>
      </w:r>
      <w:r>
        <w:rPr>
          <w:color w:val="000000" w:themeColor="text1"/>
        </w:rPr>
        <w:t xml:space="preserve"> gelişiminde </w:t>
      </w:r>
      <w:r w:rsidR="006531C8">
        <w:rPr>
          <w:color w:val="000000" w:themeColor="text1"/>
        </w:rPr>
        <w:t xml:space="preserve">süregelen </w:t>
      </w:r>
      <w:r>
        <w:rPr>
          <w:color w:val="000000" w:themeColor="text1"/>
        </w:rPr>
        <w:t xml:space="preserve">bir iyileşme gösterdi. </w:t>
      </w:r>
      <w:bookmarkEnd w:id="6"/>
      <w:bookmarkEnd w:id="7"/>
    </w:p>
    <w:p w14:paraId="2760A9EF" w14:textId="77777777" w:rsidR="00266359" w:rsidRPr="003F11AB" w:rsidRDefault="00266359" w:rsidP="00033476">
      <w:pPr>
        <w:rPr>
          <w:rFonts w:cs="Segoe UI"/>
          <w:bCs/>
          <w:szCs w:val="22"/>
        </w:rPr>
      </w:pPr>
    </w:p>
    <w:p w14:paraId="0069ACDC" w14:textId="17877BFC" w:rsidR="00F22CAC" w:rsidRDefault="00F22CAC" w:rsidP="00033476">
      <w:pPr>
        <w:rPr>
          <w:rFonts w:eastAsia="Segoe UI" w:cs="Segoe UI"/>
          <w:szCs w:val="18"/>
        </w:rPr>
      </w:pPr>
      <w:r>
        <w:rPr>
          <w:b/>
        </w:rPr>
        <w:t xml:space="preserve">Mobilite ve Elektronik </w:t>
      </w:r>
      <w:r>
        <w:t xml:space="preserve">iş </w:t>
      </w:r>
      <w:r w:rsidR="002209AC">
        <w:t>alanı</w:t>
      </w:r>
      <w:r>
        <w:t>, yüzde 5,3 oranında çok güçlü bir organik satış büyüme</w:t>
      </w:r>
      <w:r w:rsidR="002209AC">
        <w:t>si</w:t>
      </w:r>
      <w:r>
        <w:t xml:space="preserve"> </w:t>
      </w:r>
      <w:r w:rsidR="002209AC">
        <w:t>gerçekleştirdi</w:t>
      </w:r>
      <w:r>
        <w:t xml:space="preserve"> </w:t>
      </w:r>
      <w:r w:rsidR="00B06C79">
        <w:t>(</w:t>
      </w:r>
      <w:r>
        <w:t>2. Çeyrek: Yüzde +6,8). Bu büyüme, tüm iş kolları ve özellikle de bir önceki yıl</w:t>
      </w:r>
      <w:r w:rsidR="002233F4">
        <w:t>ın zayıf geçen aynı</w:t>
      </w:r>
      <w:r>
        <w:t xml:space="preserve"> dönem</w:t>
      </w:r>
      <w:r w:rsidR="002233F4">
        <w:t>in</w:t>
      </w:r>
      <w:r>
        <w:t xml:space="preserve">e kıyasla çift haneli organik satış artışı sağlayan Elektronik iş kolu tarafından desteklendi. </w:t>
      </w:r>
      <w:r>
        <w:rPr>
          <w:b/>
          <w:bCs/>
        </w:rPr>
        <w:t>Ambalajlama ve Tüketici Ürünleri</w:t>
      </w:r>
      <w:r>
        <w:t xml:space="preserve"> iş </w:t>
      </w:r>
      <w:r w:rsidR="002233F4">
        <w:t>alanı</w:t>
      </w:r>
      <w:r>
        <w:t xml:space="preserve"> yüzde -0,6 oranında bir organik satış değişimi kaydetti (2. Çeyrek: Yüzde -1,0). Ambalajlama iş kolunda </w:t>
      </w:r>
      <w:r w:rsidR="002233F4">
        <w:t xml:space="preserve">miktardaki </w:t>
      </w:r>
      <w:r>
        <w:t>artış</w:t>
      </w:r>
      <w:r w:rsidR="006228DF">
        <w:t>,</w:t>
      </w:r>
      <w:r>
        <w:t xml:space="preserve"> negatif fiyat değişimini </w:t>
      </w:r>
      <w:r w:rsidR="004F6A16">
        <w:t>telafi etti.</w:t>
      </w:r>
      <w:r>
        <w:t xml:space="preserve"> Tüketici Ürünleri iş </w:t>
      </w:r>
      <w:r w:rsidR="0013774B">
        <w:t>birimi</w:t>
      </w:r>
      <w:r>
        <w:t xml:space="preserve"> ise, önceki yılın aynı dönemindeki çok güçlü performansa kıyasla hafif bir düşüş kaydetti. </w:t>
      </w:r>
      <w:r>
        <w:rPr>
          <w:b/>
          <w:bCs/>
        </w:rPr>
        <w:t>Nalburiye, İnşaat ve Profesyonel</w:t>
      </w:r>
      <w:r>
        <w:t xml:space="preserve"> iş </w:t>
      </w:r>
      <w:r w:rsidR="004F6A16">
        <w:t>alanı</w:t>
      </w:r>
      <w:r w:rsidR="0013774B">
        <w:t>,</w:t>
      </w:r>
      <w:r>
        <w:t xml:space="preserve"> İnşaat ile Tüketici Ürünleri ve Nalburiye iş kollarının katkısıyla yüzde 1,0 oranında (2. Çeyrek: Yüzde +1,7) organik satış büyümesi sağladı. Diğer taraftan, Genel İmalat ve Bakım iş kolu, talepteki zayıf seviyelerin bir sonucu olarak hafif bir düşüş kaydetti</w:t>
      </w:r>
      <w:r w:rsidR="000D6E86">
        <w:t>.</w:t>
      </w:r>
    </w:p>
    <w:p w14:paraId="4C553E0C" w14:textId="77777777" w:rsidR="00E843A4" w:rsidRPr="003F11AB" w:rsidRDefault="00E843A4" w:rsidP="00033476">
      <w:pPr>
        <w:rPr>
          <w:rFonts w:cs="Segoe UI"/>
          <w:bCs/>
          <w:szCs w:val="22"/>
        </w:rPr>
      </w:pPr>
    </w:p>
    <w:p w14:paraId="65F1CFA3" w14:textId="311BB02C" w:rsidR="00B241F2" w:rsidRPr="003F11AB" w:rsidRDefault="003B2EAB" w:rsidP="00033476">
      <w:pPr>
        <w:rPr>
          <w:rFonts w:cs="Segoe UI"/>
          <w:bCs/>
          <w:szCs w:val="22"/>
        </w:rPr>
      </w:pPr>
      <w:r>
        <w:rPr>
          <w:b/>
          <w:bCs/>
        </w:rPr>
        <w:t>Düzeltilmiş faaliyet karı</w:t>
      </w:r>
      <w:r>
        <w:t>, bir önceki yılın aynı döneminde elde edilen 766 mily</w:t>
      </w:r>
      <w:r w:rsidR="000D6E86">
        <w:t>on</w:t>
      </w:r>
      <w:r>
        <w:t xml:space="preserve"> Euro'ya kıyasla 2024'ün ilk yarısında</w:t>
      </w:r>
      <w:r w:rsidR="00BA432A">
        <w:t>,</w:t>
      </w:r>
      <w:r>
        <w:t xml:space="preserve"> yüzde 21,8 oranında artarak 933 mily</w:t>
      </w:r>
      <w:r w:rsidR="000D6E86">
        <w:t>on</w:t>
      </w:r>
      <w:r>
        <w:t xml:space="preserve"> Euro'ya yükseldi. </w:t>
      </w:r>
      <w:r>
        <w:rPr>
          <w:b/>
          <w:bCs/>
        </w:rPr>
        <w:t>Düzeltilmiş satış kazancı</w:t>
      </w:r>
      <w:r>
        <w:t xml:space="preserve">, 310 baz puanlık önemli bir artışla yüzde 17,0 </w:t>
      </w:r>
      <w:r w:rsidR="00277524">
        <w:t xml:space="preserve">seviyesine </w:t>
      </w:r>
      <w:r>
        <w:t xml:space="preserve">yükseldi. </w:t>
      </w:r>
      <w:r w:rsidRPr="00582400">
        <w:lastRenderedPageBreak/>
        <w:t>Daha düşük ham</w:t>
      </w:r>
      <w:r w:rsidR="00277524" w:rsidRPr="00582400">
        <w:t xml:space="preserve"> </w:t>
      </w:r>
      <w:r w:rsidRPr="00582400">
        <w:t xml:space="preserve">madde maliyetleri, pozitif </w:t>
      </w:r>
      <w:r w:rsidR="002E4478" w:rsidRPr="00582400">
        <w:t>ürün portföy değişim</w:t>
      </w:r>
      <w:r w:rsidRPr="00582400">
        <w:t xml:space="preserve"> etkileri ve tedarik zinciri verimlilikleri brüt kar marjı üzerinde özellikle olumlu bir etki yarattı.</w:t>
      </w:r>
    </w:p>
    <w:p w14:paraId="1DDE2A6A" w14:textId="0AA2A962" w:rsidR="00266359" w:rsidRPr="003F11AB" w:rsidRDefault="00E31E3B" w:rsidP="00535180">
      <w:pPr>
        <w:rPr>
          <w:rFonts w:cs="Segoe UI"/>
          <w:szCs w:val="22"/>
        </w:rPr>
      </w:pPr>
      <w:r>
        <w:rPr>
          <w:b/>
          <w:bCs/>
        </w:rPr>
        <w:t>Tüketici Markaları</w:t>
      </w:r>
      <w:r>
        <w:t xml:space="preserve"> İş Birimi, 2024 yılının ilk altı ayında 5,266 milyar Euro'luk </w:t>
      </w:r>
      <w:r>
        <w:rPr>
          <w:b/>
          <w:bCs/>
        </w:rPr>
        <w:t>satış</w:t>
      </w:r>
      <w:r>
        <w:t xml:space="preserve"> gerçekleştirdi (2. Çeyrek: 2,662 milyar Euro). Bu satış rakamı, yüzde -1,8 oranında nominal değişimi temsil ediyor. </w:t>
      </w:r>
      <w:r>
        <w:rPr>
          <w:b/>
          <w:bCs/>
        </w:rPr>
        <w:t>Organik olarak</w:t>
      </w:r>
      <w:r>
        <w:t xml:space="preserve">, satışlar yüzde 4,3 oranında arttı (2. Çeyrek: Yüzde +3,3). Bu gelişme, yüzde +5,1 oranındaki fiyat artışından kaynaklandı. Özellikle devam eden portföy optimizasyon </w:t>
      </w:r>
      <w:r w:rsidR="00DA2A5F">
        <w:t>tedbirleri</w:t>
      </w:r>
      <w:r>
        <w:t xml:space="preserve"> nedeniyle, </w:t>
      </w:r>
      <w:r w:rsidR="00DA2A5F">
        <w:t>miktarlar</w:t>
      </w:r>
      <w:r>
        <w:t xml:space="preserve"> yüzde -0,9 oranında hafif bir düşüş gösterdi. Bununla beraber, 2024 yılı ilk çeyreğine kıyasla ikinci çeyrekte </w:t>
      </w:r>
      <w:r w:rsidR="00DA2A5F">
        <w:t>miktar</w:t>
      </w:r>
      <w:r>
        <w:t xml:space="preserve"> gelişiminde </w:t>
      </w:r>
      <w:r w:rsidR="00DA2A5F">
        <w:t>süregelen</w:t>
      </w:r>
      <w:r>
        <w:t xml:space="preserve"> bir iyileşme kaydedildi.</w:t>
      </w:r>
    </w:p>
    <w:p w14:paraId="00DEB354" w14:textId="77777777" w:rsidR="00266359" w:rsidRPr="003F11AB" w:rsidRDefault="00266359" w:rsidP="00535180">
      <w:pPr>
        <w:rPr>
          <w:rFonts w:cs="Segoe UI"/>
          <w:szCs w:val="22"/>
        </w:rPr>
      </w:pPr>
    </w:p>
    <w:p w14:paraId="57C18E66" w14:textId="1FC3B0BE" w:rsidR="00266359" w:rsidRPr="00E31E3B" w:rsidRDefault="00E31E3B" w:rsidP="00535180">
      <w:r>
        <w:rPr>
          <w:b/>
        </w:rPr>
        <w:t>Çamaşır ve Ev Bakım</w:t>
      </w:r>
      <w:r>
        <w:t xml:space="preserve"> iş alanı yüzde 3,1 oranında güçlü bir organik satış büyümesi elde etti (2. Çeyrek: Yüzde +1,5). Çamaşır Bakım iş kolu, özellikle Hassas Bakım kategorisindeki çift haneli artışın ve Kumaş Temizleme kategorisindeki güçlü satış büyümesinin etkisiyle organik satış artışı elde etti. Ev Bakım iş kolunda elde edilen önemli büyüme rakamı ise, esas olarak Bulaşık ve Tuvalet Bakım kategorilerinde</w:t>
      </w:r>
      <w:r w:rsidR="002C7172">
        <w:t xml:space="preserve"> gerçekleşen</w:t>
      </w:r>
      <w:r>
        <w:t xml:space="preserve"> çift haneli satış artışlarından kaynaklandı. </w:t>
      </w:r>
      <w:r>
        <w:rPr>
          <w:b/>
          <w:bCs/>
        </w:rPr>
        <w:t>Saç</w:t>
      </w:r>
      <w:r>
        <w:t xml:space="preserve"> iş alanı yılın ilk altı ayında yüzde 7,3 oranında önemli bir organik satış büyümesi elde etti (2. Çeyrek: Yüzde +7,7). Tüketici </w:t>
      </w:r>
      <w:r w:rsidR="002C7172">
        <w:t>Ürünleri,</w:t>
      </w:r>
      <w:r>
        <w:t xml:space="preserve"> temel olarak önceki yılların aynı döneminde de çift haneli organik satış artışları elde eden Saç Şekillendirme kategorisinin katkısıyla çift haneli büyüme kaydetti. Profesyonel </w:t>
      </w:r>
      <w:r w:rsidR="00841647">
        <w:t>iş alanı</w:t>
      </w:r>
      <w:r>
        <w:t xml:space="preserve"> güçlü bir organik büyüme gerçekleştirdi. </w:t>
      </w:r>
      <w:r w:rsidR="00967671" w:rsidRPr="00582400">
        <w:rPr>
          <w:b/>
          <w:bCs/>
        </w:rPr>
        <w:t>Diğer</w:t>
      </w:r>
      <w:r w:rsidR="00967671" w:rsidRPr="00582400">
        <w:t xml:space="preserve"> </w:t>
      </w:r>
      <w:r w:rsidRPr="00582400">
        <w:rPr>
          <w:b/>
          <w:bCs/>
        </w:rPr>
        <w:t xml:space="preserve">Tüketici </w:t>
      </w:r>
      <w:r>
        <w:rPr>
          <w:b/>
          <w:bCs/>
        </w:rPr>
        <w:t>İş Birimleri</w:t>
      </w:r>
      <w:r>
        <w:t xml:space="preserve"> ise yüzde 2,3 oranında iyi bir organik satış büyümesi sağladı (2. Çeyrek: Yüzde +0,7). </w:t>
      </w:r>
    </w:p>
    <w:p w14:paraId="5FCF0009" w14:textId="77777777" w:rsidR="00266359" w:rsidRPr="00E31E3B" w:rsidRDefault="00266359" w:rsidP="00535180"/>
    <w:p w14:paraId="59CD1488" w14:textId="67AD6A3A" w:rsidR="00E31E3B" w:rsidRPr="00E63FE2" w:rsidRDefault="00B04955" w:rsidP="00E31E3B">
      <w:pPr>
        <w:rPr>
          <w:rFonts w:cs="Segoe UI"/>
          <w:szCs w:val="22"/>
          <w:highlight w:val="yellow"/>
        </w:rPr>
      </w:pPr>
      <w:r>
        <w:rPr>
          <w:b/>
          <w:bCs/>
        </w:rPr>
        <w:t>Düzeltilmiş faaliyet karı</w:t>
      </w:r>
      <w:r>
        <w:t xml:space="preserve"> 7</w:t>
      </w:r>
      <w:r w:rsidR="00791581">
        <w:t>5</w:t>
      </w:r>
      <w:r>
        <w:t>3 mily</w:t>
      </w:r>
      <w:r w:rsidR="00841647">
        <w:t>on</w:t>
      </w:r>
      <w:r>
        <w:t xml:space="preserve"> Euro düzeyinde gerçekleşerek bir önceki yılın aynı dönemine kıyasla yüzde 34,8 oranında arttı. Söz konusu </w:t>
      </w:r>
      <w:r w:rsidR="00841647">
        <w:t>artış</w:t>
      </w:r>
      <w:r>
        <w:t xml:space="preserve">, satış fiyatlarındaki gelişmeler ve </w:t>
      </w:r>
      <w:r w:rsidR="00841647">
        <w:t xml:space="preserve">birleştirilen </w:t>
      </w:r>
      <w:r>
        <w:t>Tüketici Markaları İş Birimi'nin oluşturulmasından elde edilen tasarrufların yanı sıra portföy optimizasyonu ve değer</w:t>
      </w:r>
      <w:r w:rsidR="00582400">
        <w:t xml:space="preserve"> </w:t>
      </w:r>
      <w:r w:rsidR="00970FB7">
        <w:t>belirleme</w:t>
      </w:r>
      <w:r>
        <w:t xml:space="preserve"> tedbirlerinden kaynaklandı. </w:t>
      </w:r>
      <w:r>
        <w:rPr>
          <w:b/>
          <w:bCs/>
        </w:rPr>
        <w:t>Düzeltilmiş satış kazancı</w:t>
      </w:r>
      <w:r>
        <w:t xml:space="preserve">, 390 baz puanlık önemli bir artışla yüzde 14,3 </w:t>
      </w:r>
      <w:r w:rsidR="00970FB7">
        <w:t>seviyesine</w:t>
      </w:r>
      <w:r>
        <w:t xml:space="preserve"> yükseldi.</w:t>
      </w:r>
    </w:p>
    <w:p w14:paraId="469B1AEE" w14:textId="77777777" w:rsidR="001D4332" w:rsidRDefault="001D4332" w:rsidP="001D4332">
      <w:pPr>
        <w:spacing w:after="120"/>
        <w:rPr>
          <w:rFonts w:cs="Segoe UI"/>
          <w:b/>
          <w:szCs w:val="22"/>
        </w:rPr>
      </w:pPr>
    </w:p>
    <w:p w14:paraId="5D366554" w14:textId="317DEA87" w:rsidR="001D4332" w:rsidRPr="004D5970" w:rsidRDefault="001D4332" w:rsidP="001D4332">
      <w:pPr>
        <w:spacing w:after="120"/>
        <w:rPr>
          <w:rFonts w:cs="Segoe UI"/>
          <w:szCs w:val="22"/>
        </w:rPr>
      </w:pPr>
      <w:r>
        <w:rPr>
          <w:b/>
        </w:rPr>
        <w:t>Büyüme Gündeminin Uygulanması Kararlı Bir Şekilde Devam Ediyor</w:t>
      </w:r>
    </w:p>
    <w:p w14:paraId="5261333A" w14:textId="7BC16A66" w:rsidR="00033476" w:rsidRPr="00E10F79" w:rsidRDefault="00E10F79" w:rsidP="00E10F79">
      <w:pPr>
        <w:spacing w:after="120"/>
        <w:rPr>
          <w:rFonts w:cs="Segoe UI"/>
          <w:bCs/>
          <w:szCs w:val="22"/>
        </w:rPr>
      </w:pPr>
      <w:r>
        <w:t xml:space="preserve">Henkel, 2024 yılının ilk yarısında, </w:t>
      </w:r>
      <w:r w:rsidR="00073A5D">
        <w:t>‘</w:t>
      </w:r>
      <w:r w:rsidR="00F40680">
        <w:t>A</w:t>
      </w:r>
      <w:r>
        <w:t xml:space="preserve">maca </w:t>
      </w:r>
      <w:r w:rsidR="00F40680">
        <w:t>Y</w:t>
      </w:r>
      <w:r>
        <w:t xml:space="preserve">önelik </w:t>
      </w:r>
      <w:r w:rsidR="00F40680">
        <w:t>B</w:t>
      </w:r>
      <w:r>
        <w:t xml:space="preserve">üyüme </w:t>
      </w:r>
      <w:r w:rsidR="00F40680">
        <w:t>G</w:t>
      </w:r>
      <w:r>
        <w:t>ündemi</w:t>
      </w:r>
      <w:r w:rsidR="00F40680">
        <w:t>’</w:t>
      </w:r>
      <w:r>
        <w:t>nin stratejik önceliklerini tutarlı bir şekilde uygulamaya devam etti ve tüm alanlarda iyi bir ilerleme kaydetti.</w:t>
      </w:r>
      <w:bookmarkStart w:id="8" w:name="_Hlk109204398"/>
    </w:p>
    <w:p w14:paraId="31D483CD" w14:textId="176A3153" w:rsidR="00B71798" w:rsidRPr="00F22CAC" w:rsidRDefault="00E10F79" w:rsidP="00033476">
      <w:pPr>
        <w:autoSpaceDE w:val="0"/>
        <w:autoSpaceDN w:val="0"/>
        <w:adjustRightInd w:val="0"/>
        <w:rPr>
          <w:rFonts w:cs="Segoe UI"/>
          <w:szCs w:val="22"/>
        </w:rPr>
      </w:pPr>
      <w:r>
        <w:t xml:space="preserve">Çamaşır ve Ev Bakım ile Beauty Care </w:t>
      </w:r>
      <w:r w:rsidR="00855E54">
        <w:t>İ</w:t>
      </w:r>
      <w:r>
        <w:t>ş</w:t>
      </w:r>
      <w:r w:rsidR="00073A5D">
        <w:t xml:space="preserve"> </w:t>
      </w:r>
      <w:r w:rsidR="00855E54">
        <w:t>B</w:t>
      </w:r>
      <w:r w:rsidR="00970FB7">
        <w:t>irimlerinin</w:t>
      </w:r>
      <w:r>
        <w:t xml:space="preserve"> iki aşamalı olarak </w:t>
      </w:r>
      <w:r>
        <w:rPr>
          <w:b/>
          <w:bCs/>
        </w:rPr>
        <w:t>Tüketici Markaları</w:t>
      </w:r>
      <w:r>
        <w:t xml:space="preserve"> İş Birimi altında </w:t>
      </w:r>
      <w:r>
        <w:rPr>
          <w:b/>
          <w:bCs/>
        </w:rPr>
        <w:t>birleştirilmesi</w:t>
      </w:r>
      <w:r>
        <w:t xml:space="preserve"> 2024 yılının ilk yarısında başarıyla yürütüldü. Henkel, bu süreçte daha fazla tasarruf elde etti. Genel olarak şirket, entegrasyonun her iki aşamasından 525 mily</w:t>
      </w:r>
      <w:r w:rsidR="00042F91">
        <w:t>on</w:t>
      </w:r>
      <w:r>
        <w:t xml:space="preserve"> Euro'luk tasarruf sağlamayı hedefliyor. Bu</w:t>
      </w:r>
      <w:r w:rsidR="00042F91">
        <w:t xml:space="preserve"> hedefe</w:t>
      </w:r>
      <w:r>
        <w:t xml:space="preserve"> 2026 yılı sonuna kadar </w:t>
      </w:r>
      <w:r w:rsidR="00042F91">
        <w:t>bütünüyle ulaşılması amaçlanıyor.</w:t>
      </w:r>
      <w:bookmarkEnd w:id="8"/>
    </w:p>
    <w:p w14:paraId="2EA727BA" w14:textId="77777777" w:rsidR="00B71798" w:rsidRPr="00F22CAC" w:rsidRDefault="00B71798" w:rsidP="00033476">
      <w:pPr>
        <w:autoSpaceDE w:val="0"/>
        <w:autoSpaceDN w:val="0"/>
        <w:adjustRightInd w:val="0"/>
        <w:rPr>
          <w:rFonts w:cs="Segoe UI"/>
          <w:szCs w:val="22"/>
          <w:lang w:eastAsia="de-DE"/>
        </w:rPr>
      </w:pPr>
    </w:p>
    <w:p w14:paraId="0F8E76AF" w14:textId="77777777" w:rsidR="00DB3910" w:rsidRDefault="00DB3910">
      <w:pPr>
        <w:spacing w:line="240" w:lineRule="auto"/>
        <w:jc w:val="left"/>
        <w:rPr>
          <w:rFonts w:cs="Segoe UI"/>
          <w:szCs w:val="22"/>
        </w:rPr>
      </w:pPr>
      <w:r>
        <w:br w:type="page"/>
      </w:r>
    </w:p>
    <w:p w14:paraId="0860B868" w14:textId="115A47CA" w:rsidR="00E10F79" w:rsidRPr="00E10F79" w:rsidRDefault="00042F91" w:rsidP="00660196">
      <w:pPr>
        <w:autoSpaceDE w:val="0"/>
        <w:autoSpaceDN w:val="0"/>
        <w:adjustRightInd w:val="0"/>
        <w:rPr>
          <w:rFonts w:cs="Segoe UI"/>
          <w:szCs w:val="22"/>
        </w:rPr>
      </w:pPr>
      <w:r>
        <w:lastRenderedPageBreak/>
        <w:t xml:space="preserve">Entegrasyonun, </w:t>
      </w:r>
      <w:r w:rsidR="00E10F79">
        <w:t>Tüketici Markaları İş Biriminde tedarik zinciri mükemmeliyetine odaklanan ikinci aşamasının bir parçası olarak, 1-1-1 şeklinde adlandırılan ilke</w:t>
      </w:r>
      <w:r w:rsidR="0098093C">
        <w:t>,</w:t>
      </w:r>
      <w:r w:rsidR="00E10F79">
        <w:t xml:space="preserve"> 30'a yakın ülkede uygulamaya konuldu. Bu uygulama, “müşteriyle tek temas noktası” ilkesi doğrultusunda optimize edilmiş lojistik süreçlerle</w:t>
      </w:r>
      <w:r w:rsidR="00CC7E62">
        <w:t xml:space="preserve"> birlikte</w:t>
      </w:r>
      <w:r w:rsidR="00E10F79">
        <w:t xml:space="preserve"> ticari entegrasyonun daha da ileri bir noktaya taşınmasıyla ilgilidir</w:t>
      </w:r>
      <w:r w:rsidR="00895498">
        <w:t>.</w:t>
      </w:r>
      <w:r w:rsidR="00CC7E62">
        <w:t xml:space="preserve">  </w:t>
      </w:r>
      <w:r w:rsidR="00496A03">
        <w:t xml:space="preserve">Diğer bir deyişle; </w:t>
      </w:r>
      <w:r w:rsidR="00E10F79">
        <w:t>tek sipariş, tek teslimat, tek fatura anlamına gel</w:t>
      </w:r>
      <w:r w:rsidR="00CC7E62">
        <w:t>mekted</w:t>
      </w:r>
      <w:r w:rsidR="00E10F79">
        <w:t xml:space="preserve">ir. Buna ek olarak, üretim ve lojistik ağı, örneğin Çamaşır ve Ev Bakım iş </w:t>
      </w:r>
      <w:r w:rsidR="008C4EF6">
        <w:t xml:space="preserve">alanında </w:t>
      </w:r>
      <w:r w:rsidR="00E10F79">
        <w:t>ABD ve Doğu Avrupa ülkelerinde</w:t>
      </w:r>
      <w:r w:rsidR="00CC7E62">
        <w:t>,</w:t>
      </w:r>
      <w:r w:rsidR="00E10F79">
        <w:t xml:space="preserve"> daha da optimize ve konsolide duruma getirildi. Genel olarak, bu </w:t>
      </w:r>
      <w:r w:rsidR="00CC7E62">
        <w:t>tedbirler</w:t>
      </w:r>
      <w:r w:rsidR="00E10F79">
        <w:t xml:space="preserve"> şimdiden karmaşıklığın yaklaşık yüzde 16 oranında azalmasını sağladı.</w:t>
      </w:r>
    </w:p>
    <w:p w14:paraId="69832396" w14:textId="77777777" w:rsidR="00E10F79" w:rsidRDefault="00E10F79" w:rsidP="00E10F79">
      <w:pPr>
        <w:autoSpaceDE w:val="0"/>
        <w:autoSpaceDN w:val="0"/>
        <w:adjustRightInd w:val="0"/>
        <w:rPr>
          <w:rFonts w:cs="Segoe UI"/>
          <w:szCs w:val="22"/>
          <w:lang w:eastAsia="de-DE"/>
        </w:rPr>
      </w:pPr>
    </w:p>
    <w:p w14:paraId="75F71581" w14:textId="3480E655" w:rsidR="00033476" w:rsidRPr="004647C5" w:rsidRDefault="004647C5" w:rsidP="00033476">
      <w:pPr>
        <w:autoSpaceDE w:val="0"/>
        <w:autoSpaceDN w:val="0"/>
        <w:adjustRightInd w:val="0"/>
        <w:rPr>
          <w:rFonts w:cs="Segoe UI"/>
          <w:szCs w:val="22"/>
        </w:rPr>
      </w:pPr>
      <w:r>
        <w:t xml:space="preserve">Henkel ayrıca Tüketici Markaları portföyüne daha fazla odaklandı. Son dönemde odaklanılan alan, Kuzey Amerika'daki Çamaşır ve Ev Bakım iş </w:t>
      </w:r>
      <w:r w:rsidR="001D53D7">
        <w:t>alanıydı</w:t>
      </w:r>
      <w:r>
        <w:t>.</w:t>
      </w:r>
    </w:p>
    <w:p w14:paraId="2300E31C" w14:textId="77777777" w:rsidR="00033476" w:rsidRPr="004647C5" w:rsidRDefault="00033476" w:rsidP="00033476">
      <w:pPr>
        <w:autoSpaceDE w:val="0"/>
        <w:autoSpaceDN w:val="0"/>
        <w:adjustRightInd w:val="0"/>
        <w:rPr>
          <w:rFonts w:cs="Segoe UI"/>
          <w:szCs w:val="22"/>
          <w:highlight w:val="yellow"/>
          <w:lang w:eastAsia="de-DE"/>
        </w:rPr>
      </w:pPr>
    </w:p>
    <w:p w14:paraId="6E722B39" w14:textId="58CF3684" w:rsidR="00A45717" w:rsidRDefault="004647C5" w:rsidP="00564534">
      <w:pPr>
        <w:autoSpaceDE w:val="0"/>
        <w:autoSpaceDN w:val="0"/>
        <w:adjustRightInd w:val="0"/>
        <w:rPr>
          <w:rFonts w:cs="Segoe UI"/>
          <w:bCs/>
          <w:szCs w:val="22"/>
        </w:rPr>
      </w:pPr>
      <w:r>
        <w:t xml:space="preserve">Henkel, </w:t>
      </w:r>
      <w:r>
        <w:rPr>
          <w:b/>
          <w:bCs/>
        </w:rPr>
        <w:t>rekabetçiliğini</w:t>
      </w:r>
      <w:r>
        <w:t xml:space="preserve"> daha da güçlendirmek için, cazip iş alanlarında güçlü inovasyonlara odaklanıyor. Bu hamleler, 2024 yılının ilk yarısında her iki iş biriminin de büyümesine katkıda bulundu. </w:t>
      </w:r>
      <w:bookmarkStart w:id="9" w:name="_Hlk140221026"/>
      <w:bookmarkStart w:id="10" w:name="_Hlk109382178"/>
      <w:r w:rsidRPr="005D4733">
        <w:rPr>
          <w:b/>
          <w:bCs/>
        </w:rPr>
        <w:t>Yapıştırıcı Teknolojileri</w:t>
      </w:r>
      <w:r>
        <w:t xml:space="preserve"> alanında Henkel, yenilikçi yapıştırıcı çözümleri için talebi artıran daha entegre otomotiv bileşenlerine yönelik eğilime </w:t>
      </w:r>
      <w:r w:rsidR="006702BD">
        <w:t>servis</w:t>
      </w:r>
      <w:r w:rsidR="00FF0F69">
        <w:t xml:space="preserve"> sağlıyor.</w:t>
      </w:r>
      <w:r>
        <w:t xml:space="preserve"> Buna bir örnek, güç aktarma organlarından bağımsız olarak otomobiller için yüksek fayda sağlayan elektronik bileşenlerin entegrasyonudur. Aynı zamanda bu alan, uygulanan yapıştırıcı çözümlerinin termal yönetimine ilişkin çok özel gereksinimleri olan oldukça karmaşık bir alandır. Henkel, bu trendi erken fark eden ve yenilikçi çözümler geliştirmeyi amaçlayan lider OEM'ler </w:t>
      </w:r>
      <w:r w:rsidR="00647573">
        <w:t>(</w:t>
      </w:r>
      <w:r w:rsidR="00647573" w:rsidRPr="00647573">
        <w:t>Orijinal Ekipman Üreticisi</w:t>
      </w:r>
      <w:r w:rsidR="00647573">
        <w:t xml:space="preserve">) </w:t>
      </w:r>
      <w:r>
        <w:t>ve ana tedarikçilerle iş</w:t>
      </w:r>
      <w:r w:rsidR="00DC2B87">
        <w:t xml:space="preserve"> </w:t>
      </w:r>
      <w:r>
        <w:t xml:space="preserve">birliği yapan </w:t>
      </w:r>
      <w:r w:rsidR="00647573">
        <w:t>öncülerden biridir</w:t>
      </w:r>
      <w:r>
        <w:t>. Önümüzdeki birkaç yıl içinde, bu tür entegre bileşenler için yüzde 20 oranını aşan pazar büyüme potansiyeli beklen</w:t>
      </w:r>
      <w:r w:rsidR="00F008AB">
        <w:t>mektedir.</w:t>
      </w:r>
      <w:r>
        <w:t xml:space="preserve"> </w:t>
      </w:r>
      <w:bookmarkEnd w:id="9"/>
      <w:r w:rsidRPr="005D4733">
        <w:rPr>
          <w:b/>
          <w:bCs/>
        </w:rPr>
        <w:t>Tüketici Markaları</w:t>
      </w:r>
      <w:r>
        <w:t xml:space="preserve"> İş Birimi'nde, Saç iş alanındaki yüzde 7 oranını aşan çok güçlü organik satış büyümesi özellikle Schwarzkopf şemsiye markasından kaynaklandı (hem Tüketici</w:t>
      </w:r>
      <w:r w:rsidR="00F008AB">
        <w:t xml:space="preserve"> Ürünleri,</w:t>
      </w:r>
      <w:r>
        <w:t xml:space="preserve"> hem de Profesyonel iş </w:t>
      </w:r>
      <w:r w:rsidR="00F008AB">
        <w:t>alanında).</w:t>
      </w:r>
      <w:r>
        <w:t xml:space="preserve"> Bu iş alanı, dört çeyrek üst üste pozitif </w:t>
      </w:r>
      <w:r w:rsidR="00C24383">
        <w:t>miktar</w:t>
      </w:r>
      <w:r>
        <w:t xml:space="preserve"> gelişimi kaydetti. Aynı </w:t>
      </w:r>
      <w:r w:rsidR="00C24383">
        <w:t>zamanda</w:t>
      </w:r>
      <w:r>
        <w:t>, hem Saç Şekillendirme hem de Renklendirme alanındaki pazar payı 40 baz puan arttı. Buna ek olarak, Gliss'in %100 daha güçlü saçlar için yeni formüllerle yeniden piyasaya sürülmesi, yılın ilk yarısında marka açısından çift haneli organik satış büyümesiyle sonuçlandı.</w:t>
      </w:r>
    </w:p>
    <w:p w14:paraId="057C6209" w14:textId="77777777" w:rsidR="00A45717" w:rsidRPr="00A45717" w:rsidRDefault="00A45717" w:rsidP="00A45717">
      <w:pPr>
        <w:autoSpaceDE w:val="0"/>
        <w:autoSpaceDN w:val="0"/>
        <w:adjustRightInd w:val="0"/>
        <w:rPr>
          <w:rFonts w:cs="Segoe UI"/>
          <w:bCs/>
          <w:szCs w:val="22"/>
        </w:rPr>
      </w:pPr>
    </w:p>
    <w:p w14:paraId="5D3F3F74" w14:textId="03448F22" w:rsidR="00A45717" w:rsidRDefault="00A45717" w:rsidP="00E806A5">
      <w:pPr>
        <w:rPr>
          <w:rFonts w:cs="Segoe UI"/>
          <w:szCs w:val="22"/>
        </w:rPr>
      </w:pPr>
      <w:bookmarkStart w:id="11" w:name="_Hlk140061007"/>
      <w:bookmarkEnd w:id="10"/>
      <w:r>
        <w:t xml:space="preserve">“Genel olarak, Henkel'in yılın ilk yarısındaki başarılı iş performansından çok memnunuz ve stratejik büyüme gündemimizi uygulamada </w:t>
      </w:r>
      <w:r w:rsidR="006B1BC1">
        <w:t>elde ettiğimiz kayda değer</w:t>
      </w:r>
      <w:r>
        <w:t xml:space="preserve"> ilerlemeden dolayı gurur duyuyoruz” </w:t>
      </w:r>
      <w:r w:rsidR="00C24383">
        <w:t>şeklinde konuşan</w:t>
      </w:r>
      <w:r>
        <w:t xml:space="preserve"> Carsten Knobel sözlerine şöyle devam etti: “Taahhüt ettiklerimizi ve söylediklerimizi yerine getiriyoruz. İşlerimizde, satışlarımızda ve kazançlarımızda somut ilerlemeler kaydediyoruz. Başarılı bir gelecek adına aldığımız cesur kararlarla Henkel'i değiştiriyoruz. Üstelik net bir stratejiyle, daha da karlı bir büyüme için doğru yoldayız.”</w:t>
      </w:r>
    </w:p>
    <w:bookmarkEnd w:id="11"/>
    <w:p w14:paraId="54FF503C" w14:textId="77777777" w:rsidR="00E806A5" w:rsidRPr="00F22CAC" w:rsidRDefault="00E806A5" w:rsidP="00F9022A">
      <w:pPr>
        <w:rPr>
          <w:rFonts w:cs="Segoe UI"/>
          <w:szCs w:val="22"/>
        </w:rPr>
      </w:pPr>
    </w:p>
    <w:p w14:paraId="0C5C015B" w14:textId="77777777" w:rsidR="00372619" w:rsidRDefault="00372619" w:rsidP="0058377F">
      <w:pPr>
        <w:rPr>
          <w:rStyle w:val="AboutandContactHeadline"/>
          <w:szCs w:val="18"/>
        </w:rPr>
      </w:pPr>
    </w:p>
    <w:p w14:paraId="773968E4" w14:textId="77777777" w:rsidR="00660196" w:rsidRDefault="00660196">
      <w:pPr>
        <w:spacing w:line="240" w:lineRule="auto"/>
        <w:jc w:val="left"/>
        <w:rPr>
          <w:rStyle w:val="AboutandContactHeadline"/>
          <w:szCs w:val="18"/>
        </w:rPr>
      </w:pPr>
      <w:r>
        <w:br w:type="page"/>
      </w:r>
    </w:p>
    <w:p w14:paraId="69DADDA3" w14:textId="77777777" w:rsidR="00CA38A7" w:rsidRPr="00CA38A7" w:rsidRDefault="00CA38A7" w:rsidP="004B6B1F">
      <w:pPr>
        <w:pStyle w:val="NormalWeb"/>
        <w:shd w:val="clear" w:color="auto" w:fill="FFFFFF"/>
        <w:spacing w:before="0" w:beforeAutospacing="0" w:after="0" w:afterAutospacing="0"/>
        <w:jc w:val="both"/>
        <w:rPr>
          <w:rFonts w:ascii="Calibri" w:hAnsi="Calibri" w:cs="Calibri"/>
          <w:color w:val="242424"/>
          <w:sz w:val="22"/>
          <w:szCs w:val="22"/>
          <w:lang w:val="tr-TR"/>
        </w:rPr>
      </w:pPr>
      <w:r w:rsidRPr="00CA38A7">
        <w:rPr>
          <w:rFonts w:ascii="Calibri" w:hAnsi="Calibri" w:cs="Calibri"/>
          <w:b/>
          <w:bCs/>
          <w:color w:val="242424"/>
          <w:sz w:val="22"/>
          <w:szCs w:val="22"/>
          <w:lang w:val="tr-TR"/>
        </w:rPr>
        <w:lastRenderedPageBreak/>
        <w:t>Henkel Hakkında</w:t>
      </w:r>
    </w:p>
    <w:p w14:paraId="0C75941A" w14:textId="77777777" w:rsidR="00CA38A7" w:rsidRDefault="00CA38A7" w:rsidP="004B6B1F">
      <w:pPr>
        <w:pStyle w:val="NormalWeb"/>
        <w:shd w:val="clear" w:color="auto" w:fill="FFFFFF"/>
        <w:spacing w:before="0" w:beforeAutospacing="0" w:after="0" w:afterAutospacing="0"/>
        <w:jc w:val="both"/>
        <w:rPr>
          <w:rFonts w:ascii="Calibri" w:hAnsi="Calibri" w:cs="Calibri"/>
          <w:color w:val="242424"/>
          <w:sz w:val="22"/>
          <w:szCs w:val="22"/>
        </w:rPr>
      </w:pPr>
      <w:r w:rsidRPr="00CA38A7">
        <w:rPr>
          <w:rFonts w:ascii="Calibri" w:hAnsi="Calibri" w:cs="Calibri"/>
          <w:color w:val="242424"/>
          <w:sz w:val="22"/>
          <w:szCs w:val="22"/>
          <w:lang w:val="tr-TR"/>
        </w:rPr>
        <w:t xml:space="preserve">Markaları, inovasyonları ve teknolojileri ile Henkel, endüstriyel ve tüketici iş birimlerinde, dünya genelindeki pazarlarda lider konumlara sahiptir. Yapıştırıcı Teknolojileri İş Birimi; yapıştırıcılar, yalıtım malzemeleri ve fonksiyonel kaplamalar pazarlarında global bir liderdir. Tüketici Markaları ile şirketin, başta Çamaşır ve Ev Bakım ile Saç olmak üzere, dünya genelinde pek çok piyasa ve kategoride liderliği bulunmaktadır. Şirketin en güçlü üç markası Loctite, Persil ve Schwarzkopf markalarıdır. 2023 mali yılında Henkel, 21,5 milyar Euro’nun üzerinde satış ve yaklaşık 2,6 milyar Euro düzeltilmiş faaliyet karı bildirmiştir. Henkel’in imtiyazlı hisse senetleri, Almanya DAX borsa endeksine kayıtlıdır. Sürdürülebilirlik, Henkel’in köklü geleneğinin önemli bir bileşenidir ve şirket somut hedefler doğrultusunda hayata geçirdiği net bir sürdürülebilirlik stratejisine sahiptir. 1876’da kurulmuş olan Henkel, bugün dünya çapında güçlü bir şirket kültürü ile bir araya gelen, ortak değerlerde birleşen ve “Pioneers at heart for the good of generations” (Gelecek Nesiller İçin İyiliğe Öncülük Ediyoruz) amacında buluşan yaklaşık 48.000 kişiyi istihdam etmektedir. </w:t>
      </w:r>
      <w:r>
        <w:rPr>
          <w:rFonts w:ascii="Calibri" w:hAnsi="Calibri" w:cs="Calibri"/>
          <w:color w:val="242424"/>
          <w:sz w:val="22"/>
          <w:szCs w:val="22"/>
        </w:rPr>
        <w:t xml:space="preserve">Daha </w:t>
      </w:r>
      <w:proofErr w:type="spellStart"/>
      <w:r>
        <w:rPr>
          <w:rFonts w:ascii="Calibri" w:hAnsi="Calibri" w:cs="Calibri"/>
          <w:color w:val="242424"/>
          <w:sz w:val="22"/>
          <w:szCs w:val="22"/>
        </w:rPr>
        <w:t>fazla</w:t>
      </w:r>
      <w:proofErr w:type="spellEnd"/>
      <w:r>
        <w:rPr>
          <w:rFonts w:ascii="Calibri" w:hAnsi="Calibri" w:cs="Calibri"/>
          <w:color w:val="242424"/>
          <w:sz w:val="22"/>
          <w:szCs w:val="22"/>
        </w:rPr>
        <w:t xml:space="preserve"> </w:t>
      </w:r>
      <w:proofErr w:type="spellStart"/>
      <w:r>
        <w:rPr>
          <w:rFonts w:ascii="Calibri" w:hAnsi="Calibri" w:cs="Calibri"/>
          <w:color w:val="242424"/>
          <w:sz w:val="22"/>
          <w:szCs w:val="22"/>
        </w:rPr>
        <w:t>bilgiyi</w:t>
      </w:r>
      <w:proofErr w:type="spellEnd"/>
      <w:r>
        <w:rPr>
          <w:rFonts w:ascii="Calibri" w:hAnsi="Calibri" w:cs="Calibri"/>
          <w:color w:val="242424"/>
          <w:sz w:val="22"/>
          <w:szCs w:val="22"/>
        </w:rPr>
        <w:t> </w:t>
      </w:r>
      <w:hyperlink r:id="rId12" w:tgtFrame="_blank" w:history="1">
        <w:r>
          <w:rPr>
            <w:rStyle w:val="Hyperlink"/>
            <w:rFonts w:ascii="Calibri" w:hAnsi="Calibri" w:cs="Calibri"/>
            <w:sz w:val="22"/>
            <w:szCs w:val="22"/>
            <w:bdr w:val="none" w:sz="0" w:space="0" w:color="auto" w:frame="1"/>
          </w:rPr>
          <w:t>www.henkel.com</w:t>
        </w:r>
      </w:hyperlink>
      <w:r>
        <w:rPr>
          <w:rFonts w:ascii="Calibri" w:hAnsi="Calibri" w:cs="Calibri"/>
          <w:color w:val="242424"/>
          <w:sz w:val="22"/>
          <w:szCs w:val="22"/>
        </w:rPr>
        <w:t> </w:t>
      </w:r>
      <w:proofErr w:type="spellStart"/>
      <w:r>
        <w:rPr>
          <w:rFonts w:ascii="Calibri" w:hAnsi="Calibri" w:cs="Calibri"/>
          <w:color w:val="242424"/>
          <w:sz w:val="22"/>
          <w:szCs w:val="22"/>
        </w:rPr>
        <w:t>adresinde</w:t>
      </w:r>
      <w:proofErr w:type="spellEnd"/>
      <w:r>
        <w:rPr>
          <w:rFonts w:ascii="Calibri" w:hAnsi="Calibri" w:cs="Calibri"/>
          <w:color w:val="242424"/>
          <w:sz w:val="22"/>
          <w:szCs w:val="22"/>
        </w:rPr>
        <w:t xml:space="preserve"> </w:t>
      </w:r>
      <w:proofErr w:type="spellStart"/>
      <w:r>
        <w:rPr>
          <w:rFonts w:ascii="Calibri" w:hAnsi="Calibri" w:cs="Calibri"/>
          <w:color w:val="242424"/>
          <w:sz w:val="22"/>
          <w:szCs w:val="22"/>
        </w:rPr>
        <w:t>bulabilirsiniz</w:t>
      </w:r>
      <w:proofErr w:type="spellEnd"/>
      <w:r>
        <w:rPr>
          <w:rFonts w:ascii="Calibri" w:hAnsi="Calibri" w:cs="Calibri"/>
          <w:color w:val="242424"/>
          <w:sz w:val="22"/>
          <w:szCs w:val="22"/>
        </w:rPr>
        <w:t>.</w:t>
      </w:r>
    </w:p>
    <w:p w14:paraId="23552B25" w14:textId="6F831383" w:rsidR="00A15D78" w:rsidRPr="00660196" w:rsidRDefault="00A15D78" w:rsidP="004B6B1F">
      <w:pPr>
        <w:tabs>
          <w:tab w:val="left" w:pos="1080"/>
          <w:tab w:val="left" w:pos="4500"/>
        </w:tabs>
        <w:spacing w:line="264" w:lineRule="auto"/>
        <w:rPr>
          <w:rStyle w:val="Hyperlink"/>
          <w:rFonts w:eastAsia="PMingLiU"/>
          <w:color w:val="9A141B"/>
          <w:szCs w:val="24"/>
          <w:u w:val="none"/>
        </w:rPr>
      </w:pPr>
    </w:p>
    <w:sectPr w:rsidR="00A15D78" w:rsidRPr="00660196" w:rsidSect="00A41DBE">
      <w:headerReference w:type="even" r:id="rId13"/>
      <w:footerReference w:type="default" r:id="rId14"/>
      <w:headerReference w:type="first" r:id="rId15"/>
      <w:footerReference w:type="first" r:id="rId16"/>
      <w:pgSz w:w="11907" w:h="16840" w:code="9"/>
      <w:pgMar w:top="1944" w:right="1411" w:bottom="1843"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AEA32" w14:textId="77777777" w:rsidR="001C0FF7" w:rsidRDefault="001C0FF7">
      <w:r>
        <w:separator/>
      </w:r>
    </w:p>
  </w:endnote>
  <w:endnote w:type="continuationSeparator" w:id="0">
    <w:p w14:paraId="7B708F57" w14:textId="77777777" w:rsidR="001C0FF7" w:rsidRDefault="001C0FF7">
      <w:r>
        <w:continuationSeparator/>
      </w:r>
    </w:p>
  </w:endnote>
  <w:endnote w:type="continuationNotice" w:id="1">
    <w:p w14:paraId="03E525D0" w14:textId="77777777" w:rsidR="001C0FF7" w:rsidRDefault="001C0FF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D10C9" w14:textId="7A9B7B0B" w:rsidR="00CF6F33" w:rsidRPr="00112A28" w:rsidRDefault="00112A28" w:rsidP="00112A28">
    <w:pPr>
      <w:pStyle w:val="Footer"/>
      <w:tabs>
        <w:tab w:val="clear" w:pos="7083"/>
        <w:tab w:val="clear" w:pos="8640"/>
        <w:tab w:val="right" w:pos="9071"/>
      </w:tabs>
      <w:jc w:val="both"/>
    </w:pPr>
    <w:r>
      <w:tab/>
      <w:t xml:space="preserve">Sayfa </w:t>
    </w:r>
    <w:r w:rsidRPr="00BF6E82">
      <w:fldChar w:fldCharType="begin"/>
    </w:r>
    <w:r w:rsidRPr="00BF6E82">
      <w:instrText xml:space="preserve"> PAGE  \* Arabic  \* MERGEFORMAT </w:instrText>
    </w:r>
    <w:r w:rsidRPr="00BF6E82">
      <w:fldChar w:fldCharType="separate"/>
    </w:r>
    <w:r w:rsidR="00E639A0">
      <w:t>7</w:t>
    </w:r>
    <w:r w:rsidRPr="00BF6E82">
      <w:fldChar w:fldCharType="end"/>
    </w:r>
    <w:r>
      <w:t>/</w:t>
    </w:r>
    <w:r w:rsidR="002B7F7D">
      <w:fldChar w:fldCharType="begin"/>
    </w:r>
    <w:r w:rsidR="002B7F7D">
      <w:instrText>NUMPAGES  \* Arabic  \* MERGEFORMAT</w:instrText>
    </w:r>
    <w:r w:rsidR="002B7F7D">
      <w:fldChar w:fldCharType="separate"/>
    </w:r>
    <w:r w:rsidR="00E639A0">
      <w:t>8</w:t>
    </w:r>
    <w:r w:rsidR="002B7F7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A058E" w14:textId="3A327D41" w:rsidR="00CF6F33" w:rsidRPr="00992A11" w:rsidRDefault="006801DE" w:rsidP="001D53D7">
    <w:pPr>
      <w:pStyle w:val="Footer"/>
      <w:jc w:val="center"/>
    </w:pPr>
    <w:r>
      <w:rPr>
        <w:rFonts w:asciiTheme="majorHAnsi" w:hAnsiTheme="majorHAnsi"/>
        <w:sz w:val="24"/>
        <w:lang w:eastAsia="zh-CN"/>
      </w:rPr>
      <mc:AlternateContent>
        <mc:Choice Requires="wps">
          <w:drawing>
            <wp:anchor distT="45720" distB="45720" distL="114300" distR="114300" simplePos="0" relativeHeight="251660289" behindDoc="0" locked="0" layoutInCell="1" allowOverlap="1" wp14:anchorId="19F761B3" wp14:editId="1BE9B12A">
              <wp:simplePos x="0" y="0"/>
              <wp:positionH relativeFrom="margin">
                <wp:align>left</wp:align>
              </wp:positionH>
              <wp:positionV relativeFrom="paragraph">
                <wp:posOffset>472250</wp:posOffset>
              </wp:positionV>
              <wp:extent cx="4318370" cy="294198"/>
              <wp:effectExtent l="0" t="0" r="6350" b="0"/>
              <wp:wrapNone/>
              <wp:docPr id="23106161"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370" cy="2941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52248D" w14:textId="77777777" w:rsidR="006801DE" w:rsidRPr="003F11AB" w:rsidRDefault="006801DE" w:rsidP="006801DE">
                          <w:pPr>
                            <w:autoSpaceDE w:val="0"/>
                            <w:autoSpaceDN w:val="0"/>
                            <w:adjustRightInd w:val="0"/>
                            <w:spacing w:after="60" w:line="240" w:lineRule="auto"/>
                            <w:rPr>
                              <w:sz w:val="16"/>
                              <w:szCs w:val="16"/>
                            </w:rPr>
                          </w:pPr>
                          <w:r>
                            <w:rPr>
                              <w:sz w:val="16"/>
                            </w:rPr>
                            <w:t>* Tek seferlik gider ve gelirler ile yeniden yapılandırma giderlerine göre düzeltilmiştir.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F761B3" id="_x0000_t202" coordsize="21600,21600" o:spt="202" path="m,l,21600r21600,l21600,xe">
              <v:stroke joinstyle="miter"/>
              <v:path gradientshapeok="t" o:connecttype="rect"/>
            </v:shapetype>
            <v:shape id="Textfeld 8" o:spid="_x0000_s1026" type="#_x0000_t202" style="position:absolute;left:0;text-align:left;margin-left:0;margin-top:37.2pt;width:340.05pt;height:23.15pt;z-index:25166028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" stroked="f">
              <v:textbox>
                <w:txbxContent>
                  <w:p w14:paraId="5952248D" w14:textId="77777777" w:rsidR="006801DE" w:rsidRPr="003F11AB" w:rsidRDefault="006801DE" w:rsidP="006801DE">
                    <w:pPr>
                      <w:autoSpaceDE w:val="0"/>
                      <w:autoSpaceDN w:val="0"/>
                      <w:adjustRightInd w:val="0"/>
                      <w:spacing w:after="60" w:line="240" w:lineRule="auto"/>
                      <w:rPr>
                        <w:sz w:val="16"/>
                        <w:szCs w:val="16"/>
                      </w:rPr>
                    </w:pPr>
                    <w:r>
                      <w:rPr>
                        <w:sz w:val="16"/>
                      </w:rPr>
                      <w:t>* Tek seferlik gider ve gelirler ile yeniden yapılandırma giderlerine göre düzeltilmiştir.</w:t>
                    </w:r>
                  </w:p>
                </w:txbxContent>
              </v:textbox>
              <w10:wrap anchorx="margin"/>
            </v:shape>
          </w:pict>
        </mc:Fallback>
      </mc:AlternateContent>
    </w:r>
    <w:r w:rsidR="009E5B95">
      <w:rPr>
        <w:lang w:eastAsia="tr-TR"/>
      </w:rPr>
      <w:drawing>
        <wp:inline distT="0" distB="0" distL="0" distR="0" wp14:anchorId="1C787FF5" wp14:editId="6F996478">
          <wp:extent cx="4643562" cy="659130"/>
          <wp:effectExtent l="0" t="0" r="5080" b="7620"/>
          <wp:docPr id="2059148410" name="Grafik 1" descr="Ein Bild, das Text, Logo,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966039" name="Grafik 1" descr="Ein Bild, das Text, Logo, Schrift, Symbol enthält.&#10;&#10;Automatisch generierte Beschreibung"/>
                  <pic:cNvPicPr/>
                </pic:nvPicPr>
                <pic:blipFill rotWithShape="1">
                  <a:blip r:embed="rId1"/>
                  <a:srcRect t="1" r="15041" b="2955"/>
                  <a:stretch/>
                </pic:blipFill>
                <pic:spPr bwMode="auto">
                  <a:xfrm>
                    <a:off x="0" y="0"/>
                    <a:ext cx="4706136" cy="66801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05FEA" w14:textId="77777777" w:rsidR="001C0FF7" w:rsidRDefault="001C0FF7">
      <w:r>
        <w:separator/>
      </w:r>
    </w:p>
  </w:footnote>
  <w:footnote w:type="continuationSeparator" w:id="0">
    <w:p w14:paraId="626817CC" w14:textId="77777777" w:rsidR="001C0FF7" w:rsidRDefault="001C0FF7">
      <w:r>
        <w:continuationSeparator/>
      </w:r>
    </w:p>
  </w:footnote>
  <w:footnote w:type="continuationNotice" w:id="1">
    <w:p w14:paraId="31C4C77E" w14:textId="77777777" w:rsidR="001C0FF7" w:rsidRDefault="001C0FF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86010" w14:textId="2EFC1CBD" w:rsidR="00CF6F33" w:rsidRPr="00EB46D9" w:rsidRDefault="0059722C" w:rsidP="00EB46D9">
    <w:pPr>
      <w:pStyle w:val="Header"/>
    </w:pPr>
    <w:r>
      <w:rPr>
        <w:noProof/>
        <w:lang w:eastAsia="tr-TR"/>
      </w:rPr>
      <w:drawing>
        <wp:anchor distT="0" distB="0" distL="114300" distR="114300" simplePos="0" relativeHeight="251658241" behindDoc="0" locked="1" layoutInCell="1" allowOverlap="1" wp14:anchorId="5559ED3E" wp14:editId="72D29F27">
          <wp:simplePos x="0" y="0"/>
          <wp:positionH relativeFrom="margin">
            <wp:align>right</wp:align>
          </wp:positionH>
          <wp:positionV relativeFrom="margin">
            <wp:posOffset>-1586230</wp:posOffset>
          </wp:positionV>
          <wp:extent cx="1051560" cy="603250"/>
          <wp:effectExtent l="0" t="0" r="0" b="6350"/>
          <wp:wrapNone/>
          <wp:docPr id="390866323" name="Grafik 1653066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2CEB168F"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FF56D1">
      <w:t xml:space="preserve">  </w:t>
    </w:r>
    <w:r>
      <w:t>Basın Bülteni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14AC"/>
    <w:multiLevelType w:val="hybridMultilevel"/>
    <w:tmpl w:val="13B0B26E"/>
    <w:lvl w:ilvl="0" w:tplc="7F22C7A8">
      <w:start w:val="1"/>
      <w:numFmt w:val="bullet"/>
      <w:pStyle w:val="He01FlietextAufzhlung1Ebene"/>
      <w:lvlText w:val=""/>
      <w:lvlJc w:val="left"/>
      <w:pPr>
        <w:ind w:left="36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E4621"/>
    <w:multiLevelType w:val="hybridMultilevel"/>
    <w:tmpl w:val="44BEA6F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4" w15:restartNumberingAfterBreak="0">
    <w:nsid w:val="1294669F"/>
    <w:multiLevelType w:val="hybridMultilevel"/>
    <w:tmpl w:val="541E7E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E233B2"/>
    <w:multiLevelType w:val="hybridMultilevel"/>
    <w:tmpl w:val="70ECA632"/>
    <w:lvl w:ilvl="0" w:tplc="4B4C214C">
      <w:start w:val="1"/>
      <w:numFmt w:val="bullet"/>
      <w:lvlText w:val=""/>
      <w:lvlJc w:val="left"/>
      <w:pPr>
        <w:ind w:left="720" w:hanging="360"/>
      </w:pPr>
      <w:rPr>
        <w:rFonts w:ascii="Wingdings" w:hAnsi="Wingdings" w:hint="default"/>
        <w:color w:val="E1000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740AFE"/>
    <w:multiLevelType w:val="hybridMultilevel"/>
    <w:tmpl w:val="19402942"/>
    <w:lvl w:ilvl="0" w:tplc="3FDAE620">
      <w:start w:val="1"/>
      <w:numFmt w:val="bullet"/>
      <w:pStyle w:val="He01FlietextAufzhlung2Ebene"/>
      <w:lvlText w:val="–"/>
      <w:lvlJc w:val="left"/>
      <w:pPr>
        <w:ind w:left="700" w:hanging="360"/>
      </w:pPr>
      <w:rPr>
        <w:rFonts w:ascii="Segoe UI" w:hAnsi="Segoe UI" w:hint="default"/>
        <w:color w:val="E1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7"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246F7BE2"/>
    <w:multiLevelType w:val="hybridMultilevel"/>
    <w:tmpl w:val="44144422"/>
    <w:lvl w:ilvl="0" w:tplc="FFFFFFFF">
      <w:start w:val="1"/>
      <w:numFmt w:val="bullet"/>
      <w:lvlText w:val=""/>
      <w:lvlJc w:val="left"/>
      <w:pPr>
        <w:ind w:left="360" w:hanging="360"/>
      </w:pPr>
      <w:rPr>
        <w:rFonts w:ascii="Wingdings" w:hAnsi="Wingdings" w:hint="default"/>
        <w:color w:val="E1000F"/>
      </w:rPr>
    </w:lvl>
    <w:lvl w:ilvl="1" w:tplc="0407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52C76F01"/>
    <w:multiLevelType w:val="hybridMultilevel"/>
    <w:tmpl w:val="D040BA96"/>
    <w:lvl w:ilvl="0" w:tplc="FFFFFFFF">
      <w:start w:val="1"/>
      <w:numFmt w:val="bullet"/>
      <w:lvlText w:val=""/>
      <w:lvlJc w:val="left"/>
      <w:pPr>
        <w:ind w:left="720" w:hanging="360"/>
      </w:pPr>
      <w:rPr>
        <w:rFonts w:ascii="Wingdings" w:hAnsi="Wingdings" w:hint="default"/>
        <w:color w:val="E1000F"/>
      </w:rPr>
    </w:lvl>
    <w:lvl w:ilvl="1" w:tplc="4B4C214C">
      <w:start w:val="1"/>
      <w:numFmt w:val="bullet"/>
      <w:lvlText w:val=""/>
      <w:lvlJc w:val="left"/>
      <w:pPr>
        <w:ind w:left="1440" w:hanging="360"/>
      </w:pPr>
      <w:rPr>
        <w:rFonts w:ascii="Wingdings" w:hAnsi="Wingdings" w:hint="default"/>
        <w:color w:val="E1000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136284"/>
    <w:multiLevelType w:val="hybridMultilevel"/>
    <w:tmpl w:val="81B8DC94"/>
    <w:lvl w:ilvl="0" w:tplc="FFFFFFFF">
      <w:start w:val="1"/>
      <w:numFmt w:val="bullet"/>
      <w:lvlText w:val=""/>
      <w:lvlJc w:val="left"/>
      <w:pPr>
        <w:ind w:left="720" w:hanging="360"/>
      </w:pPr>
      <w:rPr>
        <w:rFonts w:ascii="Wingdings" w:hAnsi="Wingdings" w:hint="default"/>
        <w:color w:val="E1000F"/>
      </w:rPr>
    </w:lvl>
    <w:lvl w:ilvl="1" w:tplc="FFFFFFFF">
      <w:start w:val="1"/>
      <w:numFmt w:val="bullet"/>
      <w:lvlText w:val=""/>
      <w:lvlJc w:val="left"/>
      <w:pPr>
        <w:ind w:left="1440" w:hanging="360"/>
      </w:pPr>
      <w:rPr>
        <w:rFonts w:ascii="Wingdings" w:hAnsi="Wingdings" w:hint="default"/>
        <w:color w:val="E1000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2C72573"/>
    <w:multiLevelType w:val="hybridMultilevel"/>
    <w:tmpl w:val="D354C796"/>
    <w:lvl w:ilvl="0" w:tplc="4B4C214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6BB6FB3"/>
    <w:multiLevelType w:val="hybridMultilevel"/>
    <w:tmpl w:val="FD7E88F4"/>
    <w:lvl w:ilvl="0" w:tplc="A86EF76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AB624AF"/>
    <w:multiLevelType w:val="hybridMultilevel"/>
    <w:tmpl w:val="F534948E"/>
    <w:lvl w:ilvl="0" w:tplc="4B4C214C">
      <w:start w:val="1"/>
      <w:numFmt w:val="bullet"/>
      <w:lvlText w:val=""/>
      <w:lvlJc w:val="left"/>
      <w:pPr>
        <w:ind w:left="72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AB00033"/>
    <w:multiLevelType w:val="hybridMultilevel"/>
    <w:tmpl w:val="44CCA5EE"/>
    <w:lvl w:ilvl="0" w:tplc="04070005">
      <w:start w:val="1"/>
      <w:numFmt w:val="bullet"/>
      <w:lvlText w:val=""/>
      <w:lvlJc w:val="left"/>
      <w:pPr>
        <w:ind w:left="360" w:hanging="360"/>
      </w:pPr>
      <w:rPr>
        <w:rFonts w:ascii="Wingdings" w:hAnsi="Wingdings" w:hint="default"/>
        <w:color w:val="E1000F"/>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377705536">
    <w:abstractNumId w:val="2"/>
  </w:num>
  <w:num w:numId="2" w16cid:durableId="1532108721">
    <w:abstractNumId w:val="1"/>
  </w:num>
  <w:num w:numId="3" w16cid:durableId="1983077913">
    <w:abstractNumId w:val="16"/>
  </w:num>
  <w:num w:numId="4" w16cid:durableId="1822698800">
    <w:abstractNumId w:val="10"/>
  </w:num>
  <w:num w:numId="5" w16cid:durableId="1567641841">
    <w:abstractNumId w:val="7"/>
  </w:num>
  <w:num w:numId="6" w16cid:durableId="1818297790">
    <w:abstractNumId w:val="12"/>
  </w:num>
  <w:num w:numId="7" w16cid:durableId="1255241391">
    <w:abstractNumId w:val="9"/>
  </w:num>
  <w:num w:numId="8" w16cid:durableId="124154722">
    <w:abstractNumId w:val="15"/>
  </w:num>
  <w:num w:numId="9" w16cid:durableId="1123963619">
    <w:abstractNumId w:val="0"/>
  </w:num>
  <w:num w:numId="10" w16cid:durableId="1091663476">
    <w:abstractNumId w:val="18"/>
  </w:num>
  <w:num w:numId="11" w16cid:durableId="2000033094">
    <w:abstractNumId w:val="8"/>
  </w:num>
  <w:num w:numId="12" w16cid:durableId="745034487">
    <w:abstractNumId w:val="0"/>
  </w:num>
  <w:num w:numId="13" w16cid:durableId="988051615">
    <w:abstractNumId w:val="3"/>
  </w:num>
  <w:num w:numId="14" w16cid:durableId="1885940531">
    <w:abstractNumId w:val="4"/>
  </w:num>
  <w:num w:numId="15" w16cid:durableId="1870407999">
    <w:abstractNumId w:val="17"/>
  </w:num>
  <w:num w:numId="16" w16cid:durableId="1223953348">
    <w:abstractNumId w:val="13"/>
  </w:num>
  <w:num w:numId="17" w16cid:durableId="1536700063">
    <w:abstractNumId w:val="11"/>
  </w:num>
  <w:num w:numId="18" w16cid:durableId="2130850417">
    <w:abstractNumId w:val="5"/>
  </w:num>
  <w:num w:numId="19" w16cid:durableId="889264423">
    <w:abstractNumId w:val="14"/>
  </w:num>
  <w:num w:numId="20" w16cid:durableId="9132483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3451C"/>
    <w:rsid w:val="00000839"/>
    <w:rsid w:val="000009AD"/>
    <w:rsid w:val="00002AA4"/>
    <w:rsid w:val="00004698"/>
    <w:rsid w:val="00004F3C"/>
    <w:rsid w:val="000050F2"/>
    <w:rsid w:val="00005267"/>
    <w:rsid w:val="00006346"/>
    <w:rsid w:val="000069EB"/>
    <w:rsid w:val="00006A45"/>
    <w:rsid w:val="000070A8"/>
    <w:rsid w:val="00012E70"/>
    <w:rsid w:val="000136FE"/>
    <w:rsid w:val="00014FC1"/>
    <w:rsid w:val="00016137"/>
    <w:rsid w:val="00020DC3"/>
    <w:rsid w:val="00021C67"/>
    <w:rsid w:val="00023AE3"/>
    <w:rsid w:val="00024147"/>
    <w:rsid w:val="00024483"/>
    <w:rsid w:val="000256A9"/>
    <w:rsid w:val="00026EEE"/>
    <w:rsid w:val="000301F0"/>
    <w:rsid w:val="00030557"/>
    <w:rsid w:val="00030701"/>
    <w:rsid w:val="00030F51"/>
    <w:rsid w:val="00031E51"/>
    <w:rsid w:val="00033476"/>
    <w:rsid w:val="000343EB"/>
    <w:rsid w:val="00035A84"/>
    <w:rsid w:val="00037933"/>
    <w:rsid w:val="00040390"/>
    <w:rsid w:val="00040816"/>
    <w:rsid w:val="00040CC9"/>
    <w:rsid w:val="00041F81"/>
    <w:rsid w:val="000425ED"/>
    <w:rsid w:val="00042F91"/>
    <w:rsid w:val="00045CCB"/>
    <w:rsid w:val="000510FC"/>
    <w:rsid w:val="00051555"/>
    <w:rsid w:val="00051E86"/>
    <w:rsid w:val="000527F1"/>
    <w:rsid w:val="00054AFE"/>
    <w:rsid w:val="00054EEF"/>
    <w:rsid w:val="0005544E"/>
    <w:rsid w:val="000570AE"/>
    <w:rsid w:val="000575F9"/>
    <w:rsid w:val="0006148D"/>
    <w:rsid w:val="000618FC"/>
    <w:rsid w:val="00063BE9"/>
    <w:rsid w:val="00065466"/>
    <w:rsid w:val="000665F3"/>
    <w:rsid w:val="00067071"/>
    <w:rsid w:val="00067F67"/>
    <w:rsid w:val="00070652"/>
    <w:rsid w:val="00070757"/>
    <w:rsid w:val="00071284"/>
    <w:rsid w:val="00073969"/>
    <w:rsid w:val="00073A5D"/>
    <w:rsid w:val="00073AED"/>
    <w:rsid w:val="00074942"/>
    <w:rsid w:val="00074E56"/>
    <w:rsid w:val="000751A7"/>
    <w:rsid w:val="0007558F"/>
    <w:rsid w:val="000773D2"/>
    <w:rsid w:val="0007746E"/>
    <w:rsid w:val="00077AF9"/>
    <w:rsid w:val="00080D10"/>
    <w:rsid w:val="00081241"/>
    <w:rsid w:val="00081692"/>
    <w:rsid w:val="000817AA"/>
    <w:rsid w:val="00081EF8"/>
    <w:rsid w:val="00082417"/>
    <w:rsid w:val="000827A8"/>
    <w:rsid w:val="0008357F"/>
    <w:rsid w:val="00083A35"/>
    <w:rsid w:val="00083A61"/>
    <w:rsid w:val="00083A84"/>
    <w:rsid w:val="00083DAB"/>
    <w:rsid w:val="00083F9D"/>
    <w:rsid w:val="0008406B"/>
    <w:rsid w:val="00084918"/>
    <w:rsid w:val="0008581D"/>
    <w:rsid w:val="00090DB6"/>
    <w:rsid w:val="00090E73"/>
    <w:rsid w:val="00091F11"/>
    <w:rsid w:val="00094235"/>
    <w:rsid w:val="00095ED7"/>
    <w:rsid w:val="00096AD4"/>
    <w:rsid w:val="00097DB9"/>
    <w:rsid w:val="000A05E0"/>
    <w:rsid w:val="000A06FB"/>
    <w:rsid w:val="000A1D95"/>
    <w:rsid w:val="000A31D3"/>
    <w:rsid w:val="000A4B52"/>
    <w:rsid w:val="000A50CF"/>
    <w:rsid w:val="000A511E"/>
    <w:rsid w:val="000A55F7"/>
    <w:rsid w:val="000A61DF"/>
    <w:rsid w:val="000A64B3"/>
    <w:rsid w:val="000A6C25"/>
    <w:rsid w:val="000B005C"/>
    <w:rsid w:val="000B10DE"/>
    <w:rsid w:val="000B2E86"/>
    <w:rsid w:val="000B31E4"/>
    <w:rsid w:val="000B5D2F"/>
    <w:rsid w:val="000B5E32"/>
    <w:rsid w:val="000B6244"/>
    <w:rsid w:val="000B695A"/>
    <w:rsid w:val="000B72A8"/>
    <w:rsid w:val="000C210A"/>
    <w:rsid w:val="000C27E5"/>
    <w:rsid w:val="000C30D6"/>
    <w:rsid w:val="000C3A98"/>
    <w:rsid w:val="000C47D1"/>
    <w:rsid w:val="000C4F2A"/>
    <w:rsid w:val="000C50A1"/>
    <w:rsid w:val="000C56DD"/>
    <w:rsid w:val="000C63F4"/>
    <w:rsid w:val="000C65FB"/>
    <w:rsid w:val="000D11CB"/>
    <w:rsid w:val="000D14C4"/>
    <w:rsid w:val="000D1672"/>
    <w:rsid w:val="000D178A"/>
    <w:rsid w:val="000D18CE"/>
    <w:rsid w:val="000D40C6"/>
    <w:rsid w:val="000D52F6"/>
    <w:rsid w:val="000D6C67"/>
    <w:rsid w:val="000D6E86"/>
    <w:rsid w:val="000D738C"/>
    <w:rsid w:val="000E0CAB"/>
    <w:rsid w:val="000E11D9"/>
    <w:rsid w:val="000E1B84"/>
    <w:rsid w:val="000E2F62"/>
    <w:rsid w:val="000E38ED"/>
    <w:rsid w:val="000E45C7"/>
    <w:rsid w:val="000E7F24"/>
    <w:rsid w:val="000F03BE"/>
    <w:rsid w:val="000F1757"/>
    <w:rsid w:val="000F1946"/>
    <w:rsid w:val="000F225B"/>
    <w:rsid w:val="000F2A73"/>
    <w:rsid w:val="000F333E"/>
    <w:rsid w:val="000F41BC"/>
    <w:rsid w:val="000F48E9"/>
    <w:rsid w:val="000F4DAE"/>
    <w:rsid w:val="000F5DAB"/>
    <w:rsid w:val="000F7ADB"/>
    <w:rsid w:val="000F7FAF"/>
    <w:rsid w:val="0010048F"/>
    <w:rsid w:val="00100D8B"/>
    <w:rsid w:val="00100FC9"/>
    <w:rsid w:val="00102045"/>
    <w:rsid w:val="00102264"/>
    <w:rsid w:val="00103537"/>
    <w:rsid w:val="00103B01"/>
    <w:rsid w:val="0010421C"/>
    <w:rsid w:val="0010465B"/>
    <w:rsid w:val="00105114"/>
    <w:rsid w:val="0010570F"/>
    <w:rsid w:val="00105975"/>
    <w:rsid w:val="00110090"/>
    <w:rsid w:val="0011116D"/>
    <w:rsid w:val="00111386"/>
    <w:rsid w:val="001118DF"/>
    <w:rsid w:val="00111F4D"/>
    <w:rsid w:val="00112A28"/>
    <w:rsid w:val="00113571"/>
    <w:rsid w:val="001135E4"/>
    <w:rsid w:val="00114B27"/>
    <w:rsid w:val="00114DDF"/>
    <w:rsid w:val="00115230"/>
    <w:rsid w:val="00115B5F"/>
    <w:rsid w:val="001162B4"/>
    <w:rsid w:val="00116DF3"/>
    <w:rsid w:val="00117B1C"/>
    <w:rsid w:val="00122B90"/>
    <w:rsid w:val="00122CBC"/>
    <w:rsid w:val="0012414B"/>
    <w:rsid w:val="00124FA3"/>
    <w:rsid w:val="00126C65"/>
    <w:rsid w:val="00126D4A"/>
    <w:rsid w:val="00131762"/>
    <w:rsid w:val="001318EB"/>
    <w:rsid w:val="00132DA9"/>
    <w:rsid w:val="0013305B"/>
    <w:rsid w:val="00133B99"/>
    <w:rsid w:val="0013569C"/>
    <w:rsid w:val="00135939"/>
    <w:rsid w:val="0013668F"/>
    <w:rsid w:val="001369E3"/>
    <w:rsid w:val="001375DD"/>
    <w:rsid w:val="0013774B"/>
    <w:rsid w:val="0014298B"/>
    <w:rsid w:val="00142EFB"/>
    <w:rsid w:val="001438BF"/>
    <w:rsid w:val="001443BD"/>
    <w:rsid w:val="00144A87"/>
    <w:rsid w:val="00144DD5"/>
    <w:rsid w:val="0014545C"/>
    <w:rsid w:val="00145B62"/>
    <w:rsid w:val="00146193"/>
    <w:rsid w:val="00152022"/>
    <w:rsid w:val="00152026"/>
    <w:rsid w:val="00152A41"/>
    <w:rsid w:val="001577E9"/>
    <w:rsid w:val="00157A59"/>
    <w:rsid w:val="001601ED"/>
    <w:rsid w:val="0016138C"/>
    <w:rsid w:val="00162D60"/>
    <w:rsid w:val="001640D5"/>
    <w:rsid w:val="00164BE6"/>
    <w:rsid w:val="001653D7"/>
    <w:rsid w:val="001659FB"/>
    <w:rsid w:val="00166F97"/>
    <w:rsid w:val="00172C99"/>
    <w:rsid w:val="001731CE"/>
    <w:rsid w:val="0017477C"/>
    <w:rsid w:val="00175C72"/>
    <w:rsid w:val="00177B37"/>
    <w:rsid w:val="00180F93"/>
    <w:rsid w:val="00181B06"/>
    <w:rsid w:val="00184459"/>
    <w:rsid w:val="00184CF2"/>
    <w:rsid w:val="0018672E"/>
    <w:rsid w:val="00187A15"/>
    <w:rsid w:val="00190F35"/>
    <w:rsid w:val="00191458"/>
    <w:rsid w:val="00191DD2"/>
    <w:rsid w:val="00196828"/>
    <w:rsid w:val="00196A14"/>
    <w:rsid w:val="00197DEC"/>
    <w:rsid w:val="00197E9B"/>
    <w:rsid w:val="001A1185"/>
    <w:rsid w:val="001A1FEB"/>
    <w:rsid w:val="001A3D77"/>
    <w:rsid w:val="001A4C03"/>
    <w:rsid w:val="001B0481"/>
    <w:rsid w:val="001B1418"/>
    <w:rsid w:val="001B3094"/>
    <w:rsid w:val="001B30F7"/>
    <w:rsid w:val="001B31F0"/>
    <w:rsid w:val="001B4862"/>
    <w:rsid w:val="001B5147"/>
    <w:rsid w:val="001B65FF"/>
    <w:rsid w:val="001B68E7"/>
    <w:rsid w:val="001B710A"/>
    <w:rsid w:val="001B771D"/>
    <w:rsid w:val="001B7C20"/>
    <w:rsid w:val="001C0B32"/>
    <w:rsid w:val="001C0FF7"/>
    <w:rsid w:val="001C2D66"/>
    <w:rsid w:val="001C36F7"/>
    <w:rsid w:val="001C4BE1"/>
    <w:rsid w:val="001C5338"/>
    <w:rsid w:val="001C7F21"/>
    <w:rsid w:val="001D1497"/>
    <w:rsid w:val="001D4332"/>
    <w:rsid w:val="001D53D7"/>
    <w:rsid w:val="001D5534"/>
    <w:rsid w:val="001D63D9"/>
    <w:rsid w:val="001D7ADF"/>
    <w:rsid w:val="001E0F71"/>
    <w:rsid w:val="001E17FB"/>
    <w:rsid w:val="001E255E"/>
    <w:rsid w:val="001E2B9B"/>
    <w:rsid w:val="001E2C06"/>
    <w:rsid w:val="001E35BA"/>
    <w:rsid w:val="001E49D3"/>
    <w:rsid w:val="001E4CCB"/>
    <w:rsid w:val="001E51A6"/>
    <w:rsid w:val="001E52CB"/>
    <w:rsid w:val="001E632C"/>
    <w:rsid w:val="001E6D05"/>
    <w:rsid w:val="001E73E8"/>
    <w:rsid w:val="001E7C28"/>
    <w:rsid w:val="001F11A1"/>
    <w:rsid w:val="001F1AB5"/>
    <w:rsid w:val="001F1BDF"/>
    <w:rsid w:val="001F1D6D"/>
    <w:rsid w:val="001F35F8"/>
    <w:rsid w:val="001F39FC"/>
    <w:rsid w:val="001F4AC3"/>
    <w:rsid w:val="001F4CAC"/>
    <w:rsid w:val="001F52E0"/>
    <w:rsid w:val="001F590C"/>
    <w:rsid w:val="001F7110"/>
    <w:rsid w:val="001F75DB"/>
    <w:rsid w:val="001F773D"/>
    <w:rsid w:val="001F7E96"/>
    <w:rsid w:val="002005F5"/>
    <w:rsid w:val="00200E93"/>
    <w:rsid w:val="00202284"/>
    <w:rsid w:val="00202C65"/>
    <w:rsid w:val="0020528D"/>
    <w:rsid w:val="0020543B"/>
    <w:rsid w:val="00205A66"/>
    <w:rsid w:val="002063CF"/>
    <w:rsid w:val="00206613"/>
    <w:rsid w:val="0020756B"/>
    <w:rsid w:val="00207E75"/>
    <w:rsid w:val="00210D86"/>
    <w:rsid w:val="0021158F"/>
    <w:rsid w:val="00212488"/>
    <w:rsid w:val="002129A6"/>
    <w:rsid w:val="002151DB"/>
    <w:rsid w:val="0021591A"/>
    <w:rsid w:val="00220628"/>
    <w:rsid w:val="002209AC"/>
    <w:rsid w:val="00221A45"/>
    <w:rsid w:val="00221BA0"/>
    <w:rsid w:val="00222DEE"/>
    <w:rsid w:val="002233F4"/>
    <w:rsid w:val="002235E6"/>
    <w:rsid w:val="002260C7"/>
    <w:rsid w:val="002304D2"/>
    <w:rsid w:val="002338C1"/>
    <w:rsid w:val="00233D04"/>
    <w:rsid w:val="00234ABD"/>
    <w:rsid w:val="00234E3F"/>
    <w:rsid w:val="00236491"/>
    <w:rsid w:val="00236C3B"/>
    <w:rsid w:val="00236E2A"/>
    <w:rsid w:val="00237F62"/>
    <w:rsid w:val="00241E10"/>
    <w:rsid w:val="00242A6B"/>
    <w:rsid w:val="0024458B"/>
    <w:rsid w:val="0024586A"/>
    <w:rsid w:val="0024601F"/>
    <w:rsid w:val="002502E1"/>
    <w:rsid w:val="00250F80"/>
    <w:rsid w:val="0025124F"/>
    <w:rsid w:val="00251330"/>
    <w:rsid w:val="002518A2"/>
    <w:rsid w:val="002528B3"/>
    <w:rsid w:val="0025551F"/>
    <w:rsid w:val="00255F8C"/>
    <w:rsid w:val="00256174"/>
    <w:rsid w:val="00256F0C"/>
    <w:rsid w:val="00257231"/>
    <w:rsid w:val="00260318"/>
    <w:rsid w:val="00261C23"/>
    <w:rsid w:val="00262C05"/>
    <w:rsid w:val="00263868"/>
    <w:rsid w:val="00266359"/>
    <w:rsid w:val="002715AF"/>
    <w:rsid w:val="002717F0"/>
    <w:rsid w:val="0027301C"/>
    <w:rsid w:val="00273099"/>
    <w:rsid w:val="00277524"/>
    <w:rsid w:val="00281D14"/>
    <w:rsid w:val="00282953"/>
    <w:rsid w:val="00282C13"/>
    <w:rsid w:val="002833D8"/>
    <w:rsid w:val="00285669"/>
    <w:rsid w:val="0028621C"/>
    <w:rsid w:val="00286BF6"/>
    <w:rsid w:val="00287337"/>
    <w:rsid w:val="00287DEE"/>
    <w:rsid w:val="002903B7"/>
    <w:rsid w:val="00294EB3"/>
    <w:rsid w:val="00295E54"/>
    <w:rsid w:val="002962D7"/>
    <w:rsid w:val="00296C33"/>
    <w:rsid w:val="002A0462"/>
    <w:rsid w:val="002A0D7B"/>
    <w:rsid w:val="002A0DF7"/>
    <w:rsid w:val="002A268C"/>
    <w:rsid w:val="002A2975"/>
    <w:rsid w:val="002A460D"/>
    <w:rsid w:val="002A4CEA"/>
    <w:rsid w:val="002A505B"/>
    <w:rsid w:val="002A5EE9"/>
    <w:rsid w:val="002A60E0"/>
    <w:rsid w:val="002B03A5"/>
    <w:rsid w:val="002B1AA8"/>
    <w:rsid w:val="002B1E51"/>
    <w:rsid w:val="002B1E87"/>
    <w:rsid w:val="002B35E0"/>
    <w:rsid w:val="002B687A"/>
    <w:rsid w:val="002B7F7D"/>
    <w:rsid w:val="002C1344"/>
    <w:rsid w:val="002C252E"/>
    <w:rsid w:val="002C3A2A"/>
    <w:rsid w:val="002C458A"/>
    <w:rsid w:val="002C6552"/>
    <w:rsid w:val="002C6773"/>
    <w:rsid w:val="002C6F51"/>
    <w:rsid w:val="002C7172"/>
    <w:rsid w:val="002C73EC"/>
    <w:rsid w:val="002D0FE0"/>
    <w:rsid w:val="002D269A"/>
    <w:rsid w:val="002D2A3D"/>
    <w:rsid w:val="002D3E72"/>
    <w:rsid w:val="002D3EAC"/>
    <w:rsid w:val="002D46A9"/>
    <w:rsid w:val="002D5D1D"/>
    <w:rsid w:val="002D6EFD"/>
    <w:rsid w:val="002D74CF"/>
    <w:rsid w:val="002E0A45"/>
    <w:rsid w:val="002E0B17"/>
    <w:rsid w:val="002E26B4"/>
    <w:rsid w:val="002E3B96"/>
    <w:rsid w:val="002E4478"/>
    <w:rsid w:val="002E4FFB"/>
    <w:rsid w:val="002E560E"/>
    <w:rsid w:val="002E6110"/>
    <w:rsid w:val="002E63A7"/>
    <w:rsid w:val="002E650E"/>
    <w:rsid w:val="002E6E2F"/>
    <w:rsid w:val="002E7DED"/>
    <w:rsid w:val="002F0334"/>
    <w:rsid w:val="002F2A7B"/>
    <w:rsid w:val="002F4AB2"/>
    <w:rsid w:val="002F5944"/>
    <w:rsid w:val="002F7BC2"/>
    <w:rsid w:val="002F7E11"/>
    <w:rsid w:val="0030037C"/>
    <w:rsid w:val="00301C72"/>
    <w:rsid w:val="003024F4"/>
    <w:rsid w:val="00304087"/>
    <w:rsid w:val="003053DC"/>
    <w:rsid w:val="003054B0"/>
    <w:rsid w:val="003057B1"/>
    <w:rsid w:val="003062AD"/>
    <w:rsid w:val="00306D32"/>
    <w:rsid w:val="00310ACD"/>
    <w:rsid w:val="00312C23"/>
    <w:rsid w:val="0031379F"/>
    <w:rsid w:val="00313A9C"/>
    <w:rsid w:val="00314A97"/>
    <w:rsid w:val="0031621E"/>
    <w:rsid w:val="00316A16"/>
    <w:rsid w:val="0031722C"/>
    <w:rsid w:val="00320228"/>
    <w:rsid w:val="00320A26"/>
    <w:rsid w:val="003212F3"/>
    <w:rsid w:val="00321344"/>
    <w:rsid w:val="00321788"/>
    <w:rsid w:val="00325064"/>
    <w:rsid w:val="00325630"/>
    <w:rsid w:val="00325EC9"/>
    <w:rsid w:val="00326D29"/>
    <w:rsid w:val="003279C6"/>
    <w:rsid w:val="0032B295"/>
    <w:rsid w:val="00331A3E"/>
    <w:rsid w:val="0033215E"/>
    <w:rsid w:val="0033451C"/>
    <w:rsid w:val="00335660"/>
    <w:rsid w:val="00335FBD"/>
    <w:rsid w:val="00336854"/>
    <w:rsid w:val="0033769B"/>
    <w:rsid w:val="0034015C"/>
    <w:rsid w:val="00341409"/>
    <w:rsid w:val="00341CAE"/>
    <w:rsid w:val="003442F4"/>
    <w:rsid w:val="00344546"/>
    <w:rsid w:val="003455CF"/>
    <w:rsid w:val="00345FA1"/>
    <w:rsid w:val="0034716E"/>
    <w:rsid w:val="00350CB4"/>
    <w:rsid w:val="00353705"/>
    <w:rsid w:val="00354B07"/>
    <w:rsid w:val="00354C69"/>
    <w:rsid w:val="00355536"/>
    <w:rsid w:val="003562E8"/>
    <w:rsid w:val="003614D7"/>
    <w:rsid w:val="00361E9F"/>
    <w:rsid w:val="00361FB0"/>
    <w:rsid w:val="0036357D"/>
    <w:rsid w:val="00363A3A"/>
    <w:rsid w:val="003649BC"/>
    <w:rsid w:val="00364F7E"/>
    <w:rsid w:val="00365E44"/>
    <w:rsid w:val="003662B1"/>
    <w:rsid w:val="003667AD"/>
    <w:rsid w:val="00367AA1"/>
    <w:rsid w:val="00370A5B"/>
    <w:rsid w:val="00372497"/>
    <w:rsid w:val="00372619"/>
    <w:rsid w:val="00372E36"/>
    <w:rsid w:val="00373D53"/>
    <w:rsid w:val="00375653"/>
    <w:rsid w:val="00375DFA"/>
    <w:rsid w:val="00375F7D"/>
    <w:rsid w:val="003767D3"/>
    <w:rsid w:val="00376EE9"/>
    <w:rsid w:val="00376FFC"/>
    <w:rsid w:val="00377CBB"/>
    <w:rsid w:val="00384F62"/>
    <w:rsid w:val="00385438"/>
    <w:rsid w:val="003858E5"/>
    <w:rsid w:val="003877B6"/>
    <w:rsid w:val="00391539"/>
    <w:rsid w:val="003915B0"/>
    <w:rsid w:val="003921B7"/>
    <w:rsid w:val="00393887"/>
    <w:rsid w:val="00393F1B"/>
    <w:rsid w:val="00394C6B"/>
    <w:rsid w:val="0039610B"/>
    <w:rsid w:val="00397C2B"/>
    <w:rsid w:val="00397C90"/>
    <w:rsid w:val="003A0961"/>
    <w:rsid w:val="003A290F"/>
    <w:rsid w:val="003A4AAA"/>
    <w:rsid w:val="003A4B10"/>
    <w:rsid w:val="003A4E2E"/>
    <w:rsid w:val="003A4E62"/>
    <w:rsid w:val="003A56EB"/>
    <w:rsid w:val="003A5A6A"/>
    <w:rsid w:val="003A5B7B"/>
    <w:rsid w:val="003A775E"/>
    <w:rsid w:val="003B02F2"/>
    <w:rsid w:val="003B0BD0"/>
    <w:rsid w:val="003B0CDD"/>
    <w:rsid w:val="003B1069"/>
    <w:rsid w:val="003B2BB0"/>
    <w:rsid w:val="003B2CC9"/>
    <w:rsid w:val="003B2EAB"/>
    <w:rsid w:val="003B38CC"/>
    <w:rsid w:val="003B390A"/>
    <w:rsid w:val="003B3D53"/>
    <w:rsid w:val="003B4477"/>
    <w:rsid w:val="003B4E3A"/>
    <w:rsid w:val="003B6373"/>
    <w:rsid w:val="003B79E1"/>
    <w:rsid w:val="003C0E8C"/>
    <w:rsid w:val="003C15DE"/>
    <w:rsid w:val="003C2096"/>
    <w:rsid w:val="003C2889"/>
    <w:rsid w:val="003C34C9"/>
    <w:rsid w:val="003C487A"/>
    <w:rsid w:val="003C4EB2"/>
    <w:rsid w:val="003C5E05"/>
    <w:rsid w:val="003C63D0"/>
    <w:rsid w:val="003C6C6B"/>
    <w:rsid w:val="003C7959"/>
    <w:rsid w:val="003D0FD1"/>
    <w:rsid w:val="003D3968"/>
    <w:rsid w:val="003D42AF"/>
    <w:rsid w:val="003D4AD2"/>
    <w:rsid w:val="003D5E11"/>
    <w:rsid w:val="003D73C0"/>
    <w:rsid w:val="003E031D"/>
    <w:rsid w:val="003E1343"/>
    <w:rsid w:val="003E5218"/>
    <w:rsid w:val="003E6849"/>
    <w:rsid w:val="003E7305"/>
    <w:rsid w:val="003F0C1C"/>
    <w:rsid w:val="003F11AB"/>
    <w:rsid w:val="003F1AF3"/>
    <w:rsid w:val="003F25E4"/>
    <w:rsid w:val="003F4743"/>
    <w:rsid w:val="003F4804"/>
    <w:rsid w:val="003F4AAA"/>
    <w:rsid w:val="003F4D8D"/>
    <w:rsid w:val="003F66A4"/>
    <w:rsid w:val="00401508"/>
    <w:rsid w:val="00401688"/>
    <w:rsid w:val="004024D9"/>
    <w:rsid w:val="0040257E"/>
    <w:rsid w:val="0040386D"/>
    <w:rsid w:val="00404188"/>
    <w:rsid w:val="00406435"/>
    <w:rsid w:val="004064F5"/>
    <w:rsid w:val="004066F9"/>
    <w:rsid w:val="00406CBE"/>
    <w:rsid w:val="004073DC"/>
    <w:rsid w:val="004128C1"/>
    <w:rsid w:val="004137C0"/>
    <w:rsid w:val="004138F3"/>
    <w:rsid w:val="00417640"/>
    <w:rsid w:val="00421F20"/>
    <w:rsid w:val="00423B63"/>
    <w:rsid w:val="0042630F"/>
    <w:rsid w:val="00427BEA"/>
    <w:rsid w:val="00427EDC"/>
    <w:rsid w:val="00430120"/>
    <w:rsid w:val="004313E7"/>
    <w:rsid w:val="00432542"/>
    <w:rsid w:val="004339B2"/>
    <w:rsid w:val="00436BD9"/>
    <w:rsid w:val="00436CCB"/>
    <w:rsid w:val="00440223"/>
    <w:rsid w:val="00444A70"/>
    <w:rsid w:val="0044763B"/>
    <w:rsid w:val="00452696"/>
    <w:rsid w:val="00453F32"/>
    <w:rsid w:val="004544B0"/>
    <w:rsid w:val="00454665"/>
    <w:rsid w:val="00456A53"/>
    <w:rsid w:val="004617C8"/>
    <w:rsid w:val="0046213C"/>
    <w:rsid w:val="00462518"/>
    <w:rsid w:val="0046266D"/>
    <w:rsid w:val="004629B3"/>
    <w:rsid w:val="00463022"/>
    <w:rsid w:val="0046376E"/>
    <w:rsid w:val="00463B50"/>
    <w:rsid w:val="004647C5"/>
    <w:rsid w:val="0046587C"/>
    <w:rsid w:val="0046690F"/>
    <w:rsid w:val="0046792B"/>
    <w:rsid w:val="00471116"/>
    <w:rsid w:val="00472FEC"/>
    <w:rsid w:val="0047503A"/>
    <w:rsid w:val="00476830"/>
    <w:rsid w:val="0047696E"/>
    <w:rsid w:val="004770F6"/>
    <w:rsid w:val="004812D2"/>
    <w:rsid w:val="00483617"/>
    <w:rsid w:val="00483B28"/>
    <w:rsid w:val="004858E1"/>
    <w:rsid w:val="00485EF2"/>
    <w:rsid w:val="004864A1"/>
    <w:rsid w:val="00486936"/>
    <w:rsid w:val="00487002"/>
    <w:rsid w:val="0048769E"/>
    <w:rsid w:val="00490A03"/>
    <w:rsid w:val="00490B0D"/>
    <w:rsid w:val="00490E5D"/>
    <w:rsid w:val="004910D2"/>
    <w:rsid w:val="00492B0A"/>
    <w:rsid w:val="00492D88"/>
    <w:rsid w:val="00493327"/>
    <w:rsid w:val="0049382E"/>
    <w:rsid w:val="00493B38"/>
    <w:rsid w:val="00494DBE"/>
    <w:rsid w:val="00495CE6"/>
    <w:rsid w:val="00496A03"/>
    <w:rsid w:val="00497524"/>
    <w:rsid w:val="00497D5E"/>
    <w:rsid w:val="004A144D"/>
    <w:rsid w:val="004A1D27"/>
    <w:rsid w:val="004A267A"/>
    <w:rsid w:val="004A323C"/>
    <w:rsid w:val="004B0801"/>
    <w:rsid w:val="004B1117"/>
    <w:rsid w:val="004B1A6B"/>
    <w:rsid w:val="004B1FC8"/>
    <w:rsid w:val="004B339A"/>
    <w:rsid w:val="004B34C7"/>
    <w:rsid w:val="004B54E8"/>
    <w:rsid w:val="004B6B1F"/>
    <w:rsid w:val="004B773C"/>
    <w:rsid w:val="004C0138"/>
    <w:rsid w:val="004C0686"/>
    <w:rsid w:val="004C12E8"/>
    <w:rsid w:val="004C130C"/>
    <w:rsid w:val="004C1578"/>
    <w:rsid w:val="004C174B"/>
    <w:rsid w:val="004C286B"/>
    <w:rsid w:val="004C33BA"/>
    <w:rsid w:val="004C47EA"/>
    <w:rsid w:val="004C4F20"/>
    <w:rsid w:val="004C4FEB"/>
    <w:rsid w:val="004C6570"/>
    <w:rsid w:val="004C678C"/>
    <w:rsid w:val="004C6B79"/>
    <w:rsid w:val="004C7345"/>
    <w:rsid w:val="004D059B"/>
    <w:rsid w:val="004D09E8"/>
    <w:rsid w:val="004D09F9"/>
    <w:rsid w:val="004D0E64"/>
    <w:rsid w:val="004D304E"/>
    <w:rsid w:val="004D4543"/>
    <w:rsid w:val="004D48A8"/>
    <w:rsid w:val="004D4CB6"/>
    <w:rsid w:val="004D4DCB"/>
    <w:rsid w:val="004E0907"/>
    <w:rsid w:val="004E13ED"/>
    <w:rsid w:val="004E20CF"/>
    <w:rsid w:val="004E2324"/>
    <w:rsid w:val="004E28C9"/>
    <w:rsid w:val="004E3341"/>
    <w:rsid w:val="004E5124"/>
    <w:rsid w:val="004E7BE2"/>
    <w:rsid w:val="004E7E3A"/>
    <w:rsid w:val="004F10C1"/>
    <w:rsid w:val="004F1C5E"/>
    <w:rsid w:val="004F3E47"/>
    <w:rsid w:val="004F4CC8"/>
    <w:rsid w:val="004F4F5A"/>
    <w:rsid w:val="004F51FF"/>
    <w:rsid w:val="004F56E7"/>
    <w:rsid w:val="004F5AD9"/>
    <w:rsid w:val="004F699F"/>
    <w:rsid w:val="004F6A16"/>
    <w:rsid w:val="00500955"/>
    <w:rsid w:val="0050159C"/>
    <w:rsid w:val="005018C2"/>
    <w:rsid w:val="005022B7"/>
    <w:rsid w:val="00502E62"/>
    <w:rsid w:val="005066FF"/>
    <w:rsid w:val="00506B8A"/>
    <w:rsid w:val="005110D3"/>
    <w:rsid w:val="00520A65"/>
    <w:rsid w:val="00520B76"/>
    <w:rsid w:val="00521891"/>
    <w:rsid w:val="005218B8"/>
    <w:rsid w:val="0052212B"/>
    <w:rsid w:val="005221A8"/>
    <w:rsid w:val="005230C7"/>
    <w:rsid w:val="0052625A"/>
    <w:rsid w:val="005266EA"/>
    <w:rsid w:val="00527072"/>
    <w:rsid w:val="0053001D"/>
    <w:rsid w:val="00531165"/>
    <w:rsid w:val="00533DCC"/>
    <w:rsid w:val="00534B46"/>
    <w:rsid w:val="00534CE8"/>
    <w:rsid w:val="00535018"/>
    <w:rsid w:val="00535180"/>
    <w:rsid w:val="005355DB"/>
    <w:rsid w:val="00535866"/>
    <w:rsid w:val="00540358"/>
    <w:rsid w:val="00540A05"/>
    <w:rsid w:val="00540D47"/>
    <w:rsid w:val="005428D7"/>
    <w:rsid w:val="00542D43"/>
    <w:rsid w:val="00544504"/>
    <w:rsid w:val="005463C3"/>
    <w:rsid w:val="005465A3"/>
    <w:rsid w:val="00547C7C"/>
    <w:rsid w:val="005506D5"/>
    <w:rsid w:val="00550864"/>
    <w:rsid w:val="00550B92"/>
    <w:rsid w:val="00551D6C"/>
    <w:rsid w:val="00553580"/>
    <w:rsid w:val="005550A8"/>
    <w:rsid w:val="0055571E"/>
    <w:rsid w:val="005569F4"/>
    <w:rsid w:val="00556F67"/>
    <w:rsid w:val="00557849"/>
    <w:rsid w:val="00563009"/>
    <w:rsid w:val="005635B7"/>
    <w:rsid w:val="00564534"/>
    <w:rsid w:val="005652E8"/>
    <w:rsid w:val="0056772E"/>
    <w:rsid w:val="00567A17"/>
    <w:rsid w:val="00567C29"/>
    <w:rsid w:val="00572750"/>
    <w:rsid w:val="00572A23"/>
    <w:rsid w:val="00575808"/>
    <w:rsid w:val="0057667C"/>
    <w:rsid w:val="00576BDA"/>
    <w:rsid w:val="00577DB4"/>
    <w:rsid w:val="00581B1C"/>
    <w:rsid w:val="00582400"/>
    <w:rsid w:val="005826DA"/>
    <w:rsid w:val="00582943"/>
    <w:rsid w:val="00582B83"/>
    <w:rsid w:val="00582D0E"/>
    <w:rsid w:val="00582E09"/>
    <w:rsid w:val="005833F0"/>
    <w:rsid w:val="0058377F"/>
    <w:rsid w:val="00586280"/>
    <w:rsid w:val="005865FC"/>
    <w:rsid w:val="005869CE"/>
    <w:rsid w:val="00586CAF"/>
    <w:rsid w:val="005873E9"/>
    <w:rsid w:val="00587A90"/>
    <w:rsid w:val="00591180"/>
    <w:rsid w:val="00592E9F"/>
    <w:rsid w:val="00595286"/>
    <w:rsid w:val="0059722C"/>
    <w:rsid w:val="005977A6"/>
    <w:rsid w:val="00597D07"/>
    <w:rsid w:val="00597DD6"/>
    <w:rsid w:val="005A16E6"/>
    <w:rsid w:val="005A30D7"/>
    <w:rsid w:val="005A3846"/>
    <w:rsid w:val="005A3AE3"/>
    <w:rsid w:val="005A47F8"/>
    <w:rsid w:val="005A5E6B"/>
    <w:rsid w:val="005A678F"/>
    <w:rsid w:val="005A7DE8"/>
    <w:rsid w:val="005A7E97"/>
    <w:rsid w:val="005B0DFE"/>
    <w:rsid w:val="005B2CD2"/>
    <w:rsid w:val="005B632A"/>
    <w:rsid w:val="005B6A58"/>
    <w:rsid w:val="005C2D0E"/>
    <w:rsid w:val="005C5A83"/>
    <w:rsid w:val="005C7112"/>
    <w:rsid w:val="005D0561"/>
    <w:rsid w:val="005D0AD9"/>
    <w:rsid w:val="005D1A67"/>
    <w:rsid w:val="005D1C91"/>
    <w:rsid w:val="005D22F6"/>
    <w:rsid w:val="005D4733"/>
    <w:rsid w:val="005D6774"/>
    <w:rsid w:val="005D68AA"/>
    <w:rsid w:val="005D6BD1"/>
    <w:rsid w:val="005E060E"/>
    <w:rsid w:val="005E0C30"/>
    <w:rsid w:val="005E1DCB"/>
    <w:rsid w:val="005E2377"/>
    <w:rsid w:val="005E2EE4"/>
    <w:rsid w:val="005E33E0"/>
    <w:rsid w:val="005E3FBB"/>
    <w:rsid w:val="005E66B4"/>
    <w:rsid w:val="005E69D9"/>
    <w:rsid w:val="005E6CB1"/>
    <w:rsid w:val="005E7116"/>
    <w:rsid w:val="005E7971"/>
    <w:rsid w:val="005F17D1"/>
    <w:rsid w:val="005F21E6"/>
    <w:rsid w:val="005F27F4"/>
    <w:rsid w:val="005F3239"/>
    <w:rsid w:val="005F39BF"/>
    <w:rsid w:val="005F566C"/>
    <w:rsid w:val="005F6567"/>
    <w:rsid w:val="005F676D"/>
    <w:rsid w:val="005F7A8A"/>
    <w:rsid w:val="00600998"/>
    <w:rsid w:val="00600ACF"/>
    <w:rsid w:val="006019EB"/>
    <w:rsid w:val="006027CA"/>
    <w:rsid w:val="00603828"/>
    <w:rsid w:val="00603902"/>
    <w:rsid w:val="00605DFE"/>
    <w:rsid w:val="00606DF6"/>
    <w:rsid w:val="00607094"/>
    <w:rsid w:val="00607256"/>
    <w:rsid w:val="0060790C"/>
    <w:rsid w:val="0060791E"/>
    <w:rsid w:val="00611F08"/>
    <w:rsid w:val="00613BF1"/>
    <w:rsid w:val="006144B1"/>
    <w:rsid w:val="00615A5C"/>
    <w:rsid w:val="006177FF"/>
    <w:rsid w:val="0062077F"/>
    <w:rsid w:val="00621BC7"/>
    <w:rsid w:val="00622033"/>
    <w:rsid w:val="0062232C"/>
    <w:rsid w:val="006228DF"/>
    <w:rsid w:val="0062641C"/>
    <w:rsid w:val="00630644"/>
    <w:rsid w:val="006335F1"/>
    <w:rsid w:val="006336FD"/>
    <w:rsid w:val="00633B49"/>
    <w:rsid w:val="006345B6"/>
    <w:rsid w:val="006349FD"/>
    <w:rsid w:val="00634A2C"/>
    <w:rsid w:val="00635616"/>
    <w:rsid w:val="00635712"/>
    <w:rsid w:val="00635984"/>
    <w:rsid w:val="00635F41"/>
    <w:rsid w:val="006368FF"/>
    <w:rsid w:val="006377D4"/>
    <w:rsid w:val="00640135"/>
    <w:rsid w:val="006402FF"/>
    <w:rsid w:val="00640A34"/>
    <w:rsid w:val="0064107F"/>
    <w:rsid w:val="00643D8A"/>
    <w:rsid w:val="00645A5C"/>
    <w:rsid w:val="00645FB5"/>
    <w:rsid w:val="00646797"/>
    <w:rsid w:val="00647573"/>
    <w:rsid w:val="00647AB9"/>
    <w:rsid w:val="00650894"/>
    <w:rsid w:val="0065112B"/>
    <w:rsid w:val="00652091"/>
    <w:rsid w:val="00652229"/>
    <w:rsid w:val="00652793"/>
    <w:rsid w:val="006528DE"/>
    <w:rsid w:val="006531C8"/>
    <w:rsid w:val="00657789"/>
    <w:rsid w:val="00660196"/>
    <w:rsid w:val="00660320"/>
    <w:rsid w:val="0066187E"/>
    <w:rsid w:val="00662375"/>
    <w:rsid w:val="006626CA"/>
    <w:rsid w:val="00663487"/>
    <w:rsid w:val="00663FC3"/>
    <w:rsid w:val="006662DE"/>
    <w:rsid w:val="006702BD"/>
    <w:rsid w:val="006704FC"/>
    <w:rsid w:val="00672382"/>
    <w:rsid w:val="006733BB"/>
    <w:rsid w:val="00676E80"/>
    <w:rsid w:val="006801DE"/>
    <w:rsid w:val="006802BC"/>
    <w:rsid w:val="00681257"/>
    <w:rsid w:val="00681C3E"/>
    <w:rsid w:val="006822E9"/>
    <w:rsid w:val="006823EE"/>
    <w:rsid w:val="00682643"/>
    <w:rsid w:val="00682EB9"/>
    <w:rsid w:val="00682F1E"/>
    <w:rsid w:val="0068378C"/>
    <w:rsid w:val="006839D3"/>
    <w:rsid w:val="0068441A"/>
    <w:rsid w:val="00684CF3"/>
    <w:rsid w:val="0068699A"/>
    <w:rsid w:val="00690842"/>
    <w:rsid w:val="00690B19"/>
    <w:rsid w:val="0069650C"/>
    <w:rsid w:val="006A0A3C"/>
    <w:rsid w:val="006A1ED8"/>
    <w:rsid w:val="006A59E9"/>
    <w:rsid w:val="006A5AB1"/>
    <w:rsid w:val="006A75B8"/>
    <w:rsid w:val="006A79F0"/>
    <w:rsid w:val="006B048F"/>
    <w:rsid w:val="006B1BC1"/>
    <w:rsid w:val="006B359D"/>
    <w:rsid w:val="006B47EE"/>
    <w:rsid w:val="006B499F"/>
    <w:rsid w:val="006B54C6"/>
    <w:rsid w:val="006B617F"/>
    <w:rsid w:val="006C1FB8"/>
    <w:rsid w:val="006C2BB0"/>
    <w:rsid w:val="006C33BE"/>
    <w:rsid w:val="006C4B3D"/>
    <w:rsid w:val="006C5B53"/>
    <w:rsid w:val="006C757C"/>
    <w:rsid w:val="006C7E78"/>
    <w:rsid w:val="006D064D"/>
    <w:rsid w:val="006D098F"/>
    <w:rsid w:val="006D20E3"/>
    <w:rsid w:val="006D2218"/>
    <w:rsid w:val="006D33E1"/>
    <w:rsid w:val="006D4996"/>
    <w:rsid w:val="006D535B"/>
    <w:rsid w:val="006D54AB"/>
    <w:rsid w:val="006D58E5"/>
    <w:rsid w:val="006E1084"/>
    <w:rsid w:val="006E10B2"/>
    <w:rsid w:val="006E1FA9"/>
    <w:rsid w:val="006E2D24"/>
    <w:rsid w:val="006E3006"/>
    <w:rsid w:val="006E4F02"/>
    <w:rsid w:val="006E5032"/>
    <w:rsid w:val="006E5BDA"/>
    <w:rsid w:val="006E7AC9"/>
    <w:rsid w:val="006F0FC7"/>
    <w:rsid w:val="006F39A9"/>
    <w:rsid w:val="006F3D9D"/>
    <w:rsid w:val="006F524E"/>
    <w:rsid w:val="006F5D57"/>
    <w:rsid w:val="006F643F"/>
    <w:rsid w:val="006F670F"/>
    <w:rsid w:val="006F74EC"/>
    <w:rsid w:val="006F77F3"/>
    <w:rsid w:val="0070063C"/>
    <w:rsid w:val="00700939"/>
    <w:rsid w:val="007009EF"/>
    <w:rsid w:val="00700D69"/>
    <w:rsid w:val="00702921"/>
    <w:rsid w:val="00703272"/>
    <w:rsid w:val="0070362C"/>
    <w:rsid w:val="0070471B"/>
    <w:rsid w:val="00705BBE"/>
    <w:rsid w:val="0070733C"/>
    <w:rsid w:val="00707436"/>
    <w:rsid w:val="007102D5"/>
    <w:rsid w:val="00710C5D"/>
    <w:rsid w:val="0071348C"/>
    <w:rsid w:val="00717273"/>
    <w:rsid w:val="00720FD4"/>
    <w:rsid w:val="00721072"/>
    <w:rsid w:val="00722F57"/>
    <w:rsid w:val="0072314B"/>
    <w:rsid w:val="00723C6D"/>
    <w:rsid w:val="00724550"/>
    <w:rsid w:val="007246A0"/>
    <w:rsid w:val="00724737"/>
    <w:rsid w:val="00724AF2"/>
    <w:rsid w:val="007262CD"/>
    <w:rsid w:val="0072777C"/>
    <w:rsid w:val="00730624"/>
    <w:rsid w:val="0073096C"/>
    <w:rsid w:val="0073100D"/>
    <w:rsid w:val="00731368"/>
    <w:rsid w:val="00731A70"/>
    <w:rsid w:val="00731C55"/>
    <w:rsid w:val="00733429"/>
    <w:rsid w:val="00733A46"/>
    <w:rsid w:val="00734ED2"/>
    <w:rsid w:val="00735E2D"/>
    <w:rsid w:val="00736DDC"/>
    <w:rsid w:val="00736F2C"/>
    <w:rsid w:val="007419C8"/>
    <w:rsid w:val="00741D9F"/>
    <w:rsid w:val="00742398"/>
    <w:rsid w:val="007432A9"/>
    <w:rsid w:val="00745C0B"/>
    <w:rsid w:val="00746050"/>
    <w:rsid w:val="00746118"/>
    <w:rsid w:val="00746C7F"/>
    <w:rsid w:val="007471D1"/>
    <w:rsid w:val="007507B5"/>
    <w:rsid w:val="0075091D"/>
    <w:rsid w:val="00750EC4"/>
    <w:rsid w:val="00751831"/>
    <w:rsid w:val="0075201B"/>
    <w:rsid w:val="007523F8"/>
    <w:rsid w:val="00753A24"/>
    <w:rsid w:val="0075430D"/>
    <w:rsid w:val="007558B1"/>
    <w:rsid w:val="0075779F"/>
    <w:rsid w:val="0076354B"/>
    <w:rsid w:val="0076414E"/>
    <w:rsid w:val="007658F3"/>
    <w:rsid w:val="007661FA"/>
    <w:rsid w:val="00766EA2"/>
    <w:rsid w:val="00767034"/>
    <w:rsid w:val="007712DB"/>
    <w:rsid w:val="00772188"/>
    <w:rsid w:val="0077222A"/>
    <w:rsid w:val="007724B9"/>
    <w:rsid w:val="00773909"/>
    <w:rsid w:val="0077411B"/>
    <w:rsid w:val="0077433B"/>
    <w:rsid w:val="00774E1E"/>
    <w:rsid w:val="0078118A"/>
    <w:rsid w:val="007813D0"/>
    <w:rsid w:val="007845AC"/>
    <w:rsid w:val="007845F0"/>
    <w:rsid w:val="00785993"/>
    <w:rsid w:val="00785A0D"/>
    <w:rsid w:val="00785FC4"/>
    <w:rsid w:val="007863BF"/>
    <w:rsid w:val="007866E2"/>
    <w:rsid w:val="00786BA3"/>
    <w:rsid w:val="00790993"/>
    <w:rsid w:val="0079132E"/>
    <w:rsid w:val="00791581"/>
    <w:rsid w:val="0079202F"/>
    <w:rsid w:val="0079203E"/>
    <w:rsid w:val="007934C3"/>
    <w:rsid w:val="00794903"/>
    <w:rsid w:val="00795486"/>
    <w:rsid w:val="00795AF2"/>
    <w:rsid w:val="00795E4F"/>
    <w:rsid w:val="007A0287"/>
    <w:rsid w:val="007A09FC"/>
    <w:rsid w:val="007A2AAD"/>
    <w:rsid w:val="007A4432"/>
    <w:rsid w:val="007A59E9"/>
    <w:rsid w:val="007A73C6"/>
    <w:rsid w:val="007A784E"/>
    <w:rsid w:val="007A7E31"/>
    <w:rsid w:val="007B02A0"/>
    <w:rsid w:val="007B278C"/>
    <w:rsid w:val="007B2DAD"/>
    <w:rsid w:val="007B3774"/>
    <w:rsid w:val="007B459E"/>
    <w:rsid w:val="007B4939"/>
    <w:rsid w:val="007B499C"/>
    <w:rsid w:val="007B4D4B"/>
    <w:rsid w:val="007B58C6"/>
    <w:rsid w:val="007B5EE2"/>
    <w:rsid w:val="007B645B"/>
    <w:rsid w:val="007B76D8"/>
    <w:rsid w:val="007B7708"/>
    <w:rsid w:val="007C0646"/>
    <w:rsid w:val="007C1607"/>
    <w:rsid w:val="007C1E5E"/>
    <w:rsid w:val="007C1E9D"/>
    <w:rsid w:val="007C3AE3"/>
    <w:rsid w:val="007C459E"/>
    <w:rsid w:val="007C6C51"/>
    <w:rsid w:val="007D0000"/>
    <w:rsid w:val="007D2A02"/>
    <w:rsid w:val="007D5DE7"/>
    <w:rsid w:val="007D5EA2"/>
    <w:rsid w:val="007D6144"/>
    <w:rsid w:val="007D62A4"/>
    <w:rsid w:val="007D6CE5"/>
    <w:rsid w:val="007D77BC"/>
    <w:rsid w:val="007E0917"/>
    <w:rsid w:val="007E1736"/>
    <w:rsid w:val="007E25DD"/>
    <w:rsid w:val="007E2887"/>
    <w:rsid w:val="007E3318"/>
    <w:rsid w:val="007E6EA1"/>
    <w:rsid w:val="007F0F63"/>
    <w:rsid w:val="007F2B1E"/>
    <w:rsid w:val="007F31AC"/>
    <w:rsid w:val="007F420A"/>
    <w:rsid w:val="007F4590"/>
    <w:rsid w:val="007F62B4"/>
    <w:rsid w:val="007F7DF9"/>
    <w:rsid w:val="00800FD6"/>
    <w:rsid w:val="00801517"/>
    <w:rsid w:val="00804053"/>
    <w:rsid w:val="00804966"/>
    <w:rsid w:val="0080510A"/>
    <w:rsid w:val="0080538F"/>
    <w:rsid w:val="0080596A"/>
    <w:rsid w:val="00805CBF"/>
    <w:rsid w:val="008079E2"/>
    <w:rsid w:val="00810AC4"/>
    <w:rsid w:val="0081218E"/>
    <w:rsid w:val="0081228B"/>
    <w:rsid w:val="00813492"/>
    <w:rsid w:val="00813643"/>
    <w:rsid w:val="00813A7E"/>
    <w:rsid w:val="00814DE2"/>
    <w:rsid w:val="008177EE"/>
    <w:rsid w:val="00817895"/>
    <w:rsid w:val="00817AE8"/>
    <w:rsid w:val="00817DE8"/>
    <w:rsid w:val="008229F5"/>
    <w:rsid w:val="008259DE"/>
    <w:rsid w:val="0082699A"/>
    <w:rsid w:val="00827D15"/>
    <w:rsid w:val="00827F2A"/>
    <w:rsid w:val="00832633"/>
    <w:rsid w:val="0083342C"/>
    <w:rsid w:val="00833869"/>
    <w:rsid w:val="00833CEB"/>
    <w:rsid w:val="0083662B"/>
    <w:rsid w:val="008372D2"/>
    <w:rsid w:val="008377BC"/>
    <w:rsid w:val="00841383"/>
    <w:rsid w:val="00841647"/>
    <w:rsid w:val="00844C17"/>
    <w:rsid w:val="00846017"/>
    <w:rsid w:val="00847726"/>
    <w:rsid w:val="00851033"/>
    <w:rsid w:val="00851A55"/>
    <w:rsid w:val="00851CB1"/>
    <w:rsid w:val="00852511"/>
    <w:rsid w:val="0085252F"/>
    <w:rsid w:val="008542A3"/>
    <w:rsid w:val="00855E54"/>
    <w:rsid w:val="00855FD0"/>
    <w:rsid w:val="00857408"/>
    <w:rsid w:val="008578A9"/>
    <w:rsid w:val="0086072A"/>
    <w:rsid w:val="0086088F"/>
    <w:rsid w:val="008614F1"/>
    <w:rsid w:val="00862FD6"/>
    <w:rsid w:val="008639B3"/>
    <w:rsid w:val="00863C1A"/>
    <w:rsid w:val="00863DA3"/>
    <w:rsid w:val="0086470F"/>
    <w:rsid w:val="00865882"/>
    <w:rsid w:val="00866CDD"/>
    <w:rsid w:val="00867A66"/>
    <w:rsid w:val="008712FE"/>
    <w:rsid w:val="0087134C"/>
    <w:rsid w:val="0087142D"/>
    <w:rsid w:val="00871A66"/>
    <w:rsid w:val="00871B30"/>
    <w:rsid w:val="00871FF6"/>
    <w:rsid w:val="00872928"/>
    <w:rsid w:val="00872DA6"/>
    <w:rsid w:val="00873416"/>
    <w:rsid w:val="00873956"/>
    <w:rsid w:val="0087538C"/>
    <w:rsid w:val="00875CB0"/>
    <w:rsid w:val="008770CC"/>
    <w:rsid w:val="00877800"/>
    <w:rsid w:val="00877C32"/>
    <w:rsid w:val="0088094B"/>
    <w:rsid w:val="00880E08"/>
    <w:rsid w:val="00880E72"/>
    <w:rsid w:val="0088176E"/>
    <w:rsid w:val="008825EE"/>
    <w:rsid w:val="00882DE4"/>
    <w:rsid w:val="0088313E"/>
    <w:rsid w:val="0088596E"/>
    <w:rsid w:val="00885D26"/>
    <w:rsid w:val="00886C54"/>
    <w:rsid w:val="00886F34"/>
    <w:rsid w:val="008870ED"/>
    <w:rsid w:val="008870FF"/>
    <w:rsid w:val="008877FC"/>
    <w:rsid w:val="00887E5A"/>
    <w:rsid w:val="00891462"/>
    <w:rsid w:val="00891D8A"/>
    <w:rsid w:val="00895083"/>
    <w:rsid w:val="00895498"/>
    <w:rsid w:val="0089796A"/>
    <w:rsid w:val="0089799B"/>
    <w:rsid w:val="008A2375"/>
    <w:rsid w:val="008A3AC0"/>
    <w:rsid w:val="008A54B6"/>
    <w:rsid w:val="008A56FE"/>
    <w:rsid w:val="008A6622"/>
    <w:rsid w:val="008A7DEB"/>
    <w:rsid w:val="008B1B65"/>
    <w:rsid w:val="008B3557"/>
    <w:rsid w:val="008B39E0"/>
    <w:rsid w:val="008B4302"/>
    <w:rsid w:val="008B56BD"/>
    <w:rsid w:val="008B605A"/>
    <w:rsid w:val="008C093B"/>
    <w:rsid w:val="008C0E76"/>
    <w:rsid w:val="008C2665"/>
    <w:rsid w:val="008C4EF6"/>
    <w:rsid w:val="008C5CD8"/>
    <w:rsid w:val="008C6041"/>
    <w:rsid w:val="008C68D0"/>
    <w:rsid w:val="008C74E3"/>
    <w:rsid w:val="008D0936"/>
    <w:rsid w:val="008D403B"/>
    <w:rsid w:val="008D4707"/>
    <w:rsid w:val="008D76C5"/>
    <w:rsid w:val="008E0A04"/>
    <w:rsid w:val="008E0AFA"/>
    <w:rsid w:val="008E131A"/>
    <w:rsid w:val="008E1BBC"/>
    <w:rsid w:val="008E26B4"/>
    <w:rsid w:val="008E2799"/>
    <w:rsid w:val="008E411B"/>
    <w:rsid w:val="008E4F56"/>
    <w:rsid w:val="008E75D3"/>
    <w:rsid w:val="008E7E48"/>
    <w:rsid w:val="008F02E9"/>
    <w:rsid w:val="008F0CE4"/>
    <w:rsid w:val="008F125E"/>
    <w:rsid w:val="008F1CC5"/>
    <w:rsid w:val="008F2B54"/>
    <w:rsid w:val="008F2CC5"/>
    <w:rsid w:val="008F2F3B"/>
    <w:rsid w:val="008F4C1E"/>
    <w:rsid w:val="008F4D2F"/>
    <w:rsid w:val="008F510A"/>
    <w:rsid w:val="008F55A2"/>
    <w:rsid w:val="00900235"/>
    <w:rsid w:val="00900760"/>
    <w:rsid w:val="00900D3C"/>
    <w:rsid w:val="00902097"/>
    <w:rsid w:val="00906292"/>
    <w:rsid w:val="0090713D"/>
    <w:rsid w:val="00907AA5"/>
    <w:rsid w:val="009136BA"/>
    <w:rsid w:val="00914B5B"/>
    <w:rsid w:val="00917162"/>
    <w:rsid w:val="009172B9"/>
    <w:rsid w:val="009178AA"/>
    <w:rsid w:val="00923001"/>
    <w:rsid w:val="0092358D"/>
    <w:rsid w:val="009238BF"/>
    <w:rsid w:val="009251CC"/>
    <w:rsid w:val="0092714E"/>
    <w:rsid w:val="00927661"/>
    <w:rsid w:val="00931E24"/>
    <w:rsid w:val="009324F0"/>
    <w:rsid w:val="00932AF8"/>
    <w:rsid w:val="0093478F"/>
    <w:rsid w:val="00936826"/>
    <w:rsid w:val="00940B3D"/>
    <w:rsid w:val="00942002"/>
    <w:rsid w:val="00942359"/>
    <w:rsid w:val="009446D6"/>
    <w:rsid w:val="009457DC"/>
    <w:rsid w:val="0094623A"/>
    <w:rsid w:val="00946FC5"/>
    <w:rsid w:val="00947885"/>
    <w:rsid w:val="009504AB"/>
    <w:rsid w:val="00951212"/>
    <w:rsid w:val="00951818"/>
    <w:rsid w:val="00952168"/>
    <w:rsid w:val="009527FE"/>
    <w:rsid w:val="009529B2"/>
    <w:rsid w:val="00952C07"/>
    <w:rsid w:val="009535A6"/>
    <w:rsid w:val="009538D0"/>
    <w:rsid w:val="0095421F"/>
    <w:rsid w:val="009555CA"/>
    <w:rsid w:val="00955D69"/>
    <w:rsid w:val="009577B8"/>
    <w:rsid w:val="00960539"/>
    <w:rsid w:val="009605B1"/>
    <w:rsid w:val="00960CBC"/>
    <w:rsid w:val="009621EE"/>
    <w:rsid w:val="00963A06"/>
    <w:rsid w:val="00964B2B"/>
    <w:rsid w:val="00965192"/>
    <w:rsid w:val="00967671"/>
    <w:rsid w:val="00967DD4"/>
    <w:rsid w:val="009700B1"/>
    <w:rsid w:val="00970ECF"/>
    <w:rsid w:val="00970FB7"/>
    <w:rsid w:val="00971261"/>
    <w:rsid w:val="00971FD4"/>
    <w:rsid w:val="009722CB"/>
    <w:rsid w:val="009739A0"/>
    <w:rsid w:val="00974EE4"/>
    <w:rsid w:val="00974F84"/>
    <w:rsid w:val="00975D5B"/>
    <w:rsid w:val="00976216"/>
    <w:rsid w:val="009767C7"/>
    <w:rsid w:val="00977D30"/>
    <w:rsid w:val="0098093C"/>
    <w:rsid w:val="009809DA"/>
    <w:rsid w:val="00980E69"/>
    <w:rsid w:val="0098216A"/>
    <w:rsid w:val="00983309"/>
    <w:rsid w:val="0098334C"/>
    <w:rsid w:val="009839AE"/>
    <w:rsid w:val="00984175"/>
    <w:rsid w:val="00984643"/>
    <w:rsid w:val="0098576C"/>
    <w:rsid w:val="0098579A"/>
    <w:rsid w:val="00986397"/>
    <w:rsid w:val="009905FB"/>
    <w:rsid w:val="00991475"/>
    <w:rsid w:val="009918DD"/>
    <w:rsid w:val="0099195A"/>
    <w:rsid w:val="00991BD2"/>
    <w:rsid w:val="00992407"/>
    <w:rsid w:val="00992A11"/>
    <w:rsid w:val="00994681"/>
    <w:rsid w:val="0099486A"/>
    <w:rsid w:val="009968D8"/>
    <w:rsid w:val="009A0B33"/>
    <w:rsid w:val="009A0E26"/>
    <w:rsid w:val="009A16EC"/>
    <w:rsid w:val="009A22C2"/>
    <w:rsid w:val="009A547B"/>
    <w:rsid w:val="009A743E"/>
    <w:rsid w:val="009A7CF6"/>
    <w:rsid w:val="009B1B55"/>
    <w:rsid w:val="009B29B7"/>
    <w:rsid w:val="009B3199"/>
    <w:rsid w:val="009B32AC"/>
    <w:rsid w:val="009B3B37"/>
    <w:rsid w:val="009B63F4"/>
    <w:rsid w:val="009B6C6F"/>
    <w:rsid w:val="009B7D1F"/>
    <w:rsid w:val="009C05E4"/>
    <w:rsid w:val="009C088E"/>
    <w:rsid w:val="009C17DC"/>
    <w:rsid w:val="009C37AB"/>
    <w:rsid w:val="009C4C7A"/>
    <w:rsid w:val="009C4D35"/>
    <w:rsid w:val="009C5E51"/>
    <w:rsid w:val="009C7B68"/>
    <w:rsid w:val="009D0656"/>
    <w:rsid w:val="009D1522"/>
    <w:rsid w:val="009D24EC"/>
    <w:rsid w:val="009D3919"/>
    <w:rsid w:val="009D3E2E"/>
    <w:rsid w:val="009D51F0"/>
    <w:rsid w:val="009D51F7"/>
    <w:rsid w:val="009D6210"/>
    <w:rsid w:val="009D7252"/>
    <w:rsid w:val="009E1FF6"/>
    <w:rsid w:val="009E3CAF"/>
    <w:rsid w:val="009E3F48"/>
    <w:rsid w:val="009E53A5"/>
    <w:rsid w:val="009E5B95"/>
    <w:rsid w:val="009E5CCE"/>
    <w:rsid w:val="009E5EB4"/>
    <w:rsid w:val="009F563C"/>
    <w:rsid w:val="009F610E"/>
    <w:rsid w:val="00A00DA9"/>
    <w:rsid w:val="00A00E4B"/>
    <w:rsid w:val="00A00F7E"/>
    <w:rsid w:val="00A044D6"/>
    <w:rsid w:val="00A04ADB"/>
    <w:rsid w:val="00A04F89"/>
    <w:rsid w:val="00A05F11"/>
    <w:rsid w:val="00A115A6"/>
    <w:rsid w:val="00A11E0F"/>
    <w:rsid w:val="00A12378"/>
    <w:rsid w:val="00A13401"/>
    <w:rsid w:val="00A141E9"/>
    <w:rsid w:val="00A15D78"/>
    <w:rsid w:val="00A15EBE"/>
    <w:rsid w:val="00A17F5B"/>
    <w:rsid w:val="00A20196"/>
    <w:rsid w:val="00A211F4"/>
    <w:rsid w:val="00A216E5"/>
    <w:rsid w:val="00A24752"/>
    <w:rsid w:val="00A24BA8"/>
    <w:rsid w:val="00A26744"/>
    <w:rsid w:val="00A26CB6"/>
    <w:rsid w:val="00A30A00"/>
    <w:rsid w:val="00A32F82"/>
    <w:rsid w:val="00A32F8B"/>
    <w:rsid w:val="00A3431E"/>
    <w:rsid w:val="00A34F9F"/>
    <w:rsid w:val="00A36481"/>
    <w:rsid w:val="00A36675"/>
    <w:rsid w:val="00A3756F"/>
    <w:rsid w:val="00A41CC3"/>
    <w:rsid w:val="00A41DBE"/>
    <w:rsid w:val="00A42D6F"/>
    <w:rsid w:val="00A43870"/>
    <w:rsid w:val="00A44642"/>
    <w:rsid w:val="00A4474B"/>
    <w:rsid w:val="00A45717"/>
    <w:rsid w:val="00A45A62"/>
    <w:rsid w:val="00A462DC"/>
    <w:rsid w:val="00A4657C"/>
    <w:rsid w:val="00A46C7E"/>
    <w:rsid w:val="00A51CE8"/>
    <w:rsid w:val="00A51DB8"/>
    <w:rsid w:val="00A52E0B"/>
    <w:rsid w:val="00A52FA1"/>
    <w:rsid w:val="00A54AC5"/>
    <w:rsid w:val="00A54C2A"/>
    <w:rsid w:val="00A55DC3"/>
    <w:rsid w:val="00A56D41"/>
    <w:rsid w:val="00A56DEC"/>
    <w:rsid w:val="00A57709"/>
    <w:rsid w:val="00A60529"/>
    <w:rsid w:val="00A60899"/>
    <w:rsid w:val="00A608D3"/>
    <w:rsid w:val="00A60F91"/>
    <w:rsid w:val="00A61353"/>
    <w:rsid w:val="00A61481"/>
    <w:rsid w:val="00A616F1"/>
    <w:rsid w:val="00A61A48"/>
    <w:rsid w:val="00A629D6"/>
    <w:rsid w:val="00A6364F"/>
    <w:rsid w:val="00A637C9"/>
    <w:rsid w:val="00A65278"/>
    <w:rsid w:val="00A66DB1"/>
    <w:rsid w:val="00A67A92"/>
    <w:rsid w:val="00A70DC6"/>
    <w:rsid w:val="00A74FDC"/>
    <w:rsid w:val="00A77192"/>
    <w:rsid w:val="00A8089F"/>
    <w:rsid w:val="00A842D5"/>
    <w:rsid w:val="00A851BD"/>
    <w:rsid w:val="00A87870"/>
    <w:rsid w:val="00A87F87"/>
    <w:rsid w:val="00A903F3"/>
    <w:rsid w:val="00A90F18"/>
    <w:rsid w:val="00A90FFB"/>
    <w:rsid w:val="00A9149D"/>
    <w:rsid w:val="00A91A70"/>
    <w:rsid w:val="00A92659"/>
    <w:rsid w:val="00A9302F"/>
    <w:rsid w:val="00A940AF"/>
    <w:rsid w:val="00A957F6"/>
    <w:rsid w:val="00A959CF"/>
    <w:rsid w:val="00A97316"/>
    <w:rsid w:val="00A974AA"/>
    <w:rsid w:val="00AA010B"/>
    <w:rsid w:val="00AA0D54"/>
    <w:rsid w:val="00AA1B85"/>
    <w:rsid w:val="00AA24E8"/>
    <w:rsid w:val="00AA3290"/>
    <w:rsid w:val="00AA46F0"/>
    <w:rsid w:val="00AA4CA2"/>
    <w:rsid w:val="00AA6481"/>
    <w:rsid w:val="00AA7270"/>
    <w:rsid w:val="00AB0C08"/>
    <w:rsid w:val="00AB12AC"/>
    <w:rsid w:val="00AB1CB6"/>
    <w:rsid w:val="00AB1D9A"/>
    <w:rsid w:val="00AB4A1F"/>
    <w:rsid w:val="00AB5C61"/>
    <w:rsid w:val="00AC0C5A"/>
    <w:rsid w:val="00AC23B1"/>
    <w:rsid w:val="00AC2FEE"/>
    <w:rsid w:val="00AC3540"/>
    <w:rsid w:val="00AC3D15"/>
    <w:rsid w:val="00AC5055"/>
    <w:rsid w:val="00AD0C22"/>
    <w:rsid w:val="00AD1AD7"/>
    <w:rsid w:val="00AD1AE2"/>
    <w:rsid w:val="00AD2A7E"/>
    <w:rsid w:val="00AD3290"/>
    <w:rsid w:val="00AD442C"/>
    <w:rsid w:val="00AD44FE"/>
    <w:rsid w:val="00AD57AC"/>
    <w:rsid w:val="00AD5A37"/>
    <w:rsid w:val="00AD73BF"/>
    <w:rsid w:val="00AE05A4"/>
    <w:rsid w:val="00AE177E"/>
    <w:rsid w:val="00AE244E"/>
    <w:rsid w:val="00AE25FC"/>
    <w:rsid w:val="00AE400C"/>
    <w:rsid w:val="00AE49F1"/>
    <w:rsid w:val="00AE4A1C"/>
    <w:rsid w:val="00AE4B7A"/>
    <w:rsid w:val="00AE5532"/>
    <w:rsid w:val="00AE74D8"/>
    <w:rsid w:val="00AF0B6F"/>
    <w:rsid w:val="00AF1D69"/>
    <w:rsid w:val="00AF30D0"/>
    <w:rsid w:val="00AF3FEC"/>
    <w:rsid w:val="00AF41FA"/>
    <w:rsid w:val="00AF581E"/>
    <w:rsid w:val="00AF71EB"/>
    <w:rsid w:val="00B00988"/>
    <w:rsid w:val="00B01405"/>
    <w:rsid w:val="00B04955"/>
    <w:rsid w:val="00B052E8"/>
    <w:rsid w:val="00B05CCA"/>
    <w:rsid w:val="00B0640F"/>
    <w:rsid w:val="00B06C79"/>
    <w:rsid w:val="00B0766D"/>
    <w:rsid w:val="00B100C9"/>
    <w:rsid w:val="00B10E8A"/>
    <w:rsid w:val="00B11099"/>
    <w:rsid w:val="00B1118A"/>
    <w:rsid w:val="00B12ED6"/>
    <w:rsid w:val="00B13C45"/>
    <w:rsid w:val="00B14271"/>
    <w:rsid w:val="00B16270"/>
    <w:rsid w:val="00B22459"/>
    <w:rsid w:val="00B22578"/>
    <w:rsid w:val="00B231B3"/>
    <w:rsid w:val="00B23C16"/>
    <w:rsid w:val="00B23C52"/>
    <w:rsid w:val="00B241F2"/>
    <w:rsid w:val="00B247C7"/>
    <w:rsid w:val="00B259E1"/>
    <w:rsid w:val="00B2685D"/>
    <w:rsid w:val="00B26D1E"/>
    <w:rsid w:val="00B30351"/>
    <w:rsid w:val="00B32601"/>
    <w:rsid w:val="00B3270B"/>
    <w:rsid w:val="00B33837"/>
    <w:rsid w:val="00B33C2A"/>
    <w:rsid w:val="00B33C35"/>
    <w:rsid w:val="00B34A14"/>
    <w:rsid w:val="00B35967"/>
    <w:rsid w:val="00B363D9"/>
    <w:rsid w:val="00B422EC"/>
    <w:rsid w:val="00B44875"/>
    <w:rsid w:val="00B44C07"/>
    <w:rsid w:val="00B46320"/>
    <w:rsid w:val="00B4657A"/>
    <w:rsid w:val="00B471F4"/>
    <w:rsid w:val="00B47F0A"/>
    <w:rsid w:val="00B50B6B"/>
    <w:rsid w:val="00B54329"/>
    <w:rsid w:val="00B54885"/>
    <w:rsid w:val="00B54BFF"/>
    <w:rsid w:val="00B554C9"/>
    <w:rsid w:val="00B5592E"/>
    <w:rsid w:val="00B56AD9"/>
    <w:rsid w:val="00B56EE3"/>
    <w:rsid w:val="00B57158"/>
    <w:rsid w:val="00B5778D"/>
    <w:rsid w:val="00B614C0"/>
    <w:rsid w:val="00B62B2A"/>
    <w:rsid w:val="00B634AB"/>
    <w:rsid w:val="00B63533"/>
    <w:rsid w:val="00B63624"/>
    <w:rsid w:val="00B6678B"/>
    <w:rsid w:val="00B66931"/>
    <w:rsid w:val="00B7037B"/>
    <w:rsid w:val="00B71798"/>
    <w:rsid w:val="00B719F6"/>
    <w:rsid w:val="00B726D4"/>
    <w:rsid w:val="00B72969"/>
    <w:rsid w:val="00B758FD"/>
    <w:rsid w:val="00B76807"/>
    <w:rsid w:val="00B77D24"/>
    <w:rsid w:val="00B80C2B"/>
    <w:rsid w:val="00B81A6C"/>
    <w:rsid w:val="00B8214F"/>
    <w:rsid w:val="00B82B43"/>
    <w:rsid w:val="00B82B48"/>
    <w:rsid w:val="00B85133"/>
    <w:rsid w:val="00B8643A"/>
    <w:rsid w:val="00B86A4F"/>
    <w:rsid w:val="00B90EDA"/>
    <w:rsid w:val="00B93035"/>
    <w:rsid w:val="00B93BDF"/>
    <w:rsid w:val="00B940EB"/>
    <w:rsid w:val="00B9431C"/>
    <w:rsid w:val="00B95798"/>
    <w:rsid w:val="00B958E8"/>
    <w:rsid w:val="00B97637"/>
    <w:rsid w:val="00B97E4A"/>
    <w:rsid w:val="00BA09B2"/>
    <w:rsid w:val="00BA0F35"/>
    <w:rsid w:val="00BA432A"/>
    <w:rsid w:val="00BA465D"/>
    <w:rsid w:val="00BA52C0"/>
    <w:rsid w:val="00BA5B46"/>
    <w:rsid w:val="00BA63D4"/>
    <w:rsid w:val="00BB10B4"/>
    <w:rsid w:val="00BB2D73"/>
    <w:rsid w:val="00BB400D"/>
    <w:rsid w:val="00BB45BA"/>
    <w:rsid w:val="00BB48B2"/>
    <w:rsid w:val="00BB4A3A"/>
    <w:rsid w:val="00BB4D24"/>
    <w:rsid w:val="00BB4D6A"/>
    <w:rsid w:val="00BB5302"/>
    <w:rsid w:val="00BB5D0B"/>
    <w:rsid w:val="00BB629C"/>
    <w:rsid w:val="00BC0995"/>
    <w:rsid w:val="00BC13C1"/>
    <w:rsid w:val="00BC1761"/>
    <w:rsid w:val="00BC19ED"/>
    <w:rsid w:val="00BC26B9"/>
    <w:rsid w:val="00BC36D4"/>
    <w:rsid w:val="00BC513A"/>
    <w:rsid w:val="00BC6C56"/>
    <w:rsid w:val="00BC6DE2"/>
    <w:rsid w:val="00BC6E62"/>
    <w:rsid w:val="00BD013A"/>
    <w:rsid w:val="00BD0C3A"/>
    <w:rsid w:val="00BD2510"/>
    <w:rsid w:val="00BD3A53"/>
    <w:rsid w:val="00BD5A19"/>
    <w:rsid w:val="00BD5DA5"/>
    <w:rsid w:val="00BD656A"/>
    <w:rsid w:val="00BD6D1B"/>
    <w:rsid w:val="00BE13AB"/>
    <w:rsid w:val="00BE2403"/>
    <w:rsid w:val="00BE2D0A"/>
    <w:rsid w:val="00BE47D4"/>
    <w:rsid w:val="00BE793A"/>
    <w:rsid w:val="00BE7A0B"/>
    <w:rsid w:val="00BF114D"/>
    <w:rsid w:val="00BF2B82"/>
    <w:rsid w:val="00BF2CEB"/>
    <w:rsid w:val="00BF432A"/>
    <w:rsid w:val="00BF5BC3"/>
    <w:rsid w:val="00BF5D70"/>
    <w:rsid w:val="00BF64A6"/>
    <w:rsid w:val="00BF6796"/>
    <w:rsid w:val="00BF6E82"/>
    <w:rsid w:val="00C01095"/>
    <w:rsid w:val="00C060C7"/>
    <w:rsid w:val="00C06DCC"/>
    <w:rsid w:val="00C07F92"/>
    <w:rsid w:val="00C10EA4"/>
    <w:rsid w:val="00C11D25"/>
    <w:rsid w:val="00C13217"/>
    <w:rsid w:val="00C15BEC"/>
    <w:rsid w:val="00C15DB5"/>
    <w:rsid w:val="00C16AF0"/>
    <w:rsid w:val="00C208E2"/>
    <w:rsid w:val="00C20D11"/>
    <w:rsid w:val="00C20D6E"/>
    <w:rsid w:val="00C21897"/>
    <w:rsid w:val="00C22054"/>
    <w:rsid w:val="00C2288E"/>
    <w:rsid w:val="00C22B54"/>
    <w:rsid w:val="00C24279"/>
    <w:rsid w:val="00C24383"/>
    <w:rsid w:val="00C24C17"/>
    <w:rsid w:val="00C31595"/>
    <w:rsid w:val="00C31B25"/>
    <w:rsid w:val="00C3309D"/>
    <w:rsid w:val="00C3411D"/>
    <w:rsid w:val="00C34357"/>
    <w:rsid w:val="00C34829"/>
    <w:rsid w:val="00C363B8"/>
    <w:rsid w:val="00C3758F"/>
    <w:rsid w:val="00C40B88"/>
    <w:rsid w:val="00C44489"/>
    <w:rsid w:val="00C44FC2"/>
    <w:rsid w:val="00C452D4"/>
    <w:rsid w:val="00C476A5"/>
    <w:rsid w:val="00C47D87"/>
    <w:rsid w:val="00C47FCD"/>
    <w:rsid w:val="00C50FA6"/>
    <w:rsid w:val="00C51C42"/>
    <w:rsid w:val="00C5376E"/>
    <w:rsid w:val="00C5432A"/>
    <w:rsid w:val="00C554C1"/>
    <w:rsid w:val="00C55AEE"/>
    <w:rsid w:val="00C56CE9"/>
    <w:rsid w:val="00C5701B"/>
    <w:rsid w:val="00C5735F"/>
    <w:rsid w:val="00C6069A"/>
    <w:rsid w:val="00C61BDC"/>
    <w:rsid w:val="00C64D40"/>
    <w:rsid w:val="00C65957"/>
    <w:rsid w:val="00C66218"/>
    <w:rsid w:val="00C677C9"/>
    <w:rsid w:val="00C70CEA"/>
    <w:rsid w:val="00C70DBC"/>
    <w:rsid w:val="00C71E80"/>
    <w:rsid w:val="00C757A6"/>
    <w:rsid w:val="00C7750A"/>
    <w:rsid w:val="00C80467"/>
    <w:rsid w:val="00C808A6"/>
    <w:rsid w:val="00C81811"/>
    <w:rsid w:val="00C82B81"/>
    <w:rsid w:val="00C84AC6"/>
    <w:rsid w:val="00C855DB"/>
    <w:rsid w:val="00C855F3"/>
    <w:rsid w:val="00C86270"/>
    <w:rsid w:val="00C86C49"/>
    <w:rsid w:val="00C90C20"/>
    <w:rsid w:val="00C93436"/>
    <w:rsid w:val="00C948CF"/>
    <w:rsid w:val="00C94F6F"/>
    <w:rsid w:val="00C95798"/>
    <w:rsid w:val="00C95A74"/>
    <w:rsid w:val="00C97091"/>
    <w:rsid w:val="00C97260"/>
    <w:rsid w:val="00C97391"/>
    <w:rsid w:val="00CA14A5"/>
    <w:rsid w:val="00CA1A7C"/>
    <w:rsid w:val="00CA1AB8"/>
    <w:rsid w:val="00CA2001"/>
    <w:rsid w:val="00CA23DC"/>
    <w:rsid w:val="00CA2B10"/>
    <w:rsid w:val="00CA38A7"/>
    <w:rsid w:val="00CA3F11"/>
    <w:rsid w:val="00CA5256"/>
    <w:rsid w:val="00CA5564"/>
    <w:rsid w:val="00CB078E"/>
    <w:rsid w:val="00CB3782"/>
    <w:rsid w:val="00CB41EA"/>
    <w:rsid w:val="00CB4D20"/>
    <w:rsid w:val="00CB5B6C"/>
    <w:rsid w:val="00CB74E3"/>
    <w:rsid w:val="00CC00ED"/>
    <w:rsid w:val="00CC052E"/>
    <w:rsid w:val="00CC06E5"/>
    <w:rsid w:val="00CC0B14"/>
    <w:rsid w:val="00CC5B9C"/>
    <w:rsid w:val="00CC7E62"/>
    <w:rsid w:val="00CD02DF"/>
    <w:rsid w:val="00CD10A5"/>
    <w:rsid w:val="00CD16BE"/>
    <w:rsid w:val="00CD179F"/>
    <w:rsid w:val="00CD1F32"/>
    <w:rsid w:val="00CD2268"/>
    <w:rsid w:val="00CD24AC"/>
    <w:rsid w:val="00CD2D95"/>
    <w:rsid w:val="00CD4616"/>
    <w:rsid w:val="00CD4BEC"/>
    <w:rsid w:val="00CD56AF"/>
    <w:rsid w:val="00CD5AF4"/>
    <w:rsid w:val="00CD5DE0"/>
    <w:rsid w:val="00CD5FFA"/>
    <w:rsid w:val="00CD608B"/>
    <w:rsid w:val="00CD61BB"/>
    <w:rsid w:val="00CE33D5"/>
    <w:rsid w:val="00CE4712"/>
    <w:rsid w:val="00CE6073"/>
    <w:rsid w:val="00CE761C"/>
    <w:rsid w:val="00CF4118"/>
    <w:rsid w:val="00CF5D37"/>
    <w:rsid w:val="00CF6353"/>
    <w:rsid w:val="00CF6F33"/>
    <w:rsid w:val="00CF7AFD"/>
    <w:rsid w:val="00CF7C7B"/>
    <w:rsid w:val="00D0176E"/>
    <w:rsid w:val="00D02248"/>
    <w:rsid w:val="00D04429"/>
    <w:rsid w:val="00D04B47"/>
    <w:rsid w:val="00D04E37"/>
    <w:rsid w:val="00D063B8"/>
    <w:rsid w:val="00D06825"/>
    <w:rsid w:val="00D07467"/>
    <w:rsid w:val="00D076E6"/>
    <w:rsid w:val="00D10594"/>
    <w:rsid w:val="00D148D9"/>
    <w:rsid w:val="00D15CDD"/>
    <w:rsid w:val="00D17185"/>
    <w:rsid w:val="00D17E3B"/>
    <w:rsid w:val="00D2118D"/>
    <w:rsid w:val="00D2306F"/>
    <w:rsid w:val="00D233A1"/>
    <w:rsid w:val="00D23C09"/>
    <w:rsid w:val="00D23CED"/>
    <w:rsid w:val="00D241D1"/>
    <w:rsid w:val="00D24BD2"/>
    <w:rsid w:val="00D254F7"/>
    <w:rsid w:val="00D2573D"/>
    <w:rsid w:val="00D260A2"/>
    <w:rsid w:val="00D30CC6"/>
    <w:rsid w:val="00D30DA4"/>
    <w:rsid w:val="00D31722"/>
    <w:rsid w:val="00D31D9F"/>
    <w:rsid w:val="00D3260C"/>
    <w:rsid w:val="00D32DE6"/>
    <w:rsid w:val="00D33DB5"/>
    <w:rsid w:val="00D35790"/>
    <w:rsid w:val="00D41971"/>
    <w:rsid w:val="00D442D5"/>
    <w:rsid w:val="00D45043"/>
    <w:rsid w:val="00D46B92"/>
    <w:rsid w:val="00D4757A"/>
    <w:rsid w:val="00D51576"/>
    <w:rsid w:val="00D519AF"/>
    <w:rsid w:val="00D532A9"/>
    <w:rsid w:val="00D5437A"/>
    <w:rsid w:val="00D5611E"/>
    <w:rsid w:val="00D5653B"/>
    <w:rsid w:val="00D56C30"/>
    <w:rsid w:val="00D56DF7"/>
    <w:rsid w:val="00D5726D"/>
    <w:rsid w:val="00D572AC"/>
    <w:rsid w:val="00D6071F"/>
    <w:rsid w:val="00D60AA4"/>
    <w:rsid w:val="00D61D6E"/>
    <w:rsid w:val="00D62A31"/>
    <w:rsid w:val="00D62EF1"/>
    <w:rsid w:val="00D6309D"/>
    <w:rsid w:val="00D634F9"/>
    <w:rsid w:val="00D6389F"/>
    <w:rsid w:val="00D644CA"/>
    <w:rsid w:val="00D64EA0"/>
    <w:rsid w:val="00D66FC2"/>
    <w:rsid w:val="00D7044E"/>
    <w:rsid w:val="00D704A8"/>
    <w:rsid w:val="00D70930"/>
    <w:rsid w:val="00D70CA5"/>
    <w:rsid w:val="00D7308C"/>
    <w:rsid w:val="00D758F4"/>
    <w:rsid w:val="00D76C2B"/>
    <w:rsid w:val="00D76C7E"/>
    <w:rsid w:val="00D771DE"/>
    <w:rsid w:val="00D7776D"/>
    <w:rsid w:val="00D80C6C"/>
    <w:rsid w:val="00D812EE"/>
    <w:rsid w:val="00D81AEF"/>
    <w:rsid w:val="00D82A42"/>
    <w:rsid w:val="00D82C40"/>
    <w:rsid w:val="00D834F1"/>
    <w:rsid w:val="00D83609"/>
    <w:rsid w:val="00D83AA6"/>
    <w:rsid w:val="00D84F84"/>
    <w:rsid w:val="00D851C7"/>
    <w:rsid w:val="00D85C0D"/>
    <w:rsid w:val="00D866CB"/>
    <w:rsid w:val="00D86909"/>
    <w:rsid w:val="00D87A9A"/>
    <w:rsid w:val="00D90625"/>
    <w:rsid w:val="00D909F8"/>
    <w:rsid w:val="00D9152C"/>
    <w:rsid w:val="00D92179"/>
    <w:rsid w:val="00D922C6"/>
    <w:rsid w:val="00D9293F"/>
    <w:rsid w:val="00D92DE7"/>
    <w:rsid w:val="00D93598"/>
    <w:rsid w:val="00D93FDD"/>
    <w:rsid w:val="00D942F8"/>
    <w:rsid w:val="00D9644B"/>
    <w:rsid w:val="00D97A5B"/>
    <w:rsid w:val="00DA1E18"/>
    <w:rsid w:val="00DA2009"/>
    <w:rsid w:val="00DA296C"/>
    <w:rsid w:val="00DA2A5F"/>
    <w:rsid w:val="00DA585A"/>
    <w:rsid w:val="00DA6634"/>
    <w:rsid w:val="00DA7741"/>
    <w:rsid w:val="00DA7769"/>
    <w:rsid w:val="00DB05B1"/>
    <w:rsid w:val="00DB2823"/>
    <w:rsid w:val="00DB2D74"/>
    <w:rsid w:val="00DB3786"/>
    <w:rsid w:val="00DB3910"/>
    <w:rsid w:val="00DB44DF"/>
    <w:rsid w:val="00DB59E8"/>
    <w:rsid w:val="00DB5A79"/>
    <w:rsid w:val="00DB6151"/>
    <w:rsid w:val="00DC1B86"/>
    <w:rsid w:val="00DC2465"/>
    <w:rsid w:val="00DC2B87"/>
    <w:rsid w:val="00DC4BCA"/>
    <w:rsid w:val="00DC5CA4"/>
    <w:rsid w:val="00DC5CDA"/>
    <w:rsid w:val="00DC5E2C"/>
    <w:rsid w:val="00DC6B80"/>
    <w:rsid w:val="00DC7497"/>
    <w:rsid w:val="00DC7D48"/>
    <w:rsid w:val="00DD0253"/>
    <w:rsid w:val="00DD145A"/>
    <w:rsid w:val="00DD1687"/>
    <w:rsid w:val="00DD4110"/>
    <w:rsid w:val="00DD4E1A"/>
    <w:rsid w:val="00DD512E"/>
    <w:rsid w:val="00DD5EC8"/>
    <w:rsid w:val="00DD7B34"/>
    <w:rsid w:val="00DD7BEC"/>
    <w:rsid w:val="00DE06C9"/>
    <w:rsid w:val="00DE083E"/>
    <w:rsid w:val="00DE0C22"/>
    <w:rsid w:val="00DE1177"/>
    <w:rsid w:val="00DE2CEA"/>
    <w:rsid w:val="00DE3CFE"/>
    <w:rsid w:val="00DE567C"/>
    <w:rsid w:val="00DE6154"/>
    <w:rsid w:val="00DE634D"/>
    <w:rsid w:val="00DE6A3C"/>
    <w:rsid w:val="00DE6C0E"/>
    <w:rsid w:val="00DE74F4"/>
    <w:rsid w:val="00DE7C8B"/>
    <w:rsid w:val="00DE7F97"/>
    <w:rsid w:val="00DF0AAF"/>
    <w:rsid w:val="00DF1010"/>
    <w:rsid w:val="00DF2244"/>
    <w:rsid w:val="00DF334D"/>
    <w:rsid w:val="00DF53D9"/>
    <w:rsid w:val="00DF5AEA"/>
    <w:rsid w:val="00DF5D49"/>
    <w:rsid w:val="00DF63F6"/>
    <w:rsid w:val="00DF7992"/>
    <w:rsid w:val="00DF7B43"/>
    <w:rsid w:val="00DF7BD0"/>
    <w:rsid w:val="00E003E6"/>
    <w:rsid w:val="00E00C8E"/>
    <w:rsid w:val="00E0219D"/>
    <w:rsid w:val="00E0276A"/>
    <w:rsid w:val="00E02B4A"/>
    <w:rsid w:val="00E0374B"/>
    <w:rsid w:val="00E0409D"/>
    <w:rsid w:val="00E0632F"/>
    <w:rsid w:val="00E06C36"/>
    <w:rsid w:val="00E071A9"/>
    <w:rsid w:val="00E07D26"/>
    <w:rsid w:val="00E10B28"/>
    <w:rsid w:val="00E10F79"/>
    <w:rsid w:val="00E117FD"/>
    <w:rsid w:val="00E119AA"/>
    <w:rsid w:val="00E13747"/>
    <w:rsid w:val="00E14758"/>
    <w:rsid w:val="00E154C1"/>
    <w:rsid w:val="00E21088"/>
    <w:rsid w:val="00E23C5E"/>
    <w:rsid w:val="00E23E29"/>
    <w:rsid w:val="00E24632"/>
    <w:rsid w:val="00E25155"/>
    <w:rsid w:val="00E25AEA"/>
    <w:rsid w:val="00E27C2C"/>
    <w:rsid w:val="00E30D26"/>
    <w:rsid w:val="00E30DEF"/>
    <w:rsid w:val="00E30ED2"/>
    <w:rsid w:val="00E31276"/>
    <w:rsid w:val="00E3155D"/>
    <w:rsid w:val="00E31E3B"/>
    <w:rsid w:val="00E32102"/>
    <w:rsid w:val="00E34666"/>
    <w:rsid w:val="00E36A66"/>
    <w:rsid w:val="00E37F70"/>
    <w:rsid w:val="00E41377"/>
    <w:rsid w:val="00E41985"/>
    <w:rsid w:val="00E42B89"/>
    <w:rsid w:val="00E4403D"/>
    <w:rsid w:val="00E446C1"/>
    <w:rsid w:val="00E46BCD"/>
    <w:rsid w:val="00E51CCC"/>
    <w:rsid w:val="00E52079"/>
    <w:rsid w:val="00E545D7"/>
    <w:rsid w:val="00E547FE"/>
    <w:rsid w:val="00E54960"/>
    <w:rsid w:val="00E55927"/>
    <w:rsid w:val="00E561E6"/>
    <w:rsid w:val="00E5669C"/>
    <w:rsid w:val="00E566DF"/>
    <w:rsid w:val="00E56A58"/>
    <w:rsid w:val="00E60ECA"/>
    <w:rsid w:val="00E613AB"/>
    <w:rsid w:val="00E61A7F"/>
    <w:rsid w:val="00E637B6"/>
    <w:rsid w:val="00E639A0"/>
    <w:rsid w:val="00E6460A"/>
    <w:rsid w:val="00E663B6"/>
    <w:rsid w:val="00E66BBE"/>
    <w:rsid w:val="00E670B5"/>
    <w:rsid w:val="00E6780D"/>
    <w:rsid w:val="00E67B4F"/>
    <w:rsid w:val="00E716A7"/>
    <w:rsid w:val="00E71DFE"/>
    <w:rsid w:val="00E73083"/>
    <w:rsid w:val="00E746BB"/>
    <w:rsid w:val="00E74988"/>
    <w:rsid w:val="00E756E4"/>
    <w:rsid w:val="00E758B9"/>
    <w:rsid w:val="00E76025"/>
    <w:rsid w:val="00E76B45"/>
    <w:rsid w:val="00E806A5"/>
    <w:rsid w:val="00E81BC1"/>
    <w:rsid w:val="00E82FE5"/>
    <w:rsid w:val="00E83724"/>
    <w:rsid w:val="00E84236"/>
    <w:rsid w:val="00E843A4"/>
    <w:rsid w:val="00E8470B"/>
    <w:rsid w:val="00E84C02"/>
    <w:rsid w:val="00E85569"/>
    <w:rsid w:val="00E856AF"/>
    <w:rsid w:val="00E859D9"/>
    <w:rsid w:val="00E86B83"/>
    <w:rsid w:val="00E86D6E"/>
    <w:rsid w:val="00E878FB"/>
    <w:rsid w:val="00E87C64"/>
    <w:rsid w:val="00E912E1"/>
    <w:rsid w:val="00E919C3"/>
    <w:rsid w:val="00E93A01"/>
    <w:rsid w:val="00E93FF8"/>
    <w:rsid w:val="00E948D8"/>
    <w:rsid w:val="00E94EB6"/>
    <w:rsid w:val="00E94F16"/>
    <w:rsid w:val="00E950CA"/>
    <w:rsid w:val="00E95CA8"/>
    <w:rsid w:val="00E96643"/>
    <w:rsid w:val="00E96CE0"/>
    <w:rsid w:val="00E96EAF"/>
    <w:rsid w:val="00EA044C"/>
    <w:rsid w:val="00EA1752"/>
    <w:rsid w:val="00EA1911"/>
    <w:rsid w:val="00EA539B"/>
    <w:rsid w:val="00EA5A89"/>
    <w:rsid w:val="00EA5BDB"/>
    <w:rsid w:val="00EA63FA"/>
    <w:rsid w:val="00EA7DEB"/>
    <w:rsid w:val="00EB056C"/>
    <w:rsid w:val="00EB0A73"/>
    <w:rsid w:val="00EB0A9C"/>
    <w:rsid w:val="00EB0B55"/>
    <w:rsid w:val="00EB3A98"/>
    <w:rsid w:val="00EB46D9"/>
    <w:rsid w:val="00EB4909"/>
    <w:rsid w:val="00EB6349"/>
    <w:rsid w:val="00EB6EF6"/>
    <w:rsid w:val="00EC0199"/>
    <w:rsid w:val="00EC0E64"/>
    <w:rsid w:val="00EC11AB"/>
    <w:rsid w:val="00EC142D"/>
    <w:rsid w:val="00EC1E16"/>
    <w:rsid w:val="00EC2DD1"/>
    <w:rsid w:val="00EC3771"/>
    <w:rsid w:val="00EC4BA5"/>
    <w:rsid w:val="00EC52DA"/>
    <w:rsid w:val="00EC6F28"/>
    <w:rsid w:val="00ED0024"/>
    <w:rsid w:val="00ED0EA0"/>
    <w:rsid w:val="00ED0F85"/>
    <w:rsid w:val="00ED2B5C"/>
    <w:rsid w:val="00ED3269"/>
    <w:rsid w:val="00ED3A18"/>
    <w:rsid w:val="00ED3AB7"/>
    <w:rsid w:val="00ED3C57"/>
    <w:rsid w:val="00ED50D6"/>
    <w:rsid w:val="00ED5176"/>
    <w:rsid w:val="00EE1A8C"/>
    <w:rsid w:val="00EE1C03"/>
    <w:rsid w:val="00EE3FED"/>
    <w:rsid w:val="00EE4643"/>
    <w:rsid w:val="00EE529F"/>
    <w:rsid w:val="00EE65B6"/>
    <w:rsid w:val="00EE7C86"/>
    <w:rsid w:val="00EF1330"/>
    <w:rsid w:val="00EF15FF"/>
    <w:rsid w:val="00EF31D8"/>
    <w:rsid w:val="00EF55E6"/>
    <w:rsid w:val="00EF5707"/>
    <w:rsid w:val="00EF6F1F"/>
    <w:rsid w:val="00EF70EC"/>
    <w:rsid w:val="00EF7111"/>
    <w:rsid w:val="00EF7D1A"/>
    <w:rsid w:val="00F008AB"/>
    <w:rsid w:val="00F02759"/>
    <w:rsid w:val="00F03B49"/>
    <w:rsid w:val="00F0448F"/>
    <w:rsid w:val="00F04E9B"/>
    <w:rsid w:val="00F0716C"/>
    <w:rsid w:val="00F105AE"/>
    <w:rsid w:val="00F108A8"/>
    <w:rsid w:val="00F13319"/>
    <w:rsid w:val="00F14353"/>
    <w:rsid w:val="00F1628B"/>
    <w:rsid w:val="00F16DB0"/>
    <w:rsid w:val="00F16EBE"/>
    <w:rsid w:val="00F22CAC"/>
    <w:rsid w:val="00F22E81"/>
    <w:rsid w:val="00F270E9"/>
    <w:rsid w:val="00F273EF"/>
    <w:rsid w:val="00F27440"/>
    <w:rsid w:val="00F275C0"/>
    <w:rsid w:val="00F317B5"/>
    <w:rsid w:val="00F33348"/>
    <w:rsid w:val="00F346B6"/>
    <w:rsid w:val="00F3608D"/>
    <w:rsid w:val="00F36145"/>
    <w:rsid w:val="00F37BDD"/>
    <w:rsid w:val="00F40680"/>
    <w:rsid w:val="00F40716"/>
    <w:rsid w:val="00F41503"/>
    <w:rsid w:val="00F417D4"/>
    <w:rsid w:val="00F432CF"/>
    <w:rsid w:val="00F437FD"/>
    <w:rsid w:val="00F43B69"/>
    <w:rsid w:val="00F4479A"/>
    <w:rsid w:val="00F44D82"/>
    <w:rsid w:val="00F45589"/>
    <w:rsid w:val="00F46207"/>
    <w:rsid w:val="00F465ED"/>
    <w:rsid w:val="00F466C8"/>
    <w:rsid w:val="00F469A9"/>
    <w:rsid w:val="00F46B50"/>
    <w:rsid w:val="00F47C20"/>
    <w:rsid w:val="00F50B46"/>
    <w:rsid w:val="00F50D1F"/>
    <w:rsid w:val="00F51545"/>
    <w:rsid w:val="00F521DE"/>
    <w:rsid w:val="00F54162"/>
    <w:rsid w:val="00F541D4"/>
    <w:rsid w:val="00F553CE"/>
    <w:rsid w:val="00F5565A"/>
    <w:rsid w:val="00F56043"/>
    <w:rsid w:val="00F5664E"/>
    <w:rsid w:val="00F56BD8"/>
    <w:rsid w:val="00F56FA9"/>
    <w:rsid w:val="00F6171A"/>
    <w:rsid w:val="00F62306"/>
    <w:rsid w:val="00F635FC"/>
    <w:rsid w:val="00F63D03"/>
    <w:rsid w:val="00F65E2F"/>
    <w:rsid w:val="00F66520"/>
    <w:rsid w:val="00F67385"/>
    <w:rsid w:val="00F67DF1"/>
    <w:rsid w:val="00F7054E"/>
    <w:rsid w:val="00F7137C"/>
    <w:rsid w:val="00F72A09"/>
    <w:rsid w:val="00F74E67"/>
    <w:rsid w:val="00F7552B"/>
    <w:rsid w:val="00F8309B"/>
    <w:rsid w:val="00F831E2"/>
    <w:rsid w:val="00F833C9"/>
    <w:rsid w:val="00F8533A"/>
    <w:rsid w:val="00F90064"/>
    <w:rsid w:val="00F9022A"/>
    <w:rsid w:val="00F90520"/>
    <w:rsid w:val="00F9056D"/>
    <w:rsid w:val="00F93DAF"/>
    <w:rsid w:val="00F94217"/>
    <w:rsid w:val="00F9586C"/>
    <w:rsid w:val="00F96AFD"/>
    <w:rsid w:val="00F96F4C"/>
    <w:rsid w:val="00FA07F4"/>
    <w:rsid w:val="00FA1398"/>
    <w:rsid w:val="00FA1515"/>
    <w:rsid w:val="00FA2E19"/>
    <w:rsid w:val="00FA43C8"/>
    <w:rsid w:val="00FA697F"/>
    <w:rsid w:val="00FB0147"/>
    <w:rsid w:val="00FB0F92"/>
    <w:rsid w:val="00FB1B41"/>
    <w:rsid w:val="00FB2852"/>
    <w:rsid w:val="00FB2FB3"/>
    <w:rsid w:val="00FB3846"/>
    <w:rsid w:val="00FB5059"/>
    <w:rsid w:val="00FB5521"/>
    <w:rsid w:val="00FB610D"/>
    <w:rsid w:val="00FB626E"/>
    <w:rsid w:val="00FC202E"/>
    <w:rsid w:val="00FC3CEC"/>
    <w:rsid w:val="00FC4477"/>
    <w:rsid w:val="00FC46FB"/>
    <w:rsid w:val="00FC51FF"/>
    <w:rsid w:val="00FC626F"/>
    <w:rsid w:val="00FC6630"/>
    <w:rsid w:val="00FC7B66"/>
    <w:rsid w:val="00FD0D94"/>
    <w:rsid w:val="00FD106C"/>
    <w:rsid w:val="00FD2BD3"/>
    <w:rsid w:val="00FD3DEF"/>
    <w:rsid w:val="00FD4CCA"/>
    <w:rsid w:val="00FD58B1"/>
    <w:rsid w:val="00FD6BFF"/>
    <w:rsid w:val="00FD7002"/>
    <w:rsid w:val="00FD7610"/>
    <w:rsid w:val="00FE04BA"/>
    <w:rsid w:val="00FE05D3"/>
    <w:rsid w:val="00FE177A"/>
    <w:rsid w:val="00FE234B"/>
    <w:rsid w:val="00FE2A9E"/>
    <w:rsid w:val="00FE34B3"/>
    <w:rsid w:val="00FE46B7"/>
    <w:rsid w:val="00FE4CEC"/>
    <w:rsid w:val="00FE6C21"/>
    <w:rsid w:val="00FE6F3F"/>
    <w:rsid w:val="00FF0420"/>
    <w:rsid w:val="00FF0F69"/>
    <w:rsid w:val="00FF41B8"/>
    <w:rsid w:val="00FF4E00"/>
    <w:rsid w:val="00FF5237"/>
    <w:rsid w:val="00FF56D1"/>
    <w:rsid w:val="00FF5ADC"/>
    <w:rsid w:val="00FF5B79"/>
    <w:rsid w:val="06763376"/>
    <w:rsid w:val="06D79157"/>
    <w:rsid w:val="0DD79F36"/>
    <w:rsid w:val="11E43BAB"/>
    <w:rsid w:val="121534C5"/>
    <w:rsid w:val="161E678D"/>
    <w:rsid w:val="19090967"/>
    <w:rsid w:val="1B3C24C5"/>
    <w:rsid w:val="210B7837"/>
    <w:rsid w:val="23B4E6BE"/>
    <w:rsid w:val="24F18C83"/>
    <w:rsid w:val="25653D02"/>
    <w:rsid w:val="27AA7305"/>
    <w:rsid w:val="3310C0BE"/>
    <w:rsid w:val="38EF0D05"/>
    <w:rsid w:val="39A07357"/>
    <w:rsid w:val="42088138"/>
    <w:rsid w:val="511D528A"/>
    <w:rsid w:val="588ADAF6"/>
    <w:rsid w:val="5CE173DD"/>
    <w:rsid w:val="66EB6E8A"/>
    <w:rsid w:val="69981A89"/>
    <w:rsid w:val="7629CDD5"/>
    <w:rsid w:val="772E53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D8A9B98D-733D-4FF4-9BF4-D50BB21B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imes New Roman" w:hAnsi="Segoe UI" w:cs="Times New Roman"/>
        <w:sz w:val="18"/>
        <w:szCs w:val="24"/>
        <w:lang w:val="tr-TR"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tr-TR"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tr-TR"/>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tr-TR"/>
    </w:rPr>
  </w:style>
  <w:style w:type="paragraph" w:customStyle="1" w:styleId="MittlereListe2-Akzent21">
    <w:name w:val="Mittlere Liste 2 - Akzent 21"/>
    <w:hidden/>
    <w:uiPriority w:val="99"/>
    <w:semiHidden/>
    <w:rsid w:val="002E0B17"/>
    <w:rPr>
      <w:rFonts w:ascii="Arial" w:hAnsi="Arial"/>
    </w:rPr>
  </w:style>
  <w:style w:type="character" w:customStyle="1" w:styleId="FooterChar">
    <w:name w:val="Footer Char"/>
    <w:link w:val="Footer"/>
    <w:uiPriority w:val="99"/>
    <w:rsid w:val="00992A11"/>
    <w:rPr>
      <w:rFonts w:ascii="Segoe UI" w:hAnsi="Segoe UI"/>
      <w:bCs/>
      <w:noProof/>
      <w:sz w:val="12"/>
      <w:szCs w:val="24"/>
      <w:lang w:val="tr-TR"/>
    </w:rPr>
  </w:style>
  <w:style w:type="character" w:customStyle="1" w:styleId="UnresolvedMention1">
    <w:name w:val="Unresolved Mention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rPr>
  </w:style>
  <w:style w:type="character" w:customStyle="1" w:styleId="CommentTextChar">
    <w:name w:val="Comment Text Char"/>
    <w:basedOn w:val="DefaultParagraphFont"/>
    <w:link w:val="CommentText"/>
    <w:rsid w:val="00846017"/>
    <w:rPr>
      <w:rFonts w:ascii="Arial" w:hAnsi="Arial"/>
      <w:sz w:val="20"/>
      <w:szCs w:val="20"/>
      <w:lang w:val="tr-TR"/>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rPr>
  </w:style>
  <w:style w:type="character" w:customStyle="1" w:styleId="CommentSubjectChar">
    <w:name w:val="Comment Subject Char"/>
    <w:basedOn w:val="CommentTextChar"/>
    <w:link w:val="CommentSubject"/>
    <w:rsid w:val="0020528D"/>
    <w:rPr>
      <w:rFonts w:ascii="Arial" w:hAnsi="Arial"/>
      <w:b/>
      <w:bCs/>
      <w:sz w:val="20"/>
      <w:szCs w:val="20"/>
      <w:lang w:val="tr-TR"/>
    </w:rPr>
  </w:style>
  <w:style w:type="paragraph" w:styleId="Revision">
    <w:name w:val="Revision"/>
    <w:hidden/>
    <w:uiPriority w:val="62"/>
    <w:unhideWhenUsed/>
    <w:rsid w:val="006E2D24"/>
    <w:rPr>
      <w:sz w:val="22"/>
    </w:rPr>
  </w:style>
  <w:style w:type="paragraph" w:customStyle="1" w:styleId="He04Funote">
    <w:name w:val="_He_04_Fußnote"/>
    <w:next w:val="Normal"/>
    <w:qFormat/>
    <w:rsid w:val="00A90F18"/>
    <w:pPr>
      <w:tabs>
        <w:tab w:val="left" w:pos="85"/>
      </w:tabs>
      <w:spacing w:line="256" w:lineRule="auto"/>
      <w:ind w:left="85" w:hanging="85"/>
    </w:pPr>
    <w:rPr>
      <w:rFonts w:eastAsiaTheme="minorHAnsi" w:cstheme="minorBidi"/>
      <w:sz w:val="15"/>
      <w:szCs w:val="22"/>
      <w14:numForm w14:val="lining"/>
    </w:rPr>
  </w:style>
  <w:style w:type="character" w:styleId="FootnoteReference">
    <w:name w:val="footnote reference"/>
    <w:basedOn w:val="DefaultParagraphFont"/>
    <w:uiPriority w:val="99"/>
    <w:unhideWhenUsed/>
    <w:rsid w:val="00A90F18"/>
    <w:rPr>
      <w:vertAlign w:val="superscript"/>
    </w:rPr>
  </w:style>
  <w:style w:type="character" w:styleId="FollowedHyperlink">
    <w:name w:val="FollowedHyperlink"/>
    <w:basedOn w:val="DefaultParagraphFont"/>
    <w:rsid w:val="00B1118A"/>
    <w:rPr>
      <w:color w:val="954F72" w:themeColor="followedHyperlink"/>
      <w:u w:val="single"/>
    </w:rPr>
  </w:style>
  <w:style w:type="paragraph" w:customStyle="1" w:styleId="He01FlietextAufzhlung1Ebene">
    <w:name w:val="_He_01_Fließtext Aufzählung 1. Ebene"/>
    <w:next w:val="Normal"/>
    <w:qFormat/>
    <w:rsid w:val="00B471F4"/>
    <w:pPr>
      <w:numPr>
        <w:numId w:val="9"/>
      </w:numPr>
      <w:spacing w:after="113"/>
    </w:pPr>
    <w:rPr>
      <w:rFonts w:eastAsiaTheme="minorHAnsi" w:cstheme="minorBidi"/>
      <w:sz w:val="22"/>
      <w:szCs w:val="22"/>
    </w:rPr>
  </w:style>
  <w:style w:type="character" w:customStyle="1" w:styleId="ui-provider">
    <w:name w:val="ui-provider"/>
    <w:basedOn w:val="DefaultParagraphFont"/>
    <w:rsid w:val="00C86C49"/>
  </w:style>
  <w:style w:type="paragraph" w:customStyle="1" w:styleId="He01Flietext">
    <w:name w:val="_He_01_Fließtext"/>
    <w:qFormat/>
    <w:rsid w:val="007558B1"/>
    <w:pPr>
      <w:spacing w:after="160"/>
    </w:pPr>
    <w:rPr>
      <w:rFonts w:eastAsiaTheme="minorHAnsi" w:cstheme="minorBidi"/>
      <w:sz w:val="22"/>
      <w:szCs w:val="22"/>
    </w:rPr>
  </w:style>
  <w:style w:type="paragraph" w:styleId="FootnoteText">
    <w:name w:val="footnote text"/>
    <w:basedOn w:val="Normal"/>
    <w:link w:val="FootnoteTextChar"/>
    <w:uiPriority w:val="99"/>
    <w:unhideWhenUsed/>
    <w:rsid w:val="00F9022A"/>
    <w:pPr>
      <w:spacing w:line="240" w:lineRule="auto"/>
      <w:jc w:val="left"/>
    </w:pPr>
    <w:rPr>
      <w:rFonts w:eastAsiaTheme="minorHAnsi" w:cstheme="minorBidi"/>
      <w:szCs w:val="20"/>
    </w:rPr>
  </w:style>
  <w:style w:type="character" w:customStyle="1" w:styleId="FootnoteTextChar">
    <w:name w:val="Footnote Text Char"/>
    <w:basedOn w:val="DefaultParagraphFont"/>
    <w:link w:val="FootnoteText"/>
    <w:uiPriority w:val="99"/>
    <w:rsid w:val="00F9022A"/>
    <w:rPr>
      <w:rFonts w:eastAsiaTheme="minorHAnsi" w:cstheme="minorBidi"/>
      <w:sz w:val="22"/>
      <w:szCs w:val="20"/>
      <w:lang w:val="tr-TR"/>
    </w:rPr>
  </w:style>
  <w:style w:type="character" w:styleId="Strong">
    <w:name w:val="Strong"/>
    <w:basedOn w:val="DefaultParagraphFont"/>
    <w:uiPriority w:val="22"/>
    <w:qFormat/>
    <w:rsid w:val="00033476"/>
    <w:rPr>
      <w:b/>
      <w:bCs/>
    </w:rPr>
  </w:style>
  <w:style w:type="paragraph" w:customStyle="1" w:styleId="He01FlietextAufzhlung2Ebene">
    <w:name w:val="_He_01_Fließtext Aufzählung 2. Ebene"/>
    <w:next w:val="He01Flietext"/>
    <w:qFormat/>
    <w:rsid w:val="00700939"/>
    <w:pPr>
      <w:numPr>
        <w:numId w:val="20"/>
      </w:numPr>
      <w:spacing w:after="160"/>
    </w:pPr>
    <w:rPr>
      <w:rFonts w:eastAsiaTheme="minorHAnsi" w:cstheme="minorBidi"/>
      <w:sz w:val="22"/>
      <w:szCs w:val="22"/>
    </w:rPr>
  </w:style>
  <w:style w:type="paragraph" w:customStyle="1" w:styleId="He05Fett">
    <w:name w:val="_He_05_Fett"/>
    <w:next w:val="He01Flietext"/>
    <w:link w:val="He05FettZchn"/>
    <w:qFormat/>
    <w:rsid w:val="00B33C35"/>
    <w:pPr>
      <w:spacing w:after="160" w:line="259" w:lineRule="auto"/>
    </w:pPr>
    <w:rPr>
      <w:rFonts w:eastAsiaTheme="minorHAnsi" w:cstheme="minorBidi"/>
      <w:b/>
      <w:szCs w:val="22"/>
    </w:rPr>
  </w:style>
  <w:style w:type="character" w:customStyle="1" w:styleId="He05FettZchn">
    <w:name w:val="_He_05_Fett Zchn"/>
    <w:basedOn w:val="DefaultParagraphFont"/>
    <w:link w:val="He05Fett"/>
    <w:rsid w:val="00B33C35"/>
    <w:rPr>
      <w:rFonts w:eastAsiaTheme="minorHAnsi" w:cstheme="minorBidi"/>
      <w:b/>
      <w:szCs w:val="22"/>
      <w:lang w:val="tr-TR"/>
    </w:rPr>
  </w:style>
  <w:style w:type="paragraph" w:styleId="NormalWeb">
    <w:name w:val="Normal (Web)"/>
    <w:basedOn w:val="Normal"/>
    <w:uiPriority w:val="99"/>
    <w:unhideWhenUsed/>
    <w:rsid w:val="00CA38A7"/>
    <w:pPr>
      <w:spacing w:before="100" w:beforeAutospacing="1" w:after="100" w:afterAutospacing="1" w:line="240" w:lineRule="auto"/>
      <w:jc w:val="left"/>
    </w:pPr>
    <w:rPr>
      <w:rFonts w:ascii="Times New Roman"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901274">
      <w:bodyDiv w:val="1"/>
      <w:marLeft w:val="0"/>
      <w:marRight w:val="0"/>
      <w:marTop w:val="0"/>
      <w:marBottom w:val="0"/>
      <w:divBdr>
        <w:top w:val="none" w:sz="0" w:space="0" w:color="auto"/>
        <w:left w:val="none" w:sz="0" w:space="0" w:color="auto"/>
        <w:bottom w:val="none" w:sz="0" w:space="0" w:color="auto"/>
        <w:right w:val="none" w:sz="0" w:space="0" w:color="auto"/>
      </w:divBdr>
    </w:div>
    <w:div w:id="331758879">
      <w:bodyDiv w:val="1"/>
      <w:marLeft w:val="0"/>
      <w:marRight w:val="0"/>
      <w:marTop w:val="0"/>
      <w:marBottom w:val="0"/>
      <w:divBdr>
        <w:top w:val="none" w:sz="0" w:space="0" w:color="auto"/>
        <w:left w:val="none" w:sz="0" w:space="0" w:color="auto"/>
        <w:bottom w:val="none" w:sz="0" w:space="0" w:color="auto"/>
        <w:right w:val="none" w:sz="0" w:space="0" w:color="auto"/>
      </w:divBdr>
    </w:div>
    <w:div w:id="475221331">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97167881">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0689247">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91944763">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630473420">
      <w:bodyDiv w:val="1"/>
      <w:marLeft w:val="0"/>
      <w:marRight w:val="0"/>
      <w:marTop w:val="0"/>
      <w:marBottom w:val="0"/>
      <w:divBdr>
        <w:top w:val="none" w:sz="0" w:space="0" w:color="auto"/>
        <w:left w:val="none" w:sz="0" w:space="0" w:color="auto"/>
        <w:bottom w:val="none" w:sz="0" w:space="0" w:color="auto"/>
        <w:right w:val="none" w:sz="0" w:space="0" w:color="auto"/>
      </w:divBdr>
    </w:div>
    <w:div w:id="1641376655">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237326346">
          <w:marLeft w:val="0"/>
          <w:marRight w:val="0"/>
          <w:marTop w:val="0"/>
          <w:marBottom w:val="0"/>
          <w:divBdr>
            <w:top w:val="none" w:sz="0" w:space="0" w:color="auto"/>
            <w:left w:val="none" w:sz="0" w:space="0" w:color="auto"/>
            <w:bottom w:val="none" w:sz="0" w:space="0" w:color="auto"/>
            <w:right w:val="none" w:sz="0" w:space="0" w:color="auto"/>
          </w:divBdr>
        </w:div>
        <w:div w:id="331104911">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21" ma:contentTypeDescription="Create a new document." ma:contentTypeScope="" ma:versionID="5c82d6a91480ea3a633158506e52c116">
  <xsd:schema xmlns:xsd="http://www.w3.org/2001/XMLSchema" xmlns:xs="http://www.w3.org/2001/XMLSchema" xmlns:p="http://schemas.microsoft.com/office/2006/metadata/properties" xmlns:ns2="487aa4a8-6e08-4624-a126-3644f60fbb35" xmlns:ns3="cec4b484-d643-4c02-a873-288aa5369532" xmlns:ns4="ef406d6b-70e0-427c-b08d-4edfc77771aa" targetNamespace="http://schemas.microsoft.com/office/2006/metadata/properties" ma:root="true" ma:fieldsID="4c2c19249a9c10464532c27e8f459ab4" ns2:_="" ns3:_="" ns4:_="">
    <xsd:import namespace="487aa4a8-6e08-4624-a126-3644f60fbb35"/>
    <xsd:import namespace="cec4b484-d643-4c02-a873-288aa536953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099daea-b67b-4b58-9130-be82b407cc11}" ma:internalName="TaxCatchAll" ma:showField="CatchAllData" ma:web="cec4b484-d643-4c02-a873-288aa5369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2f792e8-4dad-42c1-ad63-44982727bf4d" ContentTypeId="0x01"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487aa4a8-6e08-4624-a126-3644f60fbb35">
      <Terms xmlns="http://schemas.microsoft.com/office/infopath/2007/PartnerControls"/>
    </lcf76f155ced4ddcb4097134ff3c332f>
    <Datum xmlns="487aa4a8-6e08-4624-a126-3644f60fbb35" xsi:nil="true"/>
  </documentManagement>
</p:properties>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1C6C127B-E718-4786-951F-8CF66E3C7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739906-D76B-4663-A75C-D27B4CCC8916}">
  <ds:schemaRefs>
    <ds:schemaRef ds:uri="http://schemas.openxmlformats.org/officeDocument/2006/bibliography"/>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487aa4a8-6e08-4624-a126-3644f60fbb35"/>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7</Pages>
  <Words>2305</Words>
  <Characters>14953</Characters>
  <Application>Microsoft Office Word</Application>
  <DocSecurity>0</DocSecurity>
  <Lines>124</Lines>
  <Paragraphs>34</Paragraphs>
  <ScaleCrop>false</ScaleCrop>
  <HeadingPairs>
    <vt:vector size="6" baseType="variant">
      <vt:variant>
        <vt:lpstr>Title</vt:lpstr>
      </vt:variant>
      <vt:variant>
        <vt:i4>1</vt:i4>
      </vt:variant>
      <vt:variant>
        <vt:lpstr>Konu Başlığı</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17224</CharactersWithSpaces>
  <SharedDoc>false</SharedDoc>
  <HLinks>
    <vt:vector size="66" baseType="variant">
      <vt:variant>
        <vt:i4>6946937</vt:i4>
      </vt:variant>
      <vt:variant>
        <vt:i4>30</vt:i4>
      </vt:variant>
      <vt:variant>
        <vt:i4>0</vt:i4>
      </vt:variant>
      <vt:variant>
        <vt:i4>5</vt:i4>
      </vt:variant>
      <vt:variant>
        <vt:lpwstr>http://www.henkel.de/ir</vt:lpwstr>
      </vt:variant>
      <vt:variant>
        <vt:lpwstr/>
      </vt:variant>
      <vt:variant>
        <vt:i4>6619256</vt:i4>
      </vt:variant>
      <vt:variant>
        <vt:i4>27</vt:i4>
      </vt:variant>
      <vt:variant>
        <vt:i4>0</vt:i4>
      </vt:variant>
      <vt:variant>
        <vt:i4>5</vt:i4>
      </vt:variant>
      <vt:variant>
        <vt:lpwstr>http://www.henkel.de/presse</vt:lpwstr>
      </vt:variant>
      <vt:variant>
        <vt:lpwstr/>
      </vt:variant>
      <vt:variant>
        <vt:i4>2228305</vt:i4>
      </vt:variant>
      <vt:variant>
        <vt:i4>24</vt:i4>
      </vt:variant>
      <vt:variant>
        <vt:i4>0</vt:i4>
      </vt:variant>
      <vt:variant>
        <vt:i4>5</vt:i4>
      </vt:variant>
      <vt:variant>
        <vt:lpwstr>mailto:linda.gehring@henkel.com</vt:lpwstr>
      </vt:variant>
      <vt:variant>
        <vt:lpwstr/>
      </vt:variant>
      <vt:variant>
        <vt:i4>7208970</vt:i4>
      </vt:variant>
      <vt:variant>
        <vt:i4>21</vt:i4>
      </vt:variant>
      <vt:variant>
        <vt:i4>0</vt:i4>
      </vt:variant>
      <vt:variant>
        <vt:i4>5</vt:i4>
      </vt:variant>
      <vt:variant>
        <vt:lpwstr>mailto:dennis.starke@henkel.com</vt:lpwstr>
      </vt:variant>
      <vt:variant>
        <vt:lpwstr/>
      </vt:variant>
      <vt:variant>
        <vt:i4>2687054</vt:i4>
      </vt:variant>
      <vt:variant>
        <vt:i4>18</vt:i4>
      </vt:variant>
      <vt:variant>
        <vt:i4>0</vt:i4>
      </vt:variant>
      <vt:variant>
        <vt:i4>5</vt:i4>
      </vt:variant>
      <vt:variant>
        <vt:lpwstr>mailto:hanna.philipps@henkel.com</vt:lpwstr>
      </vt:variant>
      <vt:variant>
        <vt:lpwstr/>
      </vt:variant>
      <vt:variant>
        <vt:i4>1835116</vt:i4>
      </vt:variant>
      <vt:variant>
        <vt:i4>15</vt:i4>
      </vt:variant>
      <vt:variant>
        <vt:i4>0</vt:i4>
      </vt:variant>
      <vt:variant>
        <vt:i4>5</vt:i4>
      </vt:variant>
      <vt:variant>
        <vt:lpwstr>mailto:jennifer.ott@henkel.com</vt:lpwstr>
      </vt:variant>
      <vt:variant>
        <vt:lpwstr/>
      </vt:variant>
      <vt:variant>
        <vt:i4>7667735</vt:i4>
      </vt:variant>
      <vt:variant>
        <vt:i4>12</vt:i4>
      </vt:variant>
      <vt:variant>
        <vt:i4>0</vt:i4>
      </vt:variant>
      <vt:variant>
        <vt:i4>5</vt:i4>
      </vt:variant>
      <vt:variant>
        <vt:lpwstr>mailto:wulf.klueppelholz@henkel.com</vt:lpwstr>
      </vt:variant>
      <vt:variant>
        <vt:lpwstr/>
      </vt:variant>
      <vt:variant>
        <vt:i4>7602201</vt:i4>
      </vt:variant>
      <vt:variant>
        <vt:i4>9</vt:i4>
      </vt:variant>
      <vt:variant>
        <vt:i4>0</vt:i4>
      </vt:variant>
      <vt:variant>
        <vt:i4>5</vt:i4>
      </vt:variant>
      <vt:variant>
        <vt:lpwstr>mailto:manuel.boesing@henkel.com</vt:lpwstr>
      </vt:variant>
      <vt:variant>
        <vt:lpwstr/>
      </vt:variant>
      <vt:variant>
        <vt:i4>119</vt:i4>
      </vt:variant>
      <vt:variant>
        <vt:i4>6</vt:i4>
      </vt:variant>
      <vt:variant>
        <vt:i4>0</vt:i4>
      </vt:variant>
      <vt:variant>
        <vt:i4>5</vt:i4>
      </vt:variant>
      <vt:variant>
        <vt:lpwstr>mailto:lars.witteck@henkel.com</vt:lpwstr>
      </vt:variant>
      <vt:variant>
        <vt:lpwstr/>
      </vt:variant>
      <vt:variant>
        <vt:i4>786533</vt:i4>
      </vt:variant>
      <vt:variant>
        <vt:i4>3</vt:i4>
      </vt:variant>
      <vt:variant>
        <vt:i4>0</vt:i4>
      </vt:variant>
      <vt:variant>
        <vt:i4>5</vt:i4>
      </vt:variant>
      <vt:variant>
        <vt:lpwstr>mailto:lars.korinth@henkel.com</vt:lpwstr>
      </vt:variant>
      <vt:variant>
        <vt:lpwstr/>
      </vt:variant>
      <vt:variant>
        <vt:i4>196694</vt:i4>
      </vt:variant>
      <vt:variant>
        <vt:i4>0</vt:i4>
      </vt:variant>
      <vt:variant>
        <vt:i4>0</vt:i4>
      </vt:variant>
      <vt:variant>
        <vt:i4>5</vt:i4>
      </vt:variant>
      <vt:variant>
        <vt:lpwstr>http://www.henkel.de/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Oznur Cati</cp:lastModifiedBy>
  <cp:revision>5</cp:revision>
  <cp:lastPrinted>2024-07-31T07:57:00Z</cp:lastPrinted>
  <dcterms:created xsi:type="dcterms:W3CDTF">2024-09-04T10:12:00Z</dcterms:created>
  <dcterms:modified xsi:type="dcterms:W3CDTF">2024-09-04T14:54:00Z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0x010100811F2B0E4436D4419B93D2E67DB77F8B</vt:lpwstr>
  </property>
  <property fmtid="{D5CDD505-2E9C-101B-9397-08002B2CF9AE}" pid="3" name="MediaServiceImageTags">
    <vt:lpwstr/>
  </property>
</Properties>
</file>