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E39A" w14:textId="2E77245E" w:rsidR="00B422EC" w:rsidRPr="00AA3013" w:rsidRDefault="00081692" w:rsidP="00D81971">
      <w:pPr>
        <w:pStyle w:val="MonthDayYear"/>
        <w:tabs>
          <w:tab w:val="left" w:pos="7371"/>
        </w:tabs>
        <w:jc w:val="both"/>
        <w:rPr>
          <w:lang w:val="it-IT"/>
        </w:rPr>
      </w:pPr>
      <w:r w:rsidRPr="00AA3013">
        <w:rPr>
          <w:lang w:val="it-IT"/>
        </w:rPr>
        <w:tab/>
      </w:r>
      <w:r w:rsidR="008B548B" w:rsidRPr="00AA3013">
        <w:rPr>
          <w:lang w:val="it-IT"/>
        </w:rPr>
        <w:t xml:space="preserve">    </w:t>
      </w:r>
      <w:r w:rsidR="005268DA" w:rsidRPr="00AA3013">
        <w:rPr>
          <w:lang w:val="it-IT"/>
        </w:rPr>
        <w:t>1</w:t>
      </w:r>
      <w:r w:rsidR="00ED72F6" w:rsidRPr="00AA3013">
        <w:rPr>
          <w:lang w:val="it-IT"/>
        </w:rPr>
        <w:t>3</w:t>
      </w:r>
      <w:r w:rsidR="005F7B5C" w:rsidRPr="00AA3013">
        <w:rPr>
          <w:lang w:val="it-IT"/>
        </w:rPr>
        <w:t xml:space="preserve"> </w:t>
      </w:r>
      <w:r w:rsidR="00ED72F6" w:rsidRPr="00AA3013">
        <w:rPr>
          <w:lang w:val="it-IT"/>
        </w:rPr>
        <w:t>agost</w:t>
      </w:r>
      <w:r w:rsidR="005F7B5C" w:rsidRPr="00AA3013">
        <w:rPr>
          <w:lang w:val="it-IT"/>
        </w:rPr>
        <w:t>o</w:t>
      </w:r>
      <w:r w:rsidR="008B548B" w:rsidRPr="00AA3013">
        <w:rPr>
          <w:lang w:val="it-IT"/>
        </w:rPr>
        <w:t xml:space="preserve"> </w:t>
      </w:r>
      <w:r w:rsidR="00BF6E82" w:rsidRPr="00AA3013">
        <w:rPr>
          <w:lang w:val="it-IT"/>
        </w:rPr>
        <w:t>20</w:t>
      </w:r>
      <w:r w:rsidR="00F635FC" w:rsidRPr="00AA3013">
        <w:rPr>
          <w:lang w:val="it-IT"/>
        </w:rPr>
        <w:t>2</w:t>
      </w:r>
      <w:r w:rsidR="00427BEA" w:rsidRPr="00AA3013">
        <w:rPr>
          <w:lang w:val="it-IT"/>
        </w:rPr>
        <w:t>4</w:t>
      </w:r>
    </w:p>
    <w:p w14:paraId="498FDB4B" w14:textId="10CABA0F" w:rsidR="00C80467" w:rsidRPr="00AA3013" w:rsidRDefault="008527CF" w:rsidP="00C80467">
      <w:pPr>
        <w:pStyle w:val="Topline"/>
        <w:spacing w:after="360"/>
        <w:rPr>
          <w:rFonts w:asciiTheme="majorHAnsi" w:hAnsiTheme="majorHAnsi" w:cstheme="majorHAnsi"/>
          <w:lang w:val="it-IT"/>
        </w:rPr>
      </w:pPr>
      <w:r w:rsidRPr="00AA3013">
        <w:rPr>
          <w:rFonts w:asciiTheme="majorHAnsi" w:hAnsiTheme="majorHAnsi" w:cstheme="majorHAnsi"/>
          <w:lang w:val="it-IT"/>
        </w:rPr>
        <w:t>Solidi</w:t>
      </w:r>
      <w:r w:rsidR="005F7B5C" w:rsidRPr="00AA3013">
        <w:rPr>
          <w:rFonts w:asciiTheme="majorHAnsi" w:hAnsiTheme="majorHAnsi" w:cstheme="majorHAnsi"/>
          <w:lang w:val="it-IT"/>
        </w:rPr>
        <w:t xml:space="preserve"> risultati </w:t>
      </w:r>
      <w:r w:rsidR="007163FB" w:rsidRPr="00AA3013">
        <w:rPr>
          <w:rFonts w:asciiTheme="majorHAnsi" w:hAnsiTheme="majorHAnsi" w:cstheme="majorHAnsi"/>
          <w:lang w:val="it-IT"/>
        </w:rPr>
        <w:t>n</w:t>
      </w:r>
      <w:r w:rsidR="00910EBE" w:rsidRPr="00AA3013">
        <w:rPr>
          <w:rFonts w:asciiTheme="majorHAnsi" w:hAnsiTheme="majorHAnsi" w:cstheme="majorHAnsi"/>
          <w:lang w:val="it-IT"/>
        </w:rPr>
        <w:t>ella prima metà dell’anno</w:t>
      </w:r>
      <w:r w:rsidRPr="00AA3013">
        <w:rPr>
          <w:rFonts w:asciiTheme="majorHAnsi" w:hAnsiTheme="majorHAnsi" w:cstheme="majorHAnsi"/>
          <w:lang w:val="it-IT"/>
        </w:rPr>
        <w:t>, prosegue l’implementazione dell’agenda strategica</w:t>
      </w:r>
    </w:p>
    <w:p w14:paraId="1F1AB70E" w14:textId="26AE2A50" w:rsidR="001D0F91" w:rsidRPr="00AA3013" w:rsidRDefault="008663EA" w:rsidP="00262807">
      <w:pPr>
        <w:jc w:val="left"/>
        <w:rPr>
          <w:rStyle w:val="Headline"/>
          <w:rFonts w:asciiTheme="majorHAnsi" w:hAnsiTheme="majorHAnsi" w:cstheme="majorHAnsi"/>
          <w:lang w:val="it-IT"/>
        </w:rPr>
      </w:pPr>
      <w:r w:rsidRPr="00AA3013">
        <w:rPr>
          <w:rStyle w:val="Headline"/>
          <w:rFonts w:asciiTheme="majorHAnsi" w:hAnsiTheme="majorHAnsi" w:cstheme="majorHAnsi"/>
          <w:lang w:val="it-IT"/>
        </w:rPr>
        <w:t xml:space="preserve">Cresce il fatturato </w:t>
      </w:r>
      <w:r w:rsidR="001D0F91" w:rsidRPr="00AA3013">
        <w:rPr>
          <w:rStyle w:val="Headline"/>
          <w:rFonts w:asciiTheme="majorHAnsi" w:hAnsiTheme="majorHAnsi" w:cstheme="majorHAnsi"/>
          <w:lang w:val="it-IT"/>
        </w:rPr>
        <w:t xml:space="preserve">Henkel </w:t>
      </w:r>
      <w:r w:rsidRPr="00AA3013">
        <w:rPr>
          <w:rStyle w:val="Headline"/>
          <w:rFonts w:asciiTheme="majorHAnsi" w:hAnsiTheme="majorHAnsi" w:cstheme="majorHAnsi"/>
          <w:lang w:val="it-IT"/>
        </w:rPr>
        <w:t>ne</w:t>
      </w:r>
      <w:r w:rsidR="001D0F91" w:rsidRPr="00AA3013">
        <w:rPr>
          <w:rStyle w:val="Headline"/>
          <w:rFonts w:asciiTheme="majorHAnsi" w:hAnsiTheme="majorHAnsi" w:cstheme="majorHAnsi"/>
          <w:lang w:val="it-IT"/>
        </w:rPr>
        <w:t>l primo semestre</w:t>
      </w:r>
      <w:r w:rsidR="00910EBE" w:rsidRPr="00AA3013">
        <w:rPr>
          <w:rStyle w:val="Headline"/>
          <w:rFonts w:asciiTheme="majorHAnsi" w:hAnsiTheme="majorHAnsi" w:cstheme="majorHAnsi"/>
          <w:lang w:val="it-IT"/>
        </w:rPr>
        <w:t xml:space="preserve"> 2024</w:t>
      </w:r>
      <w:r w:rsidRPr="00AA3013">
        <w:rPr>
          <w:rStyle w:val="Headline"/>
          <w:rFonts w:asciiTheme="majorHAnsi" w:hAnsiTheme="majorHAnsi" w:cstheme="majorHAnsi"/>
          <w:lang w:val="it-IT"/>
        </w:rPr>
        <w:t>, migliora</w:t>
      </w:r>
      <w:r w:rsidR="00077CEF" w:rsidRPr="00AA3013">
        <w:rPr>
          <w:rStyle w:val="Headline"/>
          <w:rFonts w:asciiTheme="majorHAnsi" w:hAnsiTheme="majorHAnsi" w:cstheme="majorHAnsi"/>
          <w:lang w:val="it-IT"/>
        </w:rPr>
        <w:t>no anche i profitti</w:t>
      </w:r>
    </w:p>
    <w:p w14:paraId="6509E710" w14:textId="77777777" w:rsidR="00C80467" w:rsidRPr="00AA3013" w:rsidRDefault="00C80467" w:rsidP="00C80467">
      <w:pPr>
        <w:rPr>
          <w:lang w:val="it-IT"/>
        </w:rPr>
      </w:pPr>
    </w:p>
    <w:p w14:paraId="17672315" w14:textId="77777777" w:rsidR="00607DCD" w:rsidRPr="00AA3013" w:rsidRDefault="00607DCD" w:rsidP="00C80467">
      <w:pPr>
        <w:rPr>
          <w:lang w:val="it-IT"/>
        </w:rPr>
      </w:pPr>
    </w:p>
    <w:p w14:paraId="0BA10B52" w14:textId="2EBDD514" w:rsidR="00607DCD" w:rsidRPr="00AA3013" w:rsidRDefault="002A3F36" w:rsidP="00607DCD">
      <w:pPr>
        <w:pStyle w:val="Paragrafoelenco"/>
        <w:numPr>
          <w:ilvl w:val="0"/>
          <w:numId w:val="7"/>
        </w:numPr>
        <w:spacing w:after="80"/>
        <w:ind w:left="284" w:right="-108" w:hanging="357"/>
        <w:contextualSpacing w:val="0"/>
        <w:jc w:val="left"/>
        <w:rPr>
          <w:rFonts w:asciiTheme="majorHAnsi" w:hAnsiTheme="majorHAnsi" w:cs="Cambria"/>
          <w:b/>
          <w:szCs w:val="22"/>
          <w:lang w:val="it-IT"/>
        </w:rPr>
      </w:pPr>
      <w:bookmarkStart w:id="0" w:name="_Hlk140061525"/>
      <w:r w:rsidRPr="00AA3013">
        <w:rPr>
          <w:rFonts w:asciiTheme="majorHAnsi" w:hAnsiTheme="majorHAnsi" w:cs="Cambria"/>
          <w:b/>
          <w:szCs w:val="22"/>
          <w:lang w:val="it-IT"/>
        </w:rPr>
        <w:t>F</w:t>
      </w:r>
      <w:r w:rsidR="00607DCD" w:rsidRPr="00AA3013">
        <w:rPr>
          <w:rFonts w:asciiTheme="majorHAnsi" w:hAnsiTheme="majorHAnsi" w:cs="Cambria"/>
          <w:b/>
          <w:szCs w:val="22"/>
          <w:lang w:val="it-IT"/>
        </w:rPr>
        <w:t>atturato</w:t>
      </w:r>
      <w:r w:rsidR="00BA6409" w:rsidRPr="00AA3013">
        <w:rPr>
          <w:rFonts w:asciiTheme="majorHAnsi" w:hAnsiTheme="majorHAnsi" w:cs="Cambria"/>
          <w:b/>
          <w:szCs w:val="22"/>
          <w:lang w:val="it-IT"/>
        </w:rPr>
        <w:t xml:space="preserve"> </w:t>
      </w:r>
      <w:r w:rsidR="00BA6409" w:rsidRPr="00AA3013">
        <w:rPr>
          <w:rFonts w:asciiTheme="majorHAnsi" w:hAnsiTheme="majorHAnsi" w:cs="Cambria"/>
          <w:b/>
          <w:szCs w:val="22"/>
          <w:lang w:val="it-IT"/>
        </w:rPr>
        <w:t>organic</w:t>
      </w:r>
      <w:r w:rsidR="00BA6409" w:rsidRPr="00AA3013">
        <w:rPr>
          <w:rFonts w:asciiTheme="majorHAnsi" w:hAnsiTheme="majorHAnsi" w:cs="Cambria"/>
          <w:b/>
          <w:szCs w:val="22"/>
          <w:lang w:val="it-IT"/>
        </w:rPr>
        <w:t>o</w:t>
      </w:r>
      <w:r w:rsidRPr="00AA3013">
        <w:rPr>
          <w:rFonts w:asciiTheme="majorHAnsi" w:hAnsiTheme="majorHAnsi" w:cs="Cambria"/>
          <w:b/>
          <w:szCs w:val="22"/>
          <w:lang w:val="it-IT"/>
        </w:rPr>
        <w:t>: +</w:t>
      </w:r>
      <w:r w:rsidR="00BA6409" w:rsidRPr="00AA3013">
        <w:rPr>
          <w:rFonts w:asciiTheme="majorHAnsi" w:hAnsiTheme="majorHAnsi" w:cs="Cambria"/>
          <w:b/>
          <w:szCs w:val="22"/>
          <w:lang w:val="it-IT"/>
        </w:rPr>
        <w:t xml:space="preserve">2,9% a circa </w:t>
      </w:r>
      <w:r w:rsidR="00607DCD" w:rsidRPr="00AA3013">
        <w:rPr>
          <w:rFonts w:asciiTheme="majorHAnsi" w:hAnsiTheme="majorHAnsi" w:cs="Cambria"/>
          <w:b/>
          <w:szCs w:val="22"/>
          <w:lang w:val="it-IT"/>
        </w:rPr>
        <w:t>10</w:t>
      </w:r>
      <w:r w:rsidR="00BA6409" w:rsidRPr="00AA3013">
        <w:rPr>
          <w:rFonts w:asciiTheme="majorHAnsi" w:hAnsiTheme="majorHAnsi" w:cs="Cambria"/>
          <w:b/>
          <w:szCs w:val="22"/>
          <w:lang w:val="it-IT"/>
        </w:rPr>
        <w:t>,</w:t>
      </w:r>
      <w:r w:rsidR="00607DCD" w:rsidRPr="00AA3013">
        <w:rPr>
          <w:rFonts w:asciiTheme="majorHAnsi" w:hAnsiTheme="majorHAnsi" w:cs="Cambria"/>
          <w:b/>
          <w:szCs w:val="22"/>
          <w:lang w:val="it-IT"/>
        </w:rPr>
        <w:t xml:space="preserve">8 </w:t>
      </w:r>
      <w:r w:rsidR="00BA6409" w:rsidRPr="00AA3013">
        <w:rPr>
          <w:rFonts w:asciiTheme="majorHAnsi" w:hAnsiTheme="majorHAnsi" w:cs="Cambria"/>
          <w:b/>
          <w:szCs w:val="22"/>
          <w:lang w:val="it-IT"/>
        </w:rPr>
        <w:t>miliardi di</w:t>
      </w:r>
      <w:r w:rsidR="00607DCD" w:rsidRPr="00AA3013">
        <w:rPr>
          <w:rFonts w:asciiTheme="majorHAnsi" w:hAnsiTheme="majorHAnsi" w:cs="Cambria"/>
          <w:b/>
          <w:szCs w:val="22"/>
          <w:lang w:val="it-IT"/>
        </w:rPr>
        <w:t xml:space="preserve"> euro (nominal</w:t>
      </w:r>
      <w:r w:rsidR="00BA6409" w:rsidRPr="00AA3013">
        <w:rPr>
          <w:rFonts w:asciiTheme="majorHAnsi" w:hAnsiTheme="majorHAnsi" w:cs="Cambria"/>
          <w:b/>
          <w:szCs w:val="22"/>
          <w:lang w:val="it-IT"/>
        </w:rPr>
        <w:t>e:</w:t>
      </w:r>
      <w:r w:rsidR="00607DCD" w:rsidRPr="00AA3013">
        <w:rPr>
          <w:rFonts w:asciiTheme="majorHAnsi" w:hAnsiTheme="majorHAnsi" w:cs="Cambria"/>
          <w:b/>
          <w:szCs w:val="22"/>
          <w:lang w:val="it-IT"/>
        </w:rPr>
        <w:t xml:space="preserve"> -1</w:t>
      </w:r>
      <w:r w:rsidR="00BA6409" w:rsidRPr="00AA3013">
        <w:rPr>
          <w:rFonts w:asciiTheme="majorHAnsi" w:hAnsiTheme="majorHAnsi" w:cs="Cambria"/>
          <w:b/>
          <w:szCs w:val="22"/>
          <w:lang w:val="it-IT"/>
        </w:rPr>
        <w:t>,</w:t>
      </w:r>
      <w:r w:rsidR="00607DCD" w:rsidRPr="00AA3013">
        <w:rPr>
          <w:rFonts w:asciiTheme="majorHAnsi" w:hAnsiTheme="majorHAnsi" w:cs="Cambria"/>
          <w:b/>
          <w:szCs w:val="22"/>
          <w:lang w:val="it-IT"/>
        </w:rPr>
        <w:t>0</w:t>
      </w:r>
      <w:r w:rsidR="00BA6409" w:rsidRPr="00AA3013">
        <w:rPr>
          <w:rFonts w:asciiTheme="majorHAnsi" w:hAnsiTheme="majorHAnsi" w:cs="Cambria"/>
          <w:b/>
          <w:szCs w:val="22"/>
          <w:lang w:val="it-IT"/>
        </w:rPr>
        <w:t>%</w:t>
      </w:r>
      <w:r w:rsidR="00607DCD" w:rsidRPr="00AA3013">
        <w:rPr>
          <w:rFonts w:asciiTheme="majorHAnsi" w:hAnsiTheme="majorHAnsi" w:cs="Cambria"/>
          <w:b/>
          <w:szCs w:val="22"/>
          <w:lang w:val="it-IT"/>
        </w:rPr>
        <w:t>)</w:t>
      </w:r>
      <w:r w:rsidR="00BA6409" w:rsidRPr="00AA3013">
        <w:rPr>
          <w:rFonts w:asciiTheme="majorHAnsi" w:hAnsiTheme="majorHAnsi" w:cs="Cambria"/>
          <w:b/>
          <w:szCs w:val="22"/>
          <w:lang w:val="it-IT"/>
        </w:rPr>
        <w:t xml:space="preserve">, sostenuto da entrambe le </w:t>
      </w:r>
      <w:r w:rsidR="00607DCD" w:rsidRPr="00AA3013">
        <w:rPr>
          <w:rFonts w:asciiTheme="majorHAnsi" w:hAnsiTheme="majorHAnsi" w:cs="Cambria"/>
          <w:b/>
          <w:szCs w:val="22"/>
          <w:lang w:val="it-IT"/>
        </w:rPr>
        <w:t>business unit</w:t>
      </w:r>
    </w:p>
    <w:p w14:paraId="3C3BEEA1" w14:textId="148EDCD9" w:rsidR="00607DCD" w:rsidRPr="00AA3013" w:rsidRDefault="002A3F36" w:rsidP="00607DCD">
      <w:pPr>
        <w:pStyle w:val="Paragrafoelenco"/>
        <w:numPr>
          <w:ilvl w:val="0"/>
          <w:numId w:val="7"/>
        </w:numPr>
        <w:spacing w:after="80"/>
        <w:ind w:left="284" w:right="-108" w:hanging="357"/>
        <w:contextualSpacing w:val="0"/>
        <w:jc w:val="left"/>
        <w:rPr>
          <w:rFonts w:asciiTheme="majorHAnsi" w:hAnsiTheme="majorHAnsi" w:cs="Cambria"/>
          <w:b/>
          <w:szCs w:val="22"/>
          <w:lang w:val="it-IT"/>
        </w:rPr>
      </w:pPr>
      <w:r w:rsidRPr="00AA3013">
        <w:rPr>
          <w:rFonts w:cs="Arial"/>
          <w:b/>
          <w:bCs/>
          <w:szCs w:val="22"/>
          <w:lang w:val="it-IT"/>
        </w:rPr>
        <w:t>M</w:t>
      </w:r>
      <w:r w:rsidR="00980AAE" w:rsidRPr="00AA3013">
        <w:rPr>
          <w:rFonts w:cs="Arial"/>
          <w:b/>
          <w:bCs/>
          <w:szCs w:val="22"/>
          <w:lang w:val="it-IT"/>
        </w:rPr>
        <w:t xml:space="preserve">argine operativo </w:t>
      </w:r>
      <w:r w:rsidR="00607DCD" w:rsidRPr="00AA3013">
        <w:rPr>
          <w:rFonts w:asciiTheme="majorHAnsi" w:hAnsiTheme="majorHAnsi" w:cs="Cambria"/>
          <w:b/>
          <w:szCs w:val="22"/>
          <w:lang w:val="it-IT"/>
        </w:rPr>
        <w:t>(EBIT)*: 1</w:t>
      </w:r>
      <w:r w:rsidR="009E434F" w:rsidRPr="00AA3013">
        <w:rPr>
          <w:rFonts w:asciiTheme="majorHAnsi" w:hAnsiTheme="majorHAnsi" w:cs="Cambria"/>
          <w:b/>
          <w:szCs w:val="22"/>
          <w:lang w:val="it-IT"/>
        </w:rPr>
        <w:t>.</w:t>
      </w:r>
      <w:r w:rsidR="00607DCD" w:rsidRPr="00AA3013">
        <w:rPr>
          <w:rFonts w:asciiTheme="majorHAnsi" w:hAnsiTheme="majorHAnsi" w:cs="Cambria"/>
          <w:b/>
          <w:szCs w:val="22"/>
          <w:lang w:val="it-IT"/>
        </w:rPr>
        <w:t>610 milion</w:t>
      </w:r>
      <w:r w:rsidR="009E434F" w:rsidRPr="00AA3013">
        <w:rPr>
          <w:rFonts w:asciiTheme="majorHAnsi" w:hAnsiTheme="majorHAnsi" w:cs="Cambria"/>
          <w:b/>
          <w:szCs w:val="22"/>
          <w:lang w:val="it-IT"/>
        </w:rPr>
        <w:t>i di</w:t>
      </w:r>
      <w:r w:rsidR="00607DCD" w:rsidRPr="00AA3013">
        <w:rPr>
          <w:rFonts w:asciiTheme="majorHAnsi" w:hAnsiTheme="majorHAnsi" w:cs="Cambria"/>
          <w:b/>
          <w:szCs w:val="22"/>
          <w:lang w:val="it-IT"/>
        </w:rPr>
        <w:t xml:space="preserve"> euro (+28</w:t>
      </w:r>
      <w:r w:rsidR="009E434F" w:rsidRPr="00AA3013">
        <w:rPr>
          <w:rFonts w:asciiTheme="majorHAnsi" w:hAnsiTheme="majorHAnsi" w:cs="Cambria"/>
          <w:b/>
          <w:szCs w:val="22"/>
          <w:lang w:val="it-IT"/>
        </w:rPr>
        <w:t>,</w:t>
      </w:r>
      <w:r w:rsidR="00607DCD" w:rsidRPr="00AA3013">
        <w:rPr>
          <w:rFonts w:asciiTheme="majorHAnsi" w:hAnsiTheme="majorHAnsi" w:cs="Cambria"/>
          <w:b/>
          <w:szCs w:val="22"/>
          <w:lang w:val="it-IT"/>
        </w:rPr>
        <w:t>4</w:t>
      </w:r>
      <w:r w:rsidR="009E434F" w:rsidRPr="00AA3013">
        <w:rPr>
          <w:rFonts w:asciiTheme="majorHAnsi" w:hAnsiTheme="majorHAnsi" w:cs="Cambria"/>
          <w:b/>
          <w:szCs w:val="22"/>
          <w:lang w:val="it-IT"/>
        </w:rPr>
        <w:t>%</w:t>
      </w:r>
      <w:r w:rsidR="00607DCD" w:rsidRPr="00AA3013">
        <w:rPr>
          <w:rFonts w:asciiTheme="majorHAnsi" w:hAnsiTheme="majorHAnsi" w:cs="Cambria"/>
          <w:b/>
          <w:szCs w:val="22"/>
          <w:lang w:val="it-IT"/>
        </w:rPr>
        <w:t>)</w:t>
      </w:r>
    </w:p>
    <w:p w14:paraId="623E65E9" w14:textId="6414775A" w:rsidR="00607DCD" w:rsidRPr="00AA3013" w:rsidRDefault="009E434F" w:rsidP="00607DCD">
      <w:pPr>
        <w:pStyle w:val="Paragrafoelenco"/>
        <w:numPr>
          <w:ilvl w:val="0"/>
          <w:numId w:val="7"/>
        </w:numPr>
        <w:spacing w:after="80"/>
        <w:ind w:left="284" w:right="-108" w:hanging="357"/>
        <w:contextualSpacing w:val="0"/>
        <w:jc w:val="left"/>
        <w:rPr>
          <w:rFonts w:asciiTheme="majorHAnsi" w:hAnsiTheme="majorHAnsi" w:cs="Cambria"/>
          <w:b/>
          <w:szCs w:val="22"/>
          <w:lang w:val="it-IT"/>
        </w:rPr>
      </w:pPr>
      <w:r w:rsidRPr="00AA3013">
        <w:rPr>
          <w:rFonts w:asciiTheme="majorHAnsi" w:hAnsiTheme="majorHAnsi" w:cs="Cambria"/>
          <w:b/>
          <w:szCs w:val="22"/>
          <w:lang w:val="it-IT"/>
        </w:rPr>
        <w:t xml:space="preserve">Margine </w:t>
      </w:r>
      <w:r w:rsidR="00607DCD" w:rsidRPr="00AA3013">
        <w:rPr>
          <w:rFonts w:asciiTheme="majorHAnsi" w:hAnsiTheme="majorHAnsi" w:cs="Cambria"/>
          <w:b/>
          <w:szCs w:val="22"/>
          <w:lang w:val="it-IT"/>
        </w:rPr>
        <w:t>EBIT*</w:t>
      </w:r>
      <w:r w:rsidRPr="00AA3013">
        <w:rPr>
          <w:rFonts w:asciiTheme="majorHAnsi" w:hAnsiTheme="majorHAnsi" w:cs="Cambria"/>
          <w:b/>
          <w:szCs w:val="22"/>
          <w:lang w:val="it-IT"/>
        </w:rPr>
        <w:t>:</w:t>
      </w:r>
      <w:r w:rsidR="00607DCD" w:rsidRPr="00AA3013">
        <w:rPr>
          <w:rFonts w:asciiTheme="majorHAnsi" w:hAnsiTheme="majorHAnsi" w:cs="Cambria"/>
          <w:b/>
          <w:szCs w:val="22"/>
          <w:lang w:val="it-IT"/>
        </w:rPr>
        <w:t xml:space="preserve"> 14</w:t>
      </w:r>
      <w:r w:rsidRPr="00AA3013">
        <w:rPr>
          <w:rFonts w:asciiTheme="majorHAnsi" w:hAnsiTheme="majorHAnsi" w:cs="Cambria"/>
          <w:b/>
          <w:szCs w:val="22"/>
          <w:lang w:val="it-IT"/>
        </w:rPr>
        <w:t>,</w:t>
      </w:r>
      <w:r w:rsidR="00607DCD" w:rsidRPr="00AA3013">
        <w:rPr>
          <w:rFonts w:asciiTheme="majorHAnsi" w:hAnsiTheme="majorHAnsi" w:cs="Cambria"/>
          <w:b/>
          <w:szCs w:val="22"/>
          <w:lang w:val="it-IT"/>
        </w:rPr>
        <w:t>9</w:t>
      </w:r>
      <w:r w:rsidRPr="00AA3013">
        <w:rPr>
          <w:rFonts w:asciiTheme="majorHAnsi" w:hAnsiTheme="majorHAnsi" w:cs="Cambria"/>
          <w:b/>
          <w:szCs w:val="22"/>
          <w:lang w:val="it-IT"/>
        </w:rPr>
        <w:t>%</w:t>
      </w:r>
      <w:r w:rsidR="00607DCD" w:rsidRPr="00AA3013">
        <w:rPr>
          <w:rFonts w:asciiTheme="majorHAnsi" w:hAnsiTheme="majorHAnsi" w:cs="Cambria"/>
          <w:b/>
          <w:szCs w:val="22"/>
          <w:lang w:val="it-IT"/>
        </w:rPr>
        <w:t xml:space="preserve"> (+340 </w:t>
      </w:r>
      <w:r w:rsidRPr="00AA3013">
        <w:rPr>
          <w:rFonts w:asciiTheme="majorHAnsi" w:hAnsiTheme="majorHAnsi" w:cs="Cambria"/>
          <w:b/>
          <w:szCs w:val="22"/>
          <w:lang w:val="it-IT"/>
        </w:rPr>
        <w:t>punti base</w:t>
      </w:r>
      <w:r w:rsidR="00607DCD" w:rsidRPr="00AA3013">
        <w:rPr>
          <w:rFonts w:asciiTheme="majorHAnsi" w:hAnsiTheme="majorHAnsi" w:cs="Cambria"/>
          <w:b/>
          <w:szCs w:val="22"/>
          <w:lang w:val="it-IT"/>
        </w:rPr>
        <w:t>)</w:t>
      </w:r>
    </w:p>
    <w:p w14:paraId="0ED88A2B" w14:textId="01BF66FE" w:rsidR="00607DCD" w:rsidRPr="00AA3013" w:rsidRDefault="009E434F" w:rsidP="00607DCD">
      <w:pPr>
        <w:pStyle w:val="Paragrafoelenco"/>
        <w:numPr>
          <w:ilvl w:val="0"/>
          <w:numId w:val="7"/>
        </w:numPr>
        <w:spacing w:after="80"/>
        <w:ind w:left="284" w:right="-108" w:hanging="357"/>
        <w:contextualSpacing w:val="0"/>
        <w:jc w:val="left"/>
        <w:rPr>
          <w:rFonts w:asciiTheme="majorHAnsi" w:hAnsiTheme="majorHAnsi" w:cs="Cambria"/>
          <w:b/>
          <w:szCs w:val="22"/>
          <w:lang w:val="it-IT"/>
        </w:rPr>
      </w:pPr>
      <w:r w:rsidRPr="00AA3013">
        <w:rPr>
          <w:b/>
          <w:bCs/>
          <w:lang w:val="it-IT"/>
        </w:rPr>
        <w:t xml:space="preserve">Utile per azione privilegiata </w:t>
      </w:r>
      <w:r w:rsidR="00607DCD" w:rsidRPr="00AA3013">
        <w:rPr>
          <w:rFonts w:asciiTheme="majorHAnsi" w:hAnsiTheme="majorHAnsi" w:cs="Cambria"/>
          <w:b/>
          <w:szCs w:val="22"/>
          <w:lang w:val="it-IT"/>
        </w:rPr>
        <w:t>(EPS)*</w:t>
      </w:r>
      <w:r w:rsidRPr="00AA3013">
        <w:rPr>
          <w:rFonts w:asciiTheme="majorHAnsi" w:hAnsiTheme="majorHAnsi" w:cs="Cambria"/>
          <w:b/>
          <w:szCs w:val="22"/>
          <w:lang w:val="it-IT"/>
        </w:rPr>
        <w:t>:</w:t>
      </w:r>
      <w:r w:rsidR="00607DCD" w:rsidRPr="00AA3013">
        <w:rPr>
          <w:rFonts w:asciiTheme="majorHAnsi" w:hAnsiTheme="majorHAnsi" w:cs="Cambria"/>
          <w:b/>
          <w:szCs w:val="22"/>
          <w:lang w:val="it-IT"/>
        </w:rPr>
        <w:t xml:space="preserve"> </w:t>
      </w:r>
      <w:r w:rsidRPr="00AA3013">
        <w:rPr>
          <w:rFonts w:asciiTheme="majorHAnsi" w:hAnsiTheme="majorHAnsi" w:cs="Cambria"/>
          <w:b/>
          <w:szCs w:val="22"/>
          <w:lang w:val="it-IT"/>
        </w:rPr>
        <w:t xml:space="preserve">crescita di </w:t>
      </w:r>
      <w:r w:rsidR="00D623E1" w:rsidRPr="00AA3013">
        <w:rPr>
          <w:rFonts w:asciiTheme="majorHAnsi" w:hAnsiTheme="majorHAnsi" w:cs="Cambria"/>
          <w:b/>
          <w:szCs w:val="22"/>
          <w:lang w:val="it-IT"/>
        </w:rPr>
        <w:t>quasi</w:t>
      </w:r>
      <w:r w:rsidRPr="00AA3013">
        <w:rPr>
          <w:rFonts w:asciiTheme="majorHAnsi" w:hAnsiTheme="majorHAnsi" w:cs="Cambria"/>
          <w:b/>
          <w:szCs w:val="22"/>
          <w:lang w:val="it-IT"/>
        </w:rPr>
        <w:t xml:space="preserve"> un terzo a</w:t>
      </w:r>
      <w:r w:rsidR="00607DCD" w:rsidRPr="00AA3013">
        <w:rPr>
          <w:rFonts w:asciiTheme="majorHAnsi" w:hAnsiTheme="majorHAnsi" w:cs="Cambria"/>
          <w:b/>
          <w:szCs w:val="22"/>
          <w:lang w:val="it-IT"/>
        </w:rPr>
        <w:t xml:space="preserve"> 2</w:t>
      </w:r>
      <w:r w:rsidRPr="00AA3013">
        <w:rPr>
          <w:rFonts w:asciiTheme="majorHAnsi" w:hAnsiTheme="majorHAnsi" w:cs="Cambria"/>
          <w:b/>
          <w:szCs w:val="22"/>
          <w:lang w:val="it-IT"/>
        </w:rPr>
        <w:t>,</w:t>
      </w:r>
      <w:r w:rsidR="00607DCD" w:rsidRPr="00AA3013">
        <w:rPr>
          <w:rFonts w:asciiTheme="majorHAnsi" w:hAnsiTheme="majorHAnsi" w:cs="Cambria"/>
          <w:b/>
          <w:szCs w:val="22"/>
          <w:lang w:val="it-IT"/>
        </w:rPr>
        <w:t>78 euro,</w:t>
      </w:r>
      <w:r w:rsidR="00D623E1" w:rsidRPr="00AA3013">
        <w:rPr>
          <w:rFonts w:asciiTheme="majorHAnsi" w:hAnsiTheme="majorHAnsi" w:cs="Cambria"/>
          <w:b/>
          <w:szCs w:val="22"/>
          <w:lang w:val="it-IT"/>
        </w:rPr>
        <w:t xml:space="preserve"> </w:t>
      </w:r>
      <w:r w:rsidR="00607DCD" w:rsidRPr="00AA3013">
        <w:rPr>
          <w:rFonts w:asciiTheme="majorHAnsi" w:hAnsiTheme="majorHAnsi" w:cs="Cambria"/>
          <w:b/>
          <w:szCs w:val="22"/>
          <w:lang w:val="it-IT"/>
        </w:rPr>
        <w:t>+32</w:t>
      </w:r>
      <w:r w:rsidR="00D623E1" w:rsidRPr="00AA3013">
        <w:rPr>
          <w:rFonts w:asciiTheme="majorHAnsi" w:hAnsiTheme="majorHAnsi" w:cs="Cambria"/>
          <w:b/>
          <w:szCs w:val="22"/>
          <w:lang w:val="it-IT"/>
        </w:rPr>
        <w:t>,</w:t>
      </w:r>
      <w:r w:rsidR="00607DCD" w:rsidRPr="00AA3013">
        <w:rPr>
          <w:rFonts w:asciiTheme="majorHAnsi" w:hAnsiTheme="majorHAnsi" w:cs="Cambria"/>
          <w:b/>
          <w:szCs w:val="22"/>
          <w:lang w:val="it-IT"/>
        </w:rPr>
        <w:t>9</w:t>
      </w:r>
      <w:r w:rsidR="00D623E1" w:rsidRPr="00AA3013">
        <w:rPr>
          <w:rFonts w:asciiTheme="majorHAnsi" w:hAnsiTheme="majorHAnsi" w:cs="Cambria"/>
          <w:b/>
          <w:szCs w:val="22"/>
          <w:lang w:val="it-IT"/>
        </w:rPr>
        <w:t>%</w:t>
      </w:r>
      <w:r w:rsidR="00607DCD" w:rsidRPr="00AA3013">
        <w:rPr>
          <w:rFonts w:asciiTheme="majorHAnsi" w:hAnsiTheme="majorHAnsi" w:cs="Cambria"/>
          <w:b/>
          <w:szCs w:val="22"/>
          <w:lang w:val="it-IT"/>
        </w:rPr>
        <w:t xml:space="preserve"> </w:t>
      </w:r>
      <w:r w:rsidR="00D623E1" w:rsidRPr="00AA3013">
        <w:rPr>
          <w:rFonts w:asciiTheme="majorHAnsi" w:hAnsiTheme="majorHAnsi" w:cs="Cambria"/>
          <w:b/>
          <w:szCs w:val="22"/>
          <w:lang w:val="it-IT"/>
        </w:rPr>
        <w:t>a tassi costanti di cambio</w:t>
      </w:r>
    </w:p>
    <w:p w14:paraId="24394407" w14:textId="0CE6618F" w:rsidR="00607DCD" w:rsidRPr="00AA3013" w:rsidRDefault="00D623E1" w:rsidP="00607DCD">
      <w:pPr>
        <w:pStyle w:val="Paragrafoelenco"/>
        <w:numPr>
          <w:ilvl w:val="0"/>
          <w:numId w:val="7"/>
        </w:numPr>
        <w:spacing w:after="80"/>
        <w:ind w:left="284" w:right="-108"/>
        <w:contextualSpacing w:val="0"/>
        <w:jc w:val="left"/>
        <w:rPr>
          <w:rFonts w:asciiTheme="majorHAnsi" w:hAnsiTheme="majorHAnsi" w:cs="Cambria"/>
          <w:b/>
          <w:szCs w:val="22"/>
          <w:lang w:val="it-IT"/>
        </w:rPr>
      </w:pPr>
      <w:r w:rsidRPr="00AA3013">
        <w:rPr>
          <w:rFonts w:asciiTheme="majorHAnsi" w:hAnsiTheme="majorHAnsi" w:cs="Cambria"/>
          <w:b/>
          <w:szCs w:val="22"/>
          <w:lang w:val="it-IT"/>
        </w:rPr>
        <w:t>Molto buono il flusso libero di cassa a circa</w:t>
      </w:r>
      <w:r w:rsidR="00607DCD" w:rsidRPr="00AA3013">
        <w:rPr>
          <w:rFonts w:asciiTheme="majorHAnsi" w:hAnsiTheme="majorHAnsi" w:cs="Cambria"/>
          <w:b/>
          <w:szCs w:val="22"/>
          <w:lang w:val="it-IT"/>
        </w:rPr>
        <w:t xml:space="preserve"> 800 milion</w:t>
      </w:r>
      <w:r w:rsidRPr="00AA3013">
        <w:rPr>
          <w:rFonts w:asciiTheme="majorHAnsi" w:hAnsiTheme="majorHAnsi" w:cs="Cambria"/>
          <w:b/>
          <w:szCs w:val="22"/>
          <w:lang w:val="it-IT"/>
        </w:rPr>
        <w:t>i di</w:t>
      </w:r>
      <w:r w:rsidR="00607DCD" w:rsidRPr="00AA3013">
        <w:rPr>
          <w:rFonts w:asciiTheme="majorHAnsi" w:hAnsiTheme="majorHAnsi" w:cs="Cambria"/>
          <w:b/>
          <w:szCs w:val="22"/>
          <w:lang w:val="it-IT"/>
        </w:rPr>
        <w:t xml:space="preserve"> euro</w:t>
      </w:r>
    </w:p>
    <w:bookmarkEnd w:id="0"/>
    <w:p w14:paraId="1B899D0D" w14:textId="4A85E9D7" w:rsidR="00D623E1" w:rsidRPr="00AA3013" w:rsidRDefault="00D623E1" w:rsidP="00607DCD">
      <w:pPr>
        <w:pStyle w:val="Paragrafoelenco"/>
        <w:numPr>
          <w:ilvl w:val="0"/>
          <w:numId w:val="7"/>
        </w:numPr>
        <w:spacing w:after="80"/>
        <w:ind w:left="284" w:right="-108" w:hanging="357"/>
        <w:contextualSpacing w:val="0"/>
        <w:jc w:val="left"/>
        <w:rPr>
          <w:rFonts w:asciiTheme="majorHAnsi" w:hAnsiTheme="majorHAnsi" w:cs="Cambria"/>
          <w:b/>
          <w:szCs w:val="22"/>
          <w:lang w:val="it-IT"/>
        </w:rPr>
      </w:pPr>
      <w:r w:rsidRPr="00AA3013">
        <w:rPr>
          <w:rFonts w:asciiTheme="majorHAnsi" w:hAnsiTheme="majorHAnsi" w:cs="Cambria"/>
          <w:b/>
          <w:szCs w:val="22"/>
          <w:lang w:val="it-IT"/>
        </w:rPr>
        <w:t>Ulteriori progressi nell’implementazione dell’agenda strategica di crescita</w:t>
      </w:r>
    </w:p>
    <w:p w14:paraId="6FAADEFC" w14:textId="404EFEBB" w:rsidR="00607DCD" w:rsidRPr="00AA3013" w:rsidRDefault="00423D30" w:rsidP="00242A71">
      <w:pPr>
        <w:pStyle w:val="Paragrafoelenco"/>
        <w:numPr>
          <w:ilvl w:val="0"/>
          <w:numId w:val="7"/>
        </w:numPr>
        <w:spacing w:after="80"/>
        <w:ind w:left="284" w:right="-108" w:hanging="357"/>
        <w:contextualSpacing w:val="0"/>
        <w:jc w:val="left"/>
        <w:rPr>
          <w:rFonts w:asciiTheme="majorHAnsi" w:hAnsiTheme="majorHAnsi" w:cs="Cambria"/>
          <w:b/>
          <w:szCs w:val="22"/>
          <w:lang w:val="it-IT"/>
        </w:rPr>
      </w:pPr>
      <w:r w:rsidRPr="00AA3013">
        <w:rPr>
          <w:rFonts w:asciiTheme="majorHAnsi" w:hAnsiTheme="majorHAnsi" w:cs="Cambria"/>
          <w:b/>
          <w:szCs w:val="22"/>
          <w:lang w:val="it-IT"/>
        </w:rPr>
        <w:t>Previsioni per l’anno fiscale 2024 riviste al rialzo già a metà luglio:</w:t>
      </w:r>
    </w:p>
    <w:p w14:paraId="09394EC7" w14:textId="31A31D35" w:rsidR="00607DCD" w:rsidRPr="00AA3013" w:rsidRDefault="00423D30" w:rsidP="00607DCD">
      <w:pPr>
        <w:pStyle w:val="He01FlietextAufzhlung2Ebene"/>
        <w:rPr>
          <w:lang w:val="it-IT"/>
        </w:rPr>
      </w:pPr>
      <w:r w:rsidRPr="00AA3013">
        <w:rPr>
          <w:lang w:val="it-IT"/>
        </w:rPr>
        <w:t>Crescita organica del fatturato</w:t>
      </w:r>
      <w:r w:rsidR="00607DCD" w:rsidRPr="00AA3013">
        <w:rPr>
          <w:lang w:val="it-IT"/>
        </w:rPr>
        <w:t xml:space="preserve">: </w:t>
      </w:r>
      <w:r w:rsidRPr="00AA3013">
        <w:rPr>
          <w:lang w:val="it-IT"/>
        </w:rPr>
        <w:t xml:space="preserve">tra </w:t>
      </w:r>
      <w:r w:rsidR="00607DCD" w:rsidRPr="00AA3013">
        <w:rPr>
          <w:lang w:val="it-IT"/>
        </w:rPr>
        <w:t>2</w:t>
      </w:r>
      <w:r w:rsidRPr="00AA3013">
        <w:rPr>
          <w:lang w:val="it-IT"/>
        </w:rPr>
        <w:t>,</w:t>
      </w:r>
      <w:r w:rsidR="00607DCD" w:rsidRPr="00AA3013">
        <w:rPr>
          <w:lang w:val="it-IT"/>
        </w:rPr>
        <w:t xml:space="preserve">5 </w:t>
      </w:r>
      <w:r w:rsidRPr="00AA3013">
        <w:rPr>
          <w:lang w:val="it-IT"/>
        </w:rPr>
        <w:t>e</w:t>
      </w:r>
      <w:r w:rsidR="00607DCD" w:rsidRPr="00AA3013">
        <w:rPr>
          <w:lang w:val="it-IT"/>
        </w:rPr>
        <w:t xml:space="preserve"> 4</w:t>
      </w:r>
      <w:r w:rsidRPr="00AA3013">
        <w:rPr>
          <w:lang w:val="it-IT"/>
        </w:rPr>
        <w:t>,</w:t>
      </w:r>
      <w:r w:rsidR="00607DCD" w:rsidRPr="00AA3013">
        <w:rPr>
          <w:lang w:val="it-IT"/>
        </w:rPr>
        <w:t>5</w:t>
      </w:r>
      <w:r w:rsidRPr="00AA3013">
        <w:rPr>
          <w:lang w:val="it-IT"/>
        </w:rPr>
        <w:t>%</w:t>
      </w:r>
      <w:r w:rsidR="00607DCD" w:rsidRPr="00AA3013">
        <w:rPr>
          <w:lang w:val="it-IT"/>
        </w:rPr>
        <w:t xml:space="preserve"> (</w:t>
      </w:r>
      <w:r w:rsidRPr="00AA3013">
        <w:rPr>
          <w:lang w:val="it-IT"/>
        </w:rPr>
        <w:t>invariato</w:t>
      </w:r>
      <w:r w:rsidR="00607DCD" w:rsidRPr="00AA3013">
        <w:rPr>
          <w:lang w:val="it-IT"/>
        </w:rPr>
        <w:t>)</w:t>
      </w:r>
    </w:p>
    <w:p w14:paraId="5EA54052" w14:textId="77777777" w:rsidR="00423D30" w:rsidRPr="00AA3013" w:rsidRDefault="00423D30" w:rsidP="00423D30">
      <w:pPr>
        <w:pStyle w:val="He01FlietextAufzhlung2Ebene"/>
        <w:rPr>
          <w:lang w:val="it-IT"/>
        </w:rPr>
      </w:pPr>
      <w:r w:rsidRPr="00AA3013">
        <w:rPr>
          <w:lang w:val="it-IT"/>
        </w:rPr>
        <w:t>Tasso depurato di ritorno sulle vendite: tra 13,5 e 14,5% (prima: tra 13,0 e 14,0%)</w:t>
      </w:r>
    </w:p>
    <w:p w14:paraId="44B29778" w14:textId="77777777" w:rsidR="005A11C7" w:rsidRPr="00AA3013" w:rsidRDefault="005A11C7" w:rsidP="005A11C7">
      <w:pPr>
        <w:pStyle w:val="He01FlietextAufzhlung2Ebene"/>
        <w:rPr>
          <w:lang w:val="it-IT"/>
        </w:rPr>
      </w:pPr>
      <w:r w:rsidRPr="00AA3013">
        <w:rPr>
          <w:lang w:val="it-IT"/>
        </w:rPr>
        <w:t>Utile depurato per azione privilegiata</w:t>
      </w:r>
      <w:r w:rsidRPr="00AA3013">
        <w:rPr>
          <w:b/>
          <w:bCs/>
          <w:lang w:val="it-IT"/>
        </w:rPr>
        <w:t xml:space="preserve"> </w:t>
      </w:r>
      <w:r w:rsidRPr="00AA3013">
        <w:rPr>
          <w:lang w:val="it-IT"/>
        </w:rPr>
        <w:t>(EPS): incremento tra +20,0 e +30,0% a tassi costanti di cambio (prima: tra +15,0 e +25,0%)</w:t>
      </w:r>
    </w:p>
    <w:p w14:paraId="531FED65" w14:textId="6917EDA1" w:rsidR="00607DCD" w:rsidRPr="00AA3013" w:rsidRDefault="00A566EC" w:rsidP="00607DCD">
      <w:pPr>
        <w:pStyle w:val="Paragrafoelenco"/>
        <w:numPr>
          <w:ilvl w:val="0"/>
          <w:numId w:val="7"/>
        </w:numPr>
        <w:spacing w:after="80"/>
        <w:ind w:left="284" w:right="-108" w:hanging="357"/>
        <w:contextualSpacing w:val="0"/>
        <w:jc w:val="left"/>
        <w:rPr>
          <w:lang w:val="it-IT"/>
        </w:rPr>
      </w:pPr>
      <w:r w:rsidRPr="00AA3013">
        <w:rPr>
          <w:rFonts w:asciiTheme="majorHAnsi" w:hAnsiTheme="majorHAnsi" w:cs="Cambria"/>
          <w:b/>
          <w:szCs w:val="22"/>
          <w:lang w:val="it-IT"/>
        </w:rPr>
        <w:t>Obiettivi economici di medio e lungo termine raggiungibili già nel medio periodo</w:t>
      </w:r>
    </w:p>
    <w:p w14:paraId="3937FD21" w14:textId="77777777" w:rsidR="005948C2" w:rsidRPr="00AA3013" w:rsidRDefault="005948C2" w:rsidP="00C80467">
      <w:pPr>
        <w:rPr>
          <w:sz w:val="16"/>
          <w:szCs w:val="16"/>
          <w:lang w:val="it-IT"/>
        </w:rPr>
      </w:pPr>
    </w:p>
    <w:p w14:paraId="6DD136D9" w14:textId="10F59A95" w:rsidR="00607DCD" w:rsidRPr="00AA3013" w:rsidRDefault="002A3F36" w:rsidP="00C80467">
      <w:pPr>
        <w:rPr>
          <w:lang w:val="it-IT"/>
        </w:rPr>
      </w:pPr>
      <w:r w:rsidRPr="00AA3013">
        <w:rPr>
          <w:sz w:val="16"/>
          <w:szCs w:val="16"/>
          <w:lang w:val="it-IT"/>
        </w:rPr>
        <w:t xml:space="preserve">* </w:t>
      </w:r>
      <w:r w:rsidR="005948C2" w:rsidRPr="00AA3013">
        <w:rPr>
          <w:sz w:val="20"/>
          <w:szCs w:val="20"/>
          <w:lang w:val="it-IT"/>
        </w:rPr>
        <w:t>Depurato da ricavi e costi straordinari, e oneri di ristrutturazione</w:t>
      </w:r>
    </w:p>
    <w:p w14:paraId="2FCDF79D" w14:textId="77777777" w:rsidR="00607DCD" w:rsidRPr="00AA3013" w:rsidRDefault="00607DCD" w:rsidP="00C80467">
      <w:pPr>
        <w:rPr>
          <w:lang w:val="it-IT"/>
        </w:rPr>
      </w:pPr>
    </w:p>
    <w:p w14:paraId="79F35F48" w14:textId="57DB89D4" w:rsidR="008134A4" w:rsidRPr="00AA3013" w:rsidRDefault="000E5054" w:rsidP="00A352FB">
      <w:pPr>
        <w:rPr>
          <w:rFonts w:cs="Segoe UI"/>
          <w:szCs w:val="22"/>
          <w:lang w:val="it-IT"/>
        </w:rPr>
      </w:pPr>
      <w:r w:rsidRPr="00AA3013">
        <w:rPr>
          <w:rFonts w:cs="Segoe UI"/>
          <w:szCs w:val="22"/>
          <w:lang w:val="it-IT"/>
        </w:rPr>
        <w:br/>
      </w:r>
      <w:r w:rsidR="00C80467" w:rsidRPr="00AA3013">
        <w:rPr>
          <w:rFonts w:cs="Segoe UI"/>
          <w:szCs w:val="22"/>
          <w:lang w:val="it-IT"/>
        </w:rPr>
        <w:t>Düsseldorf –</w:t>
      </w:r>
      <w:r w:rsidR="00167286" w:rsidRPr="00AA3013">
        <w:rPr>
          <w:rFonts w:cs="Segoe UI"/>
          <w:szCs w:val="22"/>
          <w:lang w:val="it-IT"/>
        </w:rPr>
        <w:t xml:space="preserve"> </w:t>
      </w:r>
      <w:r w:rsidR="00614AAB" w:rsidRPr="00AA3013">
        <w:rPr>
          <w:rFonts w:cs="Segoe UI"/>
          <w:szCs w:val="22"/>
          <w:lang w:val="it-IT"/>
        </w:rPr>
        <w:t>N</w:t>
      </w:r>
      <w:r w:rsidR="00614AAB" w:rsidRPr="00AA3013">
        <w:rPr>
          <w:rFonts w:cs="Segoe UI"/>
          <w:szCs w:val="22"/>
          <w:lang w:val="it-IT"/>
        </w:rPr>
        <w:t xml:space="preserve">el primo semestre 2024, nonostante il perdurare delle complessità legate allo scenario economico, </w:t>
      </w:r>
      <w:r w:rsidR="00585FC8" w:rsidRPr="00AA3013">
        <w:rPr>
          <w:rFonts w:cs="Segoe UI"/>
          <w:szCs w:val="22"/>
          <w:lang w:val="it-IT"/>
        </w:rPr>
        <w:t xml:space="preserve">Henkel ha </w:t>
      </w:r>
      <w:r w:rsidR="004B3B97" w:rsidRPr="00AA3013">
        <w:rPr>
          <w:rFonts w:cs="Segoe UI"/>
          <w:szCs w:val="22"/>
          <w:lang w:val="it-IT"/>
        </w:rPr>
        <w:t>registrato</w:t>
      </w:r>
      <w:r w:rsidR="005400DF" w:rsidRPr="00AA3013">
        <w:rPr>
          <w:rFonts w:cs="Segoe UI"/>
          <w:szCs w:val="22"/>
          <w:lang w:val="it-IT"/>
        </w:rPr>
        <w:t xml:space="preserve"> una buona crescita del fatturato in termini organici e un</w:t>
      </w:r>
      <w:r w:rsidR="004B3B97" w:rsidRPr="00AA3013">
        <w:rPr>
          <w:rFonts w:cs="Segoe UI"/>
          <w:szCs w:val="22"/>
          <w:lang w:val="it-IT"/>
        </w:rPr>
        <w:t xml:space="preserve"> solido incremento della profittabilità</w:t>
      </w:r>
      <w:r w:rsidR="00614AAB" w:rsidRPr="00AA3013">
        <w:rPr>
          <w:rFonts w:cs="Segoe UI"/>
          <w:szCs w:val="22"/>
          <w:lang w:val="it-IT"/>
        </w:rPr>
        <w:t>,</w:t>
      </w:r>
      <w:r w:rsidR="00167286" w:rsidRPr="00AA3013">
        <w:rPr>
          <w:rFonts w:cs="Segoe UI"/>
          <w:szCs w:val="22"/>
          <w:lang w:val="it-IT"/>
        </w:rPr>
        <w:t xml:space="preserve"> </w:t>
      </w:r>
      <w:r w:rsidR="00E500F9" w:rsidRPr="00AA3013">
        <w:rPr>
          <w:rFonts w:cs="Segoe UI"/>
          <w:szCs w:val="22"/>
          <w:lang w:val="it-IT"/>
        </w:rPr>
        <w:t>confermando</w:t>
      </w:r>
      <w:r w:rsidR="00F35DA1" w:rsidRPr="00AA3013">
        <w:rPr>
          <w:rFonts w:cs="Segoe UI"/>
          <w:szCs w:val="22"/>
          <w:lang w:val="it-IT"/>
        </w:rPr>
        <w:t xml:space="preserve"> il suo </w:t>
      </w:r>
      <w:r w:rsidR="004868C3" w:rsidRPr="00AA3013">
        <w:rPr>
          <w:rFonts w:cs="Segoe UI"/>
          <w:szCs w:val="22"/>
          <w:lang w:val="it-IT"/>
        </w:rPr>
        <w:t xml:space="preserve">proficuo </w:t>
      </w:r>
      <w:r w:rsidR="00F35DA1" w:rsidRPr="00AA3013">
        <w:rPr>
          <w:rFonts w:cs="Segoe UI"/>
          <w:szCs w:val="22"/>
          <w:lang w:val="it-IT"/>
        </w:rPr>
        <w:t>percorso</w:t>
      </w:r>
      <w:r w:rsidR="00E500F9" w:rsidRPr="00AA3013">
        <w:rPr>
          <w:rFonts w:cs="Segoe UI"/>
          <w:szCs w:val="22"/>
          <w:lang w:val="it-IT"/>
        </w:rPr>
        <w:t xml:space="preserve"> di crescita.</w:t>
      </w:r>
      <w:r w:rsidR="00CC02BF" w:rsidRPr="00AA3013">
        <w:rPr>
          <w:rFonts w:cs="Segoe UI"/>
          <w:szCs w:val="22"/>
          <w:lang w:val="it-IT"/>
        </w:rPr>
        <w:t xml:space="preserve"> “I risultati della prima metà dell’anno sono nel complesso molto soddisfacenti</w:t>
      </w:r>
      <w:r w:rsidR="009B0D38" w:rsidRPr="00AA3013">
        <w:rPr>
          <w:rFonts w:cs="Segoe UI"/>
          <w:szCs w:val="22"/>
          <w:lang w:val="it-IT"/>
        </w:rPr>
        <w:t xml:space="preserve">, a dimostrazione </w:t>
      </w:r>
      <w:r w:rsidR="009B0D38" w:rsidRPr="00AA3013">
        <w:rPr>
          <w:rFonts w:cs="Segoe UI"/>
          <w:szCs w:val="22"/>
          <w:lang w:val="it-IT"/>
        </w:rPr>
        <w:lastRenderedPageBreak/>
        <w:t xml:space="preserve">del fatto che siamo seguendo la strategia giusta e che la nostra </w:t>
      </w:r>
      <w:r w:rsidR="0050510C" w:rsidRPr="00AA3013">
        <w:rPr>
          <w:rFonts w:cs="Segoe UI"/>
          <w:szCs w:val="22"/>
          <w:lang w:val="it-IT"/>
        </w:rPr>
        <w:t xml:space="preserve">focalizzazione </w:t>
      </w:r>
      <w:r w:rsidR="004868C3" w:rsidRPr="00AA3013">
        <w:rPr>
          <w:rFonts w:cs="Segoe UI"/>
          <w:szCs w:val="22"/>
          <w:lang w:val="it-IT"/>
        </w:rPr>
        <w:t>sulla</w:t>
      </w:r>
      <w:r w:rsidR="0050510C" w:rsidRPr="00AA3013">
        <w:rPr>
          <w:rFonts w:cs="Segoe UI"/>
          <w:szCs w:val="22"/>
          <w:lang w:val="it-IT"/>
        </w:rPr>
        <w:t xml:space="preserve"> crescita fondata sul </w:t>
      </w:r>
      <w:r w:rsidR="0050510C" w:rsidRPr="00AA3013">
        <w:rPr>
          <w:rFonts w:cs="Segoe UI"/>
          <w:i/>
          <w:iCs/>
          <w:szCs w:val="22"/>
          <w:lang w:val="it-IT"/>
        </w:rPr>
        <w:t xml:space="preserve">purpose </w:t>
      </w:r>
      <w:r w:rsidR="0050510C" w:rsidRPr="00AA3013">
        <w:rPr>
          <w:rFonts w:cs="Segoe UI"/>
          <w:szCs w:val="22"/>
          <w:lang w:val="it-IT"/>
        </w:rPr>
        <w:t xml:space="preserve">sta </w:t>
      </w:r>
      <w:r w:rsidR="008134A4" w:rsidRPr="00AA3013">
        <w:rPr>
          <w:rFonts w:cs="Segoe UI"/>
          <w:szCs w:val="22"/>
          <w:lang w:val="it-IT"/>
        </w:rPr>
        <w:t xml:space="preserve">generando un successo tangibile”, ha detto il CEO di Henkel, </w:t>
      </w:r>
      <w:r w:rsidR="00A352FB" w:rsidRPr="00AA3013">
        <w:rPr>
          <w:rFonts w:asciiTheme="majorHAnsi" w:hAnsiTheme="majorHAnsi" w:cs="Cambria"/>
          <w:noProof/>
          <w:szCs w:val="22"/>
          <w:lang w:val="it-IT"/>
        </w:rPr>
        <w:t>Carsten Knobel</w:t>
      </w:r>
      <w:r w:rsidR="00A352FB" w:rsidRPr="00AA3013">
        <w:rPr>
          <w:rFonts w:cs="Segoe UI"/>
          <w:szCs w:val="22"/>
          <w:lang w:val="it-IT"/>
        </w:rPr>
        <w:t>.</w:t>
      </w:r>
    </w:p>
    <w:p w14:paraId="4F78843D" w14:textId="26A097FC" w:rsidR="00A352FB" w:rsidRPr="00AA3013" w:rsidRDefault="00A352FB" w:rsidP="00A352FB">
      <w:pPr>
        <w:rPr>
          <w:rFonts w:cs="Segoe UI"/>
          <w:szCs w:val="22"/>
          <w:lang w:val="it-IT"/>
        </w:rPr>
      </w:pPr>
      <w:r w:rsidRPr="00AA3013">
        <w:rPr>
          <w:rFonts w:cs="Segoe UI"/>
          <w:szCs w:val="22"/>
          <w:lang w:val="it-IT"/>
        </w:rPr>
        <w:t xml:space="preserve"> </w:t>
      </w:r>
    </w:p>
    <w:p w14:paraId="5D7603E8" w14:textId="7C7F8C68" w:rsidR="00A352FB" w:rsidRPr="00AA3013" w:rsidRDefault="00A352FB" w:rsidP="00A352FB">
      <w:pPr>
        <w:rPr>
          <w:rFonts w:cs="Segoe UI"/>
          <w:szCs w:val="22"/>
          <w:lang w:val="it-IT"/>
        </w:rPr>
      </w:pPr>
      <w:r w:rsidRPr="00AA3013">
        <w:rPr>
          <w:rFonts w:cs="Segoe UI"/>
          <w:szCs w:val="22"/>
          <w:lang w:val="it-IT"/>
        </w:rPr>
        <w:t>“</w:t>
      </w:r>
      <w:r w:rsidR="008134A4" w:rsidRPr="00AA3013">
        <w:rPr>
          <w:rFonts w:cs="Segoe UI"/>
          <w:szCs w:val="22"/>
          <w:lang w:val="it-IT"/>
        </w:rPr>
        <w:t>Nel primo semestre,</w:t>
      </w:r>
      <w:r w:rsidR="00214355" w:rsidRPr="00AA3013">
        <w:rPr>
          <w:rFonts w:cs="Segoe UI"/>
          <w:szCs w:val="22"/>
          <w:lang w:val="it-IT"/>
        </w:rPr>
        <w:t xml:space="preserve"> tanto la crescita organica del fatturato quanto l’incremento dei profitti </w:t>
      </w:r>
      <w:r w:rsidR="00221FDF" w:rsidRPr="00AA3013">
        <w:rPr>
          <w:rFonts w:cs="Segoe UI"/>
          <w:szCs w:val="22"/>
          <w:lang w:val="it-IT"/>
        </w:rPr>
        <w:t>sono</w:t>
      </w:r>
      <w:r w:rsidR="00214355" w:rsidRPr="00AA3013">
        <w:rPr>
          <w:rFonts w:cs="Segoe UI"/>
          <w:szCs w:val="22"/>
          <w:lang w:val="it-IT"/>
        </w:rPr>
        <w:t xml:space="preserve"> stat</w:t>
      </w:r>
      <w:r w:rsidR="00221FDF" w:rsidRPr="00AA3013">
        <w:rPr>
          <w:rFonts w:cs="Segoe UI"/>
          <w:szCs w:val="22"/>
          <w:lang w:val="it-IT"/>
        </w:rPr>
        <w:t>i</w:t>
      </w:r>
      <w:r w:rsidR="00214355" w:rsidRPr="00AA3013">
        <w:rPr>
          <w:rFonts w:cs="Segoe UI"/>
          <w:szCs w:val="22"/>
          <w:lang w:val="it-IT"/>
        </w:rPr>
        <w:t xml:space="preserve"> sostenut</w:t>
      </w:r>
      <w:r w:rsidR="00221FDF" w:rsidRPr="00AA3013">
        <w:rPr>
          <w:rFonts w:cs="Segoe UI"/>
          <w:szCs w:val="22"/>
          <w:lang w:val="it-IT"/>
        </w:rPr>
        <w:t>i</w:t>
      </w:r>
      <w:r w:rsidR="00214355" w:rsidRPr="00AA3013">
        <w:rPr>
          <w:rFonts w:cs="Segoe UI"/>
          <w:szCs w:val="22"/>
          <w:lang w:val="it-IT"/>
        </w:rPr>
        <w:t xml:space="preserve"> da entrambe le </w:t>
      </w:r>
      <w:r w:rsidR="000E0E70" w:rsidRPr="00AA3013">
        <w:rPr>
          <w:rFonts w:cs="Segoe UI"/>
          <w:szCs w:val="22"/>
          <w:lang w:val="it-IT"/>
        </w:rPr>
        <w:t>divisioni</w:t>
      </w:r>
      <w:r w:rsidR="00214355" w:rsidRPr="00AA3013">
        <w:rPr>
          <w:rFonts w:cs="Segoe UI"/>
          <w:szCs w:val="22"/>
          <w:lang w:val="it-IT"/>
        </w:rPr>
        <w:t xml:space="preserve">. L’integrazione </w:t>
      </w:r>
      <w:r w:rsidR="00067A65" w:rsidRPr="00AA3013">
        <w:rPr>
          <w:rFonts w:cs="Segoe UI"/>
          <w:szCs w:val="22"/>
          <w:lang w:val="it-IT"/>
        </w:rPr>
        <w:t>di Consumer Brands</w:t>
      </w:r>
      <w:r w:rsidR="000E0E70" w:rsidRPr="00AA3013">
        <w:rPr>
          <w:rFonts w:cs="Segoe UI"/>
          <w:szCs w:val="22"/>
          <w:lang w:val="it-IT"/>
        </w:rPr>
        <w:t xml:space="preserve"> </w:t>
      </w:r>
      <w:r w:rsidR="002F72FF" w:rsidRPr="00AA3013">
        <w:rPr>
          <w:rFonts w:cs="Segoe UI"/>
          <w:szCs w:val="22"/>
          <w:lang w:val="it-IT"/>
        </w:rPr>
        <w:t>è stata più che positiva e le iniziative strategiche che abbiamo intrapreso hanno avuto un effetto rilev</w:t>
      </w:r>
      <w:r w:rsidR="00CB7970" w:rsidRPr="00AA3013">
        <w:rPr>
          <w:rFonts w:cs="Segoe UI"/>
          <w:szCs w:val="22"/>
          <w:lang w:val="it-IT"/>
        </w:rPr>
        <w:t xml:space="preserve">ante sui ricavi, i margini lordi e i profitti. </w:t>
      </w:r>
      <w:r w:rsidR="00067A65" w:rsidRPr="00AA3013">
        <w:rPr>
          <w:rFonts w:cs="Segoe UI"/>
          <w:szCs w:val="22"/>
          <w:lang w:val="it-IT"/>
        </w:rPr>
        <w:t xml:space="preserve">Abbiamo ripensato la struttura organizzativa di Adhesive Technologies per essere ancora più vicini ai </w:t>
      </w:r>
      <w:r w:rsidR="00B400FD" w:rsidRPr="00AA3013">
        <w:rPr>
          <w:rFonts w:cs="Segoe UI"/>
          <w:szCs w:val="22"/>
          <w:lang w:val="it-IT"/>
        </w:rPr>
        <w:t>clienti</w:t>
      </w:r>
      <w:r w:rsidR="00AE796C" w:rsidRPr="00AA3013">
        <w:rPr>
          <w:rFonts w:cs="Segoe UI"/>
          <w:szCs w:val="22"/>
          <w:lang w:val="it-IT"/>
        </w:rPr>
        <w:t>, avviando alcuni cambiamenti che contribuir</w:t>
      </w:r>
      <w:r w:rsidR="00F41883" w:rsidRPr="00AA3013">
        <w:rPr>
          <w:rFonts w:cs="Segoe UI"/>
          <w:szCs w:val="22"/>
          <w:lang w:val="it-IT"/>
        </w:rPr>
        <w:t>anno</w:t>
      </w:r>
      <w:r w:rsidR="00AE796C" w:rsidRPr="00AA3013">
        <w:rPr>
          <w:rFonts w:cs="Segoe UI"/>
          <w:szCs w:val="22"/>
          <w:lang w:val="it-IT"/>
        </w:rPr>
        <w:t xml:space="preserve"> significativamente allo sviluppo di Henkel. </w:t>
      </w:r>
      <w:r w:rsidR="003854BB" w:rsidRPr="00AA3013">
        <w:rPr>
          <w:rFonts w:cs="Segoe UI"/>
          <w:szCs w:val="22"/>
          <w:lang w:val="it-IT"/>
        </w:rPr>
        <w:t>Anche il</w:t>
      </w:r>
      <w:r w:rsidR="00AE796C" w:rsidRPr="00AA3013">
        <w:rPr>
          <w:rFonts w:cs="Segoe UI"/>
          <w:szCs w:val="22"/>
          <w:lang w:val="it-IT"/>
        </w:rPr>
        <w:t xml:space="preserve"> flusso</w:t>
      </w:r>
      <w:r w:rsidR="003854BB" w:rsidRPr="00AA3013">
        <w:rPr>
          <w:rFonts w:cs="Segoe UI"/>
          <w:szCs w:val="22"/>
          <w:lang w:val="it-IT"/>
        </w:rPr>
        <w:t xml:space="preserve"> libero di cassa è stato solido, superando </w:t>
      </w:r>
      <w:r w:rsidR="00F50A44" w:rsidRPr="00AA3013">
        <w:rPr>
          <w:rFonts w:cs="Segoe UI"/>
          <w:szCs w:val="22"/>
          <w:lang w:val="it-IT"/>
        </w:rPr>
        <w:t>i</w:t>
      </w:r>
      <w:r w:rsidR="003854BB" w:rsidRPr="00AA3013">
        <w:rPr>
          <w:rFonts w:cs="Segoe UI"/>
          <w:szCs w:val="22"/>
          <w:lang w:val="it-IT"/>
        </w:rPr>
        <w:t xml:space="preserve"> </w:t>
      </w:r>
      <w:r w:rsidR="00F41883" w:rsidRPr="00AA3013">
        <w:rPr>
          <w:rFonts w:cs="Segoe UI"/>
          <w:szCs w:val="22"/>
          <w:lang w:val="it-IT"/>
        </w:rPr>
        <w:t>valori</w:t>
      </w:r>
      <w:r w:rsidR="003854BB" w:rsidRPr="00AA3013">
        <w:rPr>
          <w:rFonts w:cs="Segoe UI"/>
          <w:szCs w:val="22"/>
          <w:lang w:val="it-IT"/>
        </w:rPr>
        <w:t xml:space="preserve"> già alti della prima metà del 2023.</w:t>
      </w:r>
      <w:r w:rsidR="00F50A44" w:rsidRPr="00AA3013">
        <w:rPr>
          <w:rFonts w:cs="Segoe UI"/>
          <w:szCs w:val="22"/>
          <w:lang w:val="it-IT"/>
        </w:rPr>
        <w:t xml:space="preserve"> Questo ci offre la possibilità di fare altri investimenti mirati per il nostro business e il nostro futuro, </w:t>
      </w:r>
      <w:r w:rsidR="00061172" w:rsidRPr="00AA3013">
        <w:rPr>
          <w:rFonts w:cs="Segoe UI"/>
          <w:szCs w:val="22"/>
          <w:lang w:val="it-IT"/>
        </w:rPr>
        <w:t xml:space="preserve">potenziando marchi, tecnologie e innovazioni. Stiamo inoltre portando avanti progetti importanti </w:t>
      </w:r>
      <w:r w:rsidR="00FB784A" w:rsidRPr="00AA3013">
        <w:rPr>
          <w:rFonts w:cs="Segoe UI"/>
          <w:szCs w:val="22"/>
          <w:lang w:val="it-IT"/>
        </w:rPr>
        <w:t xml:space="preserve">in fatto di sostenibilità e digitalizzazione per </w:t>
      </w:r>
      <w:r w:rsidR="003A5491" w:rsidRPr="00AA3013">
        <w:rPr>
          <w:rFonts w:cs="Segoe UI"/>
          <w:szCs w:val="22"/>
          <w:lang w:val="it-IT"/>
        </w:rPr>
        <w:t>rafforzare</w:t>
      </w:r>
      <w:r w:rsidR="00FB784A" w:rsidRPr="00AA3013">
        <w:rPr>
          <w:rFonts w:cs="Segoe UI"/>
          <w:szCs w:val="22"/>
          <w:lang w:val="it-IT"/>
        </w:rPr>
        <w:t xml:space="preserve"> ancora di più la nostra posizione competitiva”, ha aggiunto </w:t>
      </w:r>
      <w:r w:rsidRPr="00AA3013">
        <w:rPr>
          <w:rFonts w:cs="Segoe UI"/>
          <w:szCs w:val="22"/>
          <w:lang w:val="it-IT"/>
        </w:rPr>
        <w:t>Knobel.</w:t>
      </w:r>
    </w:p>
    <w:p w14:paraId="1380BCC4" w14:textId="77777777" w:rsidR="00A352FB" w:rsidRPr="00AA3013" w:rsidRDefault="00A352FB" w:rsidP="00A352FB">
      <w:pPr>
        <w:rPr>
          <w:rFonts w:cs="Segoe UI"/>
          <w:szCs w:val="22"/>
          <w:lang w:val="it-IT"/>
        </w:rPr>
      </w:pPr>
    </w:p>
    <w:p w14:paraId="39008D29" w14:textId="221A118F" w:rsidR="00D86D4F" w:rsidRPr="00AA3013" w:rsidRDefault="00A352FB" w:rsidP="00A352FB">
      <w:pPr>
        <w:rPr>
          <w:rFonts w:cs="Segoe UI"/>
          <w:szCs w:val="22"/>
          <w:lang w:val="it-IT"/>
        </w:rPr>
      </w:pPr>
      <w:r w:rsidRPr="00AA3013">
        <w:rPr>
          <w:rFonts w:cs="Segoe UI"/>
          <w:szCs w:val="22"/>
          <w:lang w:val="it-IT"/>
        </w:rPr>
        <w:t>“</w:t>
      </w:r>
      <w:r w:rsidR="00D86D4F" w:rsidRPr="00AA3013">
        <w:rPr>
          <w:rFonts w:cs="Segoe UI"/>
          <w:szCs w:val="22"/>
          <w:lang w:val="it-IT"/>
        </w:rPr>
        <w:t xml:space="preserve">Considerando </w:t>
      </w:r>
      <w:r w:rsidR="00BF477F" w:rsidRPr="00AA3013">
        <w:rPr>
          <w:rFonts w:cs="Segoe UI"/>
          <w:szCs w:val="22"/>
          <w:lang w:val="it-IT"/>
        </w:rPr>
        <w:t>questi</w:t>
      </w:r>
      <w:r w:rsidR="00D86D4F" w:rsidRPr="00AA3013">
        <w:rPr>
          <w:rFonts w:cs="Segoe UI"/>
          <w:szCs w:val="22"/>
          <w:lang w:val="it-IT"/>
        </w:rPr>
        <w:t xml:space="preserve"> risultati</w:t>
      </w:r>
      <w:r w:rsidR="00BF477F" w:rsidRPr="00AA3013">
        <w:rPr>
          <w:rFonts w:cs="Segoe UI"/>
          <w:szCs w:val="22"/>
          <w:lang w:val="it-IT"/>
        </w:rPr>
        <w:t xml:space="preserve">, siamo ottimisti </w:t>
      </w:r>
      <w:r w:rsidR="00EF2FEE" w:rsidRPr="00AA3013">
        <w:rPr>
          <w:rFonts w:cs="Segoe UI"/>
          <w:szCs w:val="22"/>
          <w:lang w:val="it-IT"/>
        </w:rPr>
        <w:t xml:space="preserve">sulla seconda parte dell’anno e </w:t>
      </w:r>
      <w:r w:rsidR="00EF2FEE" w:rsidRPr="00AA3013">
        <w:rPr>
          <w:rFonts w:cs="Segoe UI"/>
          <w:szCs w:val="22"/>
          <w:lang w:val="it-IT"/>
        </w:rPr>
        <w:t>già</w:t>
      </w:r>
      <w:r w:rsidR="00EF2FEE" w:rsidRPr="00AA3013">
        <w:rPr>
          <w:rFonts w:cs="Segoe UI"/>
          <w:szCs w:val="22"/>
          <w:lang w:val="it-IT"/>
        </w:rPr>
        <w:t xml:space="preserve"> a metà luglio abbiamo rivisto al rialzo le previsioni per l’anno fiscale 2024. Stiamo </w:t>
      </w:r>
      <w:r w:rsidR="00E375B9" w:rsidRPr="00AA3013">
        <w:rPr>
          <w:rFonts w:cs="Segoe UI"/>
          <w:szCs w:val="22"/>
          <w:lang w:val="it-IT"/>
        </w:rPr>
        <w:t xml:space="preserve">facendo ciò che avevamo promesso e siamo sulla strada giusta per una crescita ancora più profittevole. </w:t>
      </w:r>
      <w:r w:rsidR="002534C2" w:rsidRPr="00AA3013">
        <w:rPr>
          <w:rFonts w:cs="Segoe UI"/>
          <w:szCs w:val="22"/>
          <w:lang w:val="it-IT"/>
        </w:rPr>
        <w:t>Rispetto agli obiettivi economici di medio e lungo termine, siamo convinti di poterli raggiungere già nel medio periodo”.</w:t>
      </w:r>
    </w:p>
    <w:p w14:paraId="1B88044C" w14:textId="77777777" w:rsidR="00D86D4F" w:rsidRPr="00AA3013" w:rsidRDefault="00D86D4F" w:rsidP="00A352FB">
      <w:pPr>
        <w:rPr>
          <w:rFonts w:cs="Segoe UI"/>
          <w:szCs w:val="22"/>
          <w:lang w:val="it-IT"/>
        </w:rPr>
      </w:pPr>
    </w:p>
    <w:p w14:paraId="03418C2C" w14:textId="7733922C" w:rsidR="00263D33" w:rsidRPr="00AA3013" w:rsidRDefault="00263D33" w:rsidP="00263D33">
      <w:pPr>
        <w:spacing w:after="120"/>
        <w:ind w:right="-108"/>
        <w:jc w:val="left"/>
        <w:rPr>
          <w:rFonts w:cs="Segoe UI"/>
          <w:b/>
          <w:bCs/>
          <w:szCs w:val="22"/>
          <w:lang w:val="it-IT"/>
        </w:rPr>
      </w:pPr>
      <w:r w:rsidRPr="00AA3013">
        <w:rPr>
          <w:rFonts w:cs="Segoe UI"/>
          <w:b/>
          <w:bCs/>
          <w:szCs w:val="22"/>
          <w:lang w:val="it-IT"/>
        </w:rPr>
        <w:t>Previsioni per l’anno fiscale</w:t>
      </w:r>
      <w:r w:rsidRPr="00AA3013">
        <w:rPr>
          <w:rFonts w:cs="Segoe UI"/>
          <w:b/>
          <w:bCs/>
          <w:szCs w:val="22"/>
          <w:lang w:val="it-IT"/>
        </w:rPr>
        <w:t xml:space="preserve"> 2024</w:t>
      </w:r>
    </w:p>
    <w:p w14:paraId="6EFC005C" w14:textId="6644A928" w:rsidR="00263D33" w:rsidRPr="00AA3013" w:rsidRDefault="00263D33" w:rsidP="00263D33">
      <w:pPr>
        <w:rPr>
          <w:rFonts w:cs="Segoe UI"/>
          <w:szCs w:val="22"/>
          <w:lang w:val="it-IT"/>
        </w:rPr>
      </w:pPr>
      <w:r w:rsidRPr="00AA3013">
        <w:rPr>
          <w:rFonts w:cs="Segoe UI"/>
          <w:szCs w:val="22"/>
          <w:lang w:val="it-IT"/>
        </w:rPr>
        <w:t xml:space="preserve">Le stime </w:t>
      </w:r>
      <w:r w:rsidR="006C39FA" w:rsidRPr="00AA3013">
        <w:rPr>
          <w:rFonts w:cs="Segoe UI"/>
          <w:szCs w:val="22"/>
          <w:lang w:val="it-IT"/>
        </w:rPr>
        <w:t xml:space="preserve">per l’anno fiscale in corso, aggiornate lo scorso </w:t>
      </w:r>
      <w:r w:rsidR="007416AC" w:rsidRPr="00AA3013">
        <w:rPr>
          <w:rFonts w:cs="Segoe UI"/>
          <w:szCs w:val="22"/>
          <w:lang w:val="it-IT"/>
        </w:rPr>
        <w:t>3 maggio, sono state riviste al rialzo il 17 luglio</w:t>
      </w:r>
      <w:r w:rsidR="00E15D0E" w:rsidRPr="00AA3013">
        <w:rPr>
          <w:rFonts w:cs="Segoe UI"/>
          <w:szCs w:val="22"/>
          <w:lang w:val="it-IT"/>
        </w:rPr>
        <w:t xml:space="preserve"> (</w:t>
      </w:r>
      <w:hyperlink r:id="rId12" w:history="1">
        <w:r w:rsidR="00E15D0E" w:rsidRPr="00AA3013">
          <w:rPr>
            <w:rStyle w:val="Collegamentoipertestuale"/>
            <w:rFonts w:cs="Segoe UI"/>
            <w:sz w:val="22"/>
            <w:szCs w:val="22"/>
            <w:lang w:val="it-IT"/>
          </w:rPr>
          <w:t>qui</w:t>
        </w:r>
      </w:hyperlink>
      <w:r w:rsidR="00E15D0E" w:rsidRPr="00AA3013">
        <w:rPr>
          <w:rFonts w:cs="Segoe UI"/>
          <w:szCs w:val="22"/>
          <w:lang w:val="it-IT"/>
        </w:rPr>
        <w:t xml:space="preserve"> il comunicato stampa)</w:t>
      </w:r>
      <w:r w:rsidR="00A85A62" w:rsidRPr="00AA3013">
        <w:rPr>
          <w:rFonts w:cs="Segoe UI"/>
          <w:szCs w:val="22"/>
          <w:lang w:val="it-IT"/>
        </w:rPr>
        <w:t xml:space="preserve"> in considerazione delle aspettative più alte rispetto ai profitti d</w:t>
      </w:r>
      <w:r w:rsidR="003E3808" w:rsidRPr="00AA3013">
        <w:rPr>
          <w:rFonts w:cs="Segoe UI"/>
          <w:szCs w:val="22"/>
          <w:lang w:val="it-IT"/>
        </w:rPr>
        <w:t xml:space="preserve">ella divisione </w:t>
      </w:r>
      <w:r w:rsidR="00A85A62" w:rsidRPr="00AA3013">
        <w:rPr>
          <w:rFonts w:cs="Segoe UI"/>
          <w:szCs w:val="22"/>
          <w:lang w:val="it-IT"/>
        </w:rPr>
        <w:t>Consumer Brands</w:t>
      </w:r>
      <w:r w:rsidR="003E3808" w:rsidRPr="00AA3013">
        <w:rPr>
          <w:rFonts w:cs="Segoe UI"/>
          <w:szCs w:val="22"/>
          <w:lang w:val="it-IT"/>
        </w:rPr>
        <w:t xml:space="preserve">, </w:t>
      </w:r>
      <w:r w:rsidR="00A66361">
        <w:rPr>
          <w:rFonts w:cs="Segoe UI"/>
          <w:szCs w:val="22"/>
          <w:lang w:val="it-IT"/>
        </w:rPr>
        <w:t>sostenuti</w:t>
      </w:r>
      <w:r w:rsidR="003E3808" w:rsidRPr="00AA3013">
        <w:rPr>
          <w:rFonts w:cs="Segoe UI"/>
          <w:szCs w:val="22"/>
          <w:lang w:val="it-IT"/>
        </w:rPr>
        <w:t xml:space="preserve"> d</w:t>
      </w:r>
      <w:r w:rsidR="00A66361">
        <w:rPr>
          <w:rFonts w:cs="Segoe UI"/>
          <w:szCs w:val="22"/>
          <w:lang w:val="it-IT"/>
        </w:rPr>
        <w:t>a</w:t>
      </w:r>
      <w:r w:rsidR="003E3808" w:rsidRPr="00AA3013">
        <w:rPr>
          <w:rFonts w:cs="Segoe UI"/>
          <w:szCs w:val="22"/>
          <w:lang w:val="it-IT"/>
        </w:rPr>
        <w:t>i maggiori investimenti nel marketing a supporto delle innovazioni. Le previsioni tengono comunque conto dei rincari delle materie prime</w:t>
      </w:r>
      <w:r w:rsidR="00102FCB" w:rsidRPr="00AA3013">
        <w:rPr>
          <w:rFonts w:cs="Segoe UI"/>
          <w:szCs w:val="22"/>
          <w:lang w:val="it-IT"/>
        </w:rPr>
        <w:t xml:space="preserve"> che potranno verificarsi nella seconda metà dell’anno. </w:t>
      </w:r>
    </w:p>
    <w:p w14:paraId="6F70DB6E" w14:textId="77777777" w:rsidR="007416AC" w:rsidRPr="00AA3013" w:rsidRDefault="007416AC" w:rsidP="00263D33">
      <w:pPr>
        <w:rPr>
          <w:rFonts w:cs="Segoe UI"/>
          <w:szCs w:val="22"/>
          <w:lang w:val="it-IT"/>
        </w:rPr>
      </w:pPr>
    </w:p>
    <w:p w14:paraId="37884F59" w14:textId="7EA6D819" w:rsidR="00263D33" w:rsidRPr="00AA3013" w:rsidRDefault="00FD7420" w:rsidP="00E779F7">
      <w:pPr>
        <w:rPr>
          <w:rFonts w:cs="Segoe UI"/>
          <w:szCs w:val="22"/>
          <w:lang w:val="it-IT"/>
        </w:rPr>
      </w:pPr>
      <w:r w:rsidRPr="00AA3013">
        <w:rPr>
          <w:rFonts w:cs="Segoe UI"/>
          <w:szCs w:val="22"/>
          <w:lang w:val="it-IT"/>
        </w:rPr>
        <w:t xml:space="preserve">A livello di Gruppo, per il 2024 Henkel </w:t>
      </w:r>
      <w:r w:rsidR="00094922" w:rsidRPr="00AA3013">
        <w:rPr>
          <w:rFonts w:cs="Segoe UI"/>
          <w:szCs w:val="22"/>
          <w:lang w:val="it-IT"/>
        </w:rPr>
        <w:t xml:space="preserve">continua a </w:t>
      </w:r>
      <w:r w:rsidRPr="00AA3013">
        <w:rPr>
          <w:rFonts w:cs="Segoe UI"/>
          <w:szCs w:val="22"/>
          <w:lang w:val="it-IT"/>
        </w:rPr>
        <w:t>stima</w:t>
      </w:r>
      <w:r w:rsidR="00094922" w:rsidRPr="00AA3013">
        <w:rPr>
          <w:rFonts w:cs="Segoe UI"/>
          <w:szCs w:val="22"/>
          <w:lang w:val="it-IT"/>
        </w:rPr>
        <w:t>re</w:t>
      </w:r>
      <w:r w:rsidRPr="00AA3013">
        <w:rPr>
          <w:rFonts w:cs="Segoe UI"/>
          <w:szCs w:val="22"/>
          <w:lang w:val="it-IT"/>
        </w:rPr>
        <w:t xml:space="preserve"> una </w:t>
      </w:r>
      <w:r w:rsidRPr="00AA3013">
        <w:rPr>
          <w:rFonts w:cs="Segoe UI"/>
          <w:b/>
          <w:bCs/>
          <w:szCs w:val="22"/>
          <w:lang w:val="it-IT"/>
        </w:rPr>
        <w:t>crescita organica del fatturato</w:t>
      </w:r>
      <w:r w:rsidRPr="00AA3013">
        <w:rPr>
          <w:rFonts w:cs="Segoe UI"/>
          <w:szCs w:val="22"/>
          <w:lang w:val="it-IT"/>
        </w:rPr>
        <w:t xml:space="preserve"> compresa </w:t>
      </w:r>
      <w:r w:rsidRPr="00AA3013">
        <w:rPr>
          <w:lang w:val="it-IT"/>
        </w:rPr>
        <w:t>tra 2,5 e 4,5%</w:t>
      </w:r>
      <w:r w:rsidR="00094922" w:rsidRPr="00AA3013">
        <w:rPr>
          <w:lang w:val="it-IT"/>
        </w:rPr>
        <w:t xml:space="preserve">. Lo sviluppo di </w:t>
      </w:r>
      <w:r w:rsidR="00094922" w:rsidRPr="00AA3013">
        <w:rPr>
          <w:lang w:val="it-IT"/>
        </w:rPr>
        <w:t>Adhesive Technologies</w:t>
      </w:r>
      <w:r w:rsidR="00094922" w:rsidRPr="00AA3013">
        <w:rPr>
          <w:lang w:val="it-IT"/>
        </w:rPr>
        <w:t xml:space="preserve"> è atteso </w:t>
      </w:r>
      <w:r w:rsidR="00094922" w:rsidRPr="00AA3013">
        <w:rPr>
          <w:lang w:val="it-IT"/>
        </w:rPr>
        <w:t>tra 2,0 e 4,0%</w:t>
      </w:r>
      <w:r w:rsidR="00094922" w:rsidRPr="00AA3013">
        <w:rPr>
          <w:lang w:val="it-IT"/>
        </w:rPr>
        <w:t xml:space="preserve">, </w:t>
      </w:r>
      <w:r w:rsidR="00E2180F" w:rsidRPr="00AA3013">
        <w:rPr>
          <w:lang w:val="it-IT"/>
        </w:rPr>
        <w:t>quello di</w:t>
      </w:r>
      <w:r w:rsidR="00094922" w:rsidRPr="00AA3013">
        <w:rPr>
          <w:lang w:val="it-IT"/>
        </w:rPr>
        <w:t xml:space="preserve"> Consumer Brands tra </w:t>
      </w:r>
      <w:r w:rsidR="00094922" w:rsidRPr="00AA3013">
        <w:rPr>
          <w:lang w:val="it-IT"/>
        </w:rPr>
        <w:t>3,0 e 5,0%</w:t>
      </w:r>
      <w:r w:rsidR="00094922" w:rsidRPr="00AA3013">
        <w:rPr>
          <w:lang w:val="it-IT"/>
        </w:rPr>
        <w:t>.</w:t>
      </w:r>
      <w:r w:rsidR="00C430A4" w:rsidRPr="00AA3013">
        <w:rPr>
          <w:lang w:val="it-IT"/>
        </w:rPr>
        <w:t xml:space="preserve"> Il </w:t>
      </w:r>
      <w:r w:rsidR="00C430A4" w:rsidRPr="00AA3013">
        <w:rPr>
          <w:b/>
          <w:bCs/>
          <w:lang w:val="it-IT"/>
        </w:rPr>
        <w:t>t</w:t>
      </w:r>
      <w:r w:rsidR="00C430A4" w:rsidRPr="00AA3013">
        <w:rPr>
          <w:b/>
          <w:bCs/>
          <w:lang w:val="it-IT"/>
        </w:rPr>
        <w:t>asso depurato di ritorno sulle vendite</w:t>
      </w:r>
      <w:r w:rsidR="00C430A4" w:rsidRPr="00AA3013">
        <w:rPr>
          <w:lang w:val="it-IT"/>
        </w:rPr>
        <w:t xml:space="preserve"> (margine EBIT) è ora previsto</w:t>
      </w:r>
      <w:r w:rsidR="00C430A4" w:rsidRPr="00AA3013">
        <w:rPr>
          <w:lang w:val="it-IT"/>
        </w:rPr>
        <w:t xml:space="preserve"> tra 13,5 e 14,5% (prima: tra 13,0 e 14,0%)</w:t>
      </w:r>
      <w:r w:rsidR="00E779F7" w:rsidRPr="00AA3013">
        <w:rPr>
          <w:lang w:val="it-IT"/>
        </w:rPr>
        <w:t xml:space="preserve">, con </w:t>
      </w:r>
      <w:r w:rsidR="00C430A4" w:rsidRPr="00AA3013">
        <w:rPr>
          <w:lang w:val="it-IT"/>
        </w:rPr>
        <w:t>Adhesive Technologies tra 16,0 e 17,0% (invariat</w:t>
      </w:r>
      <w:r w:rsidR="00E779F7" w:rsidRPr="00AA3013">
        <w:rPr>
          <w:lang w:val="it-IT"/>
        </w:rPr>
        <w:t>o</w:t>
      </w:r>
      <w:r w:rsidR="00C430A4" w:rsidRPr="00AA3013">
        <w:rPr>
          <w:lang w:val="it-IT"/>
        </w:rPr>
        <w:t>)</w:t>
      </w:r>
      <w:r w:rsidR="00E779F7" w:rsidRPr="00AA3013">
        <w:rPr>
          <w:lang w:val="it-IT"/>
        </w:rPr>
        <w:t xml:space="preserve"> e </w:t>
      </w:r>
      <w:r w:rsidR="00C430A4" w:rsidRPr="00AA3013">
        <w:rPr>
          <w:lang w:val="it-IT"/>
        </w:rPr>
        <w:t>Consumer Brands tra 13,0 e 14,0% (prima: tra 12,0 e 13,0%)</w:t>
      </w:r>
      <w:r w:rsidR="00E779F7" w:rsidRPr="00AA3013">
        <w:rPr>
          <w:lang w:val="it-IT"/>
        </w:rPr>
        <w:t>. Per quanto riguarda l’</w:t>
      </w:r>
      <w:r w:rsidR="00E779F7" w:rsidRPr="00AA3013">
        <w:rPr>
          <w:b/>
          <w:bCs/>
          <w:lang w:val="it-IT"/>
        </w:rPr>
        <w:t>u</w:t>
      </w:r>
      <w:r w:rsidR="00E779F7" w:rsidRPr="00AA3013">
        <w:rPr>
          <w:b/>
          <w:bCs/>
          <w:lang w:val="it-IT"/>
        </w:rPr>
        <w:t xml:space="preserve">tile depurato per azione privilegiata </w:t>
      </w:r>
      <w:r w:rsidR="00E779F7" w:rsidRPr="00AA3013">
        <w:rPr>
          <w:lang w:val="it-IT"/>
        </w:rPr>
        <w:t>(EPS)</w:t>
      </w:r>
      <w:r w:rsidR="00E779F7" w:rsidRPr="00AA3013">
        <w:rPr>
          <w:lang w:val="it-IT"/>
        </w:rPr>
        <w:t>,</w:t>
      </w:r>
      <w:r w:rsidR="00E779F7" w:rsidRPr="00AA3013">
        <w:rPr>
          <w:lang w:val="it-IT"/>
        </w:rPr>
        <w:t xml:space="preserve"> </w:t>
      </w:r>
      <w:r w:rsidR="00E779F7" w:rsidRPr="00AA3013">
        <w:rPr>
          <w:lang w:val="it-IT"/>
        </w:rPr>
        <w:t>l’</w:t>
      </w:r>
      <w:r w:rsidR="00E779F7" w:rsidRPr="00AA3013">
        <w:rPr>
          <w:lang w:val="it-IT"/>
        </w:rPr>
        <w:t>incremento</w:t>
      </w:r>
      <w:r w:rsidR="00E779F7" w:rsidRPr="00AA3013">
        <w:rPr>
          <w:lang w:val="it-IT"/>
        </w:rPr>
        <w:t xml:space="preserve"> è stimato</w:t>
      </w:r>
      <w:r w:rsidR="00E779F7" w:rsidRPr="00AA3013">
        <w:rPr>
          <w:lang w:val="it-IT"/>
        </w:rPr>
        <w:t xml:space="preserve"> tra +20,0 e +30,0% a tassi costanti di cambio (prima: tra +15,0 e +25,0%)</w:t>
      </w:r>
      <w:r w:rsidR="00E779F7" w:rsidRPr="00AA3013">
        <w:rPr>
          <w:lang w:val="it-IT"/>
        </w:rPr>
        <w:t>.</w:t>
      </w:r>
    </w:p>
    <w:p w14:paraId="22E2DEAF" w14:textId="77777777" w:rsidR="00094922" w:rsidRPr="00AA3013" w:rsidRDefault="00094922" w:rsidP="00263D33">
      <w:pPr>
        <w:rPr>
          <w:rFonts w:cs="Segoe UI"/>
          <w:szCs w:val="22"/>
          <w:lang w:val="it-IT"/>
        </w:rPr>
      </w:pPr>
    </w:p>
    <w:p w14:paraId="3312DC70" w14:textId="77777777" w:rsidR="00A163C3" w:rsidRPr="00AA3013" w:rsidRDefault="00A163C3" w:rsidP="00263D33">
      <w:pPr>
        <w:rPr>
          <w:rFonts w:cs="Segoe UI"/>
          <w:szCs w:val="22"/>
          <w:lang w:val="it-IT"/>
        </w:rPr>
      </w:pPr>
    </w:p>
    <w:p w14:paraId="19A1FCDC" w14:textId="57F7A13F" w:rsidR="00B53E7E" w:rsidRPr="00AA3013" w:rsidRDefault="00B53E7E" w:rsidP="00B53E7E">
      <w:pPr>
        <w:spacing w:after="120"/>
        <w:jc w:val="left"/>
        <w:rPr>
          <w:rFonts w:cs="Segoe UI"/>
          <w:b/>
          <w:bCs/>
          <w:szCs w:val="22"/>
          <w:lang w:val="it-IT"/>
        </w:rPr>
      </w:pPr>
      <w:r w:rsidRPr="00AA3013">
        <w:rPr>
          <w:rFonts w:cs="Segoe UI"/>
          <w:b/>
          <w:bCs/>
          <w:szCs w:val="22"/>
          <w:lang w:val="it-IT"/>
        </w:rPr>
        <w:lastRenderedPageBreak/>
        <w:t>Andamento del fatturato e dei profitti nel primo semestre</w:t>
      </w:r>
      <w:r w:rsidRPr="00AA3013">
        <w:rPr>
          <w:rFonts w:cs="Segoe UI"/>
          <w:b/>
          <w:bCs/>
          <w:szCs w:val="22"/>
          <w:lang w:val="it-IT"/>
        </w:rPr>
        <w:t xml:space="preserve"> 2024</w:t>
      </w:r>
    </w:p>
    <w:p w14:paraId="766E519F" w14:textId="4C5EF199" w:rsidR="00B53E7E" w:rsidRPr="00AA3013" w:rsidRDefault="00B53E7E" w:rsidP="00B53E7E">
      <w:pPr>
        <w:rPr>
          <w:rFonts w:cs="Segoe UI"/>
          <w:szCs w:val="22"/>
          <w:lang w:val="it-IT"/>
        </w:rPr>
      </w:pPr>
      <w:r w:rsidRPr="00AA3013">
        <w:rPr>
          <w:rFonts w:cs="Segoe UI"/>
          <w:szCs w:val="22"/>
          <w:lang w:val="it-IT"/>
        </w:rPr>
        <w:t>N</w:t>
      </w:r>
      <w:r w:rsidRPr="00AA3013">
        <w:rPr>
          <w:rFonts w:cs="Segoe UI"/>
          <w:szCs w:val="22"/>
          <w:lang w:val="it-IT"/>
        </w:rPr>
        <w:t xml:space="preserve">onostante </w:t>
      </w:r>
      <w:r w:rsidRPr="00AA3013">
        <w:rPr>
          <w:rFonts w:cs="Segoe UI"/>
          <w:szCs w:val="22"/>
          <w:lang w:val="it-IT"/>
        </w:rPr>
        <w:t>il</w:t>
      </w:r>
      <w:r w:rsidRPr="00AA3013">
        <w:rPr>
          <w:rFonts w:cs="Segoe UI"/>
          <w:szCs w:val="22"/>
          <w:lang w:val="it-IT"/>
        </w:rPr>
        <w:t xml:space="preserve"> compless</w:t>
      </w:r>
      <w:r w:rsidRPr="00AA3013">
        <w:rPr>
          <w:rFonts w:cs="Segoe UI"/>
          <w:szCs w:val="22"/>
          <w:lang w:val="it-IT"/>
        </w:rPr>
        <w:t>o</w:t>
      </w:r>
      <w:r w:rsidRPr="00AA3013">
        <w:rPr>
          <w:rFonts w:cs="Segoe UI"/>
          <w:szCs w:val="22"/>
          <w:lang w:val="it-IT"/>
        </w:rPr>
        <w:t xml:space="preserve"> scenario economico, </w:t>
      </w:r>
      <w:r w:rsidR="008372ED" w:rsidRPr="00AA3013">
        <w:rPr>
          <w:rFonts w:cs="Segoe UI"/>
          <w:szCs w:val="22"/>
          <w:lang w:val="it-IT"/>
        </w:rPr>
        <w:t xml:space="preserve">il </w:t>
      </w:r>
      <w:r w:rsidR="008372ED" w:rsidRPr="00AA3013">
        <w:rPr>
          <w:rFonts w:cs="Segoe UI"/>
          <w:b/>
          <w:bCs/>
          <w:szCs w:val="22"/>
          <w:lang w:val="it-IT"/>
        </w:rPr>
        <w:t>fatturato</w:t>
      </w:r>
      <w:r w:rsidR="008372ED" w:rsidRPr="00AA3013">
        <w:rPr>
          <w:rFonts w:cs="Segoe UI"/>
          <w:szCs w:val="22"/>
          <w:lang w:val="it-IT"/>
        </w:rPr>
        <w:t xml:space="preserve"> di Henkel ha raggiunto </w:t>
      </w:r>
      <w:r w:rsidR="00780700" w:rsidRPr="00AA3013">
        <w:rPr>
          <w:rFonts w:cs="Segoe UI"/>
          <w:szCs w:val="22"/>
          <w:lang w:val="it-IT"/>
        </w:rPr>
        <w:t>i 10.813 milioni di euro</w:t>
      </w:r>
      <w:r w:rsidR="00780700" w:rsidRPr="00AA3013">
        <w:rPr>
          <w:rFonts w:cs="Segoe UI"/>
          <w:szCs w:val="22"/>
          <w:lang w:val="it-IT"/>
        </w:rPr>
        <w:t xml:space="preserve"> nei primi sei mesi del 2024, </w:t>
      </w:r>
      <w:r w:rsidR="00615699" w:rsidRPr="00AA3013">
        <w:rPr>
          <w:rFonts w:cs="Segoe UI"/>
          <w:szCs w:val="22"/>
          <w:lang w:val="it-IT"/>
        </w:rPr>
        <w:t xml:space="preserve">con un andamento in termini nominali pari a -1,0%. </w:t>
      </w:r>
      <w:r w:rsidR="008975BE" w:rsidRPr="00AA3013">
        <w:rPr>
          <w:rFonts w:cs="Segoe UI"/>
          <w:szCs w:val="22"/>
          <w:lang w:val="it-IT"/>
        </w:rPr>
        <w:t xml:space="preserve">La dismissione delle attività in Russia ha </w:t>
      </w:r>
      <w:r w:rsidR="00F065C3" w:rsidRPr="00AA3013">
        <w:rPr>
          <w:rFonts w:cs="Segoe UI"/>
          <w:szCs w:val="22"/>
          <w:lang w:val="it-IT"/>
        </w:rPr>
        <w:t>influenzato negativamente</w:t>
      </w:r>
      <w:r w:rsidR="008975BE" w:rsidRPr="00AA3013">
        <w:rPr>
          <w:rFonts w:cs="Segoe UI"/>
          <w:szCs w:val="22"/>
          <w:lang w:val="it-IT"/>
        </w:rPr>
        <w:t xml:space="preserve"> </w:t>
      </w:r>
      <w:r w:rsidR="00F065C3" w:rsidRPr="00AA3013">
        <w:rPr>
          <w:rFonts w:cs="Segoe UI"/>
          <w:szCs w:val="22"/>
          <w:lang w:val="it-IT"/>
        </w:rPr>
        <w:t>i</w:t>
      </w:r>
      <w:r w:rsidR="008975BE" w:rsidRPr="00AA3013">
        <w:rPr>
          <w:rFonts w:cs="Segoe UI"/>
          <w:szCs w:val="22"/>
          <w:lang w:val="it-IT"/>
        </w:rPr>
        <w:t xml:space="preserve">l fatturato nominale nei precedenti trimestri, </w:t>
      </w:r>
      <w:r w:rsidR="003966D8" w:rsidRPr="00AA3013">
        <w:rPr>
          <w:rFonts w:cs="Segoe UI"/>
          <w:szCs w:val="22"/>
          <w:lang w:val="it-IT"/>
        </w:rPr>
        <w:t xml:space="preserve">ma l’azienda è riuscita a recuperare nel secondo trimestre 2024 </w:t>
      </w:r>
      <w:r w:rsidR="003966D8" w:rsidRPr="00AA3013">
        <w:rPr>
          <w:rFonts w:cs="Segoe UI"/>
          <w:szCs w:val="22"/>
          <w:lang w:val="it-IT"/>
        </w:rPr>
        <w:t>(Q2: 5</w:t>
      </w:r>
      <w:r w:rsidR="003966D8" w:rsidRPr="00AA3013">
        <w:rPr>
          <w:rFonts w:cs="Segoe UI"/>
          <w:szCs w:val="22"/>
          <w:lang w:val="it-IT"/>
        </w:rPr>
        <w:t>.</w:t>
      </w:r>
      <w:r w:rsidR="003966D8" w:rsidRPr="00AA3013">
        <w:rPr>
          <w:rFonts w:cs="Segoe UI"/>
          <w:szCs w:val="22"/>
          <w:lang w:val="it-IT"/>
        </w:rPr>
        <w:t>496 milion</w:t>
      </w:r>
      <w:r w:rsidR="003966D8" w:rsidRPr="00AA3013">
        <w:rPr>
          <w:rFonts w:cs="Segoe UI"/>
          <w:szCs w:val="22"/>
          <w:lang w:val="it-IT"/>
        </w:rPr>
        <w:t>i di</w:t>
      </w:r>
      <w:r w:rsidR="003966D8" w:rsidRPr="00AA3013">
        <w:rPr>
          <w:rFonts w:cs="Segoe UI"/>
          <w:szCs w:val="22"/>
          <w:lang w:val="it-IT"/>
        </w:rPr>
        <w:t xml:space="preserve"> euro, +3</w:t>
      </w:r>
      <w:r w:rsidR="003966D8" w:rsidRPr="00AA3013">
        <w:rPr>
          <w:rFonts w:cs="Segoe UI"/>
          <w:szCs w:val="22"/>
          <w:lang w:val="it-IT"/>
        </w:rPr>
        <w:t>,</w:t>
      </w:r>
      <w:r w:rsidR="003966D8" w:rsidRPr="00AA3013">
        <w:rPr>
          <w:rFonts w:cs="Segoe UI"/>
          <w:szCs w:val="22"/>
          <w:lang w:val="it-IT"/>
        </w:rPr>
        <w:t>4</w:t>
      </w:r>
      <w:r w:rsidR="003966D8" w:rsidRPr="00AA3013">
        <w:rPr>
          <w:rFonts w:cs="Segoe UI"/>
          <w:szCs w:val="22"/>
          <w:lang w:val="it-IT"/>
        </w:rPr>
        <w:t>%</w:t>
      </w:r>
      <w:r w:rsidR="003966D8" w:rsidRPr="00AA3013">
        <w:rPr>
          <w:rFonts w:cs="Segoe UI"/>
          <w:szCs w:val="22"/>
          <w:lang w:val="it-IT"/>
        </w:rPr>
        <w:t>).</w:t>
      </w:r>
      <w:r w:rsidR="00004AE8" w:rsidRPr="00AA3013">
        <w:rPr>
          <w:rFonts w:cs="Segoe UI"/>
          <w:szCs w:val="22"/>
          <w:lang w:val="it-IT"/>
        </w:rPr>
        <w:t xml:space="preserve"> Le oscillazioni valutarie hanno </w:t>
      </w:r>
      <w:r w:rsidR="00F065C3" w:rsidRPr="00AA3013">
        <w:rPr>
          <w:rFonts w:cs="Segoe UI"/>
          <w:szCs w:val="22"/>
          <w:lang w:val="it-IT"/>
        </w:rPr>
        <w:t>ridotto i</w:t>
      </w:r>
      <w:r w:rsidR="00004AE8" w:rsidRPr="00AA3013">
        <w:rPr>
          <w:rFonts w:cs="Segoe UI"/>
          <w:szCs w:val="22"/>
          <w:lang w:val="it-IT"/>
        </w:rPr>
        <w:t xml:space="preserve"> ricavi nell’ordine dell’1,9%</w:t>
      </w:r>
      <w:r w:rsidR="005F58F5" w:rsidRPr="00AA3013">
        <w:rPr>
          <w:rFonts w:cs="Segoe UI"/>
          <w:szCs w:val="22"/>
          <w:lang w:val="it-IT"/>
        </w:rPr>
        <w:t xml:space="preserve"> </w:t>
      </w:r>
      <w:r w:rsidRPr="00AA3013">
        <w:rPr>
          <w:rFonts w:cs="Segoe UI"/>
          <w:szCs w:val="22"/>
          <w:lang w:val="it-IT"/>
        </w:rPr>
        <w:t>(Q2: +0</w:t>
      </w:r>
      <w:r w:rsidR="005F58F5" w:rsidRPr="00AA3013">
        <w:rPr>
          <w:rFonts w:cs="Segoe UI"/>
          <w:szCs w:val="22"/>
          <w:lang w:val="it-IT"/>
        </w:rPr>
        <w:t>,</w:t>
      </w:r>
      <w:r w:rsidRPr="00AA3013">
        <w:rPr>
          <w:rFonts w:cs="Segoe UI"/>
          <w:szCs w:val="22"/>
          <w:lang w:val="it-IT"/>
        </w:rPr>
        <w:t>2</w:t>
      </w:r>
      <w:r w:rsidR="005F58F5" w:rsidRPr="00AA3013">
        <w:rPr>
          <w:rFonts w:cs="Segoe UI"/>
          <w:szCs w:val="22"/>
          <w:lang w:val="it-IT"/>
        </w:rPr>
        <w:t>%</w:t>
      </w:r>
      <w:r w:rsidRPr="00AA3013">
        <w:rPr>
          <w:rFonts w:cs="Segoe UI"/>
          <w:szCs w:val="22"/>
          <w:lang w:val="it-IT"/>
        </w:rPr>
        <w:t>)</w:t>
      </w:r>
      <w:r w:rsidR="005F58F5" w:rsidRPr="00AA3013">
        <w:rPr>
          <w:rFonts w:cs="Segoe UI"/>
          <w:szCs w:val="22"/>
          <w:lang w:val="it-IT"/>
        </w:rPr>
        <w:t>, mentre acquisizioni e disinvestimenti hanno p</w:t>
      </w:r>
      <w:r w:rsidR="00F065C3" w:rsidRPr="00AA3013">
        <w:rPr>
          <w:rFonts w:cs="Segoe UI"/>
          <w:szCs w:val="22"/>
          <w:lang w:val="it-IT"/>
        </w:rPr>
        <w:t xml:space="preserve">esato </w:t>
      </w:r>
      <w:r w:rsidR="00365F6B" w:rsidRPr="00AA3013">
        <w:rPr>
          <w:rFonts w:cs="Segoe UI"/>
          <w:szCs w:val="22"/>
          <w:lang w:val="it-IT"/>
        </w:rPr>
        <w:t xml:space="preserve">per il 2,1% </w:t>
      </w:r>
      <w:r w:rsidRPr="00AA3013">
        <w:rPr>
          <w:rFonts w:cs="Segoe UI"/>
          <w:szCs w:val="22"/>
          <w:lang w:val="it-IT"/>
        </w:rPr>
        <w:t>(Q2: +0</w:t>
      </w:r>
      <w:r w:rsidR="00365F6B" w:rsidRPr="00AA3013">
        <w:rPr>
          <w:rFonts w:cs="Segoe UI"/>
          <w:szCs w:val="22"/>
          <w:lang w:val="it-IT"/>
        </w:rPr>
        <w:t>,</w:t>
      </w:r>
      <w:r w:rsidRPr="00AA3013">
        <w:rPr>
          <w:rFonts w:cs="Segoe UI"/>
          <w:szCs w:val="22"/>
          <w:lang w:val="it-IT"/>
        </w:rPr>
        <w:t>3</w:t>
      </w:r>
      <w:r w:rsidR="00365F6B" w:rsidRPr="00AA3013">
        <w:rPr>
          <w:rFonts w:cs="Segoe UI"/>
          <w:szCs w:val="22"/>
          <w:lang w:val="it-IT"/>
        </w:rPr>
        <w:t>%</w:t>
      </w:r>
      <w:r w:rsidRPr="00AA3013">
        <w:rPr>
          <w:rFonts w:cs="Segoe UI"/>
          <w:szCs w:val="22"/>
          <w:lang w:val="it-IT"/>
        </w:rPr>
        <w:t xml:space="preserve">). </w:t>
      </w:r>
      <w:r w:rsidR="00365F6B" w:rsidRPr="00AA3013">
        <w:rPr>
          <w:rFonts w:cs="Segoe UI"/>
          <w:szCs w:val="22"/>
          <w:lang w:val="it-IT"/>
        </w:rPr>
        <w:t xml:space="preserve">Le recenti acquisizioni di </w:t>
      </w:r>
      <w:r w:rsidRPr="00AA3013">
        <w:rPr>
          <w:rFonts w:cs="Segoe UI"/>
          <w:szCs w:val="22"/>
          <w:lang w:val="it-IT"/>
        </w:rPr>
        <w:t xml:space="preserve">Seal for Life </w:t>
      </w:r>
      <w:r w:rsidR="00365F6B" w:rsidRPr="00AA3013">
        <w:rPr>
          <w:rFonts w:cs="Segoe UI"/>
          <w:szCs w:val="22"/>
          <w:lang w:val="it-IT"/>
        </w:rPr>
        <w:t>e</w:t>
      </w:r>
      <w:r w:rsidRPr="00AA3013">
        <w:rPr>
          <w:rFonts w:cs="Segoe UI"/>
          <w:szCs w:val="22"/>
          <w:lang w:val="it-IT"/>
        </w:rPr>
        <w:t xml:space="preserve"> Vidal Sassoon</w:t>
      </w:r>
      <w:r w:rsidR="00365F6B" w:rsidRPr="00AA3013">
        <w:rPr>
          <w:rFonts w:cs="Segoe UI"/>
          <w:szCs w:val="22"/>
          <w:lang w:val="it-IT"/>
        </w:rPr>
        <w:t xml:space="preserve"> hanno avuto</w:t>
      </w:r>
      <w:r w:rsidR="00B30295" w:rsidRPr="00AA3013">
        <w:rPr>
          <w:rFonts w:cs="Segoe UI"/>
          <w:szCs w:val="22"/>
          <w:lang w:val="it-IT"/>
        </w:rPr>
        <w:t xml:space="preserve"> al contrario</w:t>
      </w:r>
      <w:r w:rsidR="00365F6B" w:rsidRPr="00AA3013">
        <w:rPr>
          <w:rFonts w:cs="Segoe UI"/>
          <w:szCs w:val="22"/>
          <w:lang w:val="it-IT"/>
        </w:rPr>
        <w:t xml:space="preserve"> un </w:t>
      </w:r>
      <w:r w:rsidR="001B1540" w:rsidRPr="00AA3013">
        <w:rPr>
          <w:rFonts w:cs="Segoe UI"/>
          <w:szCs w:val="22"/>
          <w:lang w:val="it-IT"/>
        </w:rPr>
        <w:t>impatto</w:t>
      </w:r>
      <w:r w:rsidR="00365F6B" w:rsidRPr="00AA3013">
        <w:rPr>
          <w:rFonts w:cs="Segoe UI"/>
          <w:szCs w:val="22"/>
          <w:lang w:val="it-IT"/>
        </w:rPr>
        <w:t xml:space="preserve"> positivo: in termini organici, ovvero depurato dagli eff</w:t>
      </w:r>
      <w:r w:rsidR="001B1540" w:rsidRPr="00AA3013">
        <w:rPr>
          <w:rFonts w:cs="Segoe UI"/>
          <w:szCs w:val="22"/>
          <w:lang w:val="it-IT"/>
        </w:rPr>
        <w:t xml:space="preserve">etti dei cambi e delle operazioni straordinarie, </w:t>
      </w:r>
      <w:r w:rsidR="008F3098" w:rsidRPr="00AA3013">
        <w:rPr>
          <w:rFonts w:cs="Segoe UI"/>
          <w:szCs w:val="22"/>
          <w:lang w:val="it-IT"/>
        </w:rPr>
        <w:t>i</w:t>
      </w:r>
      <w:r w:rsidR="008F3098" w:rsidRPr="00AA3013">
        <w:rPr>
          <w:rFonts w:cs="Segoe UI"/>
          <w:szCs w:val="22"/>
          <w:lang w:val="it-IT"/>
        </w:rPr>
        <w:t>l fatturato</w:t>
      </w:r>
      <w:r w:rsidR="008F3098" w:rsidRPr="00AA3013">
        <w:rPr>
          <w:rFonts w:cs="Segoe UI"/>
          <w:szCs w:val="22"/>
          <w:lang w:val="it-IT"/>
        </w:rPr>
        <w:t xml:space="preserve"> di Henkel è cresciuto del 2,9% </w:t>
      </w:r>
      <w:r w:rsidRPr="00AA3013">
        <w:rPr>
          <w:rFonts w:cs="Segoe UI"/>
          <w:szCs w:val="22"/>
          <w:lang w:val="it-IT"/>
        </w:rPr>
        <w:t>(Q2: +2</w:t>
      </w:r>
      <w:r w:rsidR="008F3098" w:rsidRPr="00AA3013">
        <w:rPr>
          <w:rFonts w:cs="Segoe UI"/>
          <w:szCs w:val="22"/>
          <w:lang w:val="it-IT"/>
        </w:rPr>
        <w:t>,</w:t>
      </w:r>
      <w:r w:rsidRPr="00AA3013">
        <w:rPr>
          <w:rFonts w:cs="Segoe UI"/>
          <w:szCs w:val="22"/>
          <w:lang w:val="it-IT"/>
        </w:rPr>
        <w:t>8</w:t>
      </w:r>
      <w:r w:rsidR="008F3098" w:rsidRPr="00AA3013">
        <w:rPr>
          <w:rFonts w:cs="Segoe UI"/>
          <w:szCs w:val="22"/>
          <w:lang w:val="it-IT"/>
        </w:rPr>
        <w:t>%</w:t>
      </w:r>
      <w:r w:rsidRPr="00AA3013">
        <w:rPr>
          <w:rFonts w:cs="Segoe UI"/>
          <w:szCs w:val="22"/>
          <w:lang w:val="it-IT"/>
        </w:rPr>
        <w:t>).</w:t>
      </w:r>
    </w:p>
    <w:p w14:paraId="013E3F78" w14:textId="77777777" w:rsidR="00B53E7E" w:rsidRPr="00AA3013" w:rsidRDefault="00B53E7E" w:rsidP="00B53E7E">
      <w:pPr>
        <w:rPr>
          <w:rFonts w:cs="Segoe UI"/>
          <w:szCs w:val="22"/>
          <w:lang w:val="it-IT"/>
        </w:rPr>
      </w:pPr>
    </w:p>
    <w:bookmarkStart w:id="1" w:name="SNAMD_dc825768bfb2420dbdc0e075b6c733f3"/>
    <w:bookmarkStart w:id="2" w:name="SNERR_085cbfa1dc5245baabab2f6ce609ab4b"/>
    <w:p w14:paraId="5A83B012" w14:textId="407506D3" w:rsidR="00D20EB9" w:rsidRPr="00AA3013" w:rsidRDefault="00DC3F66" w:rsidP="00F469C4">
      <w:pPr>
        <w:rPr>
          <w:lang w:val="it-IT"/>
        </w:rPr>
      </w:pPr>
      <w:r w:rsidRPr="00AA3013">
        <w:rPr>
          <w:color w:val="000000" w:themeColor="text1"/>
          <w:lang w:val="it-IT"/>
        </w:rPr>
        <w:fldChar w:fldCharType="begin"/>
      </w:r>
      <w:r w:rsidRPr="00AA3013">
        <w:rPr>
          <w:color w:val="000000" w:themeColor="text1"/>
          <w:lang w:val="it-IT"/>
        </w:rPr>
        <w:instrText xml:space="preserve"> DOCVARIABLE WORDVALUE-7c2eb70d-9d14-4f70-93d9-1f388a1f5be7 \* CHARFORMAT </w:instrText>
      </w:r>
      <w:r w:rsidRPr="00AA3013">
        <w:rPr>
          <w:color w:val="000000" w:themeColor="text1"/>
          <w:lang w:val="it-IT"/>
        </w:rPr>
        <w:fldChar w:fldCharType="separate"/>
      </w:r>
      <w:r w:rsidRPr="00AA3013">
        <w:rPr>
          <w:color w:val="000000" w:themeColor="text1"/>
          <w:lang w:val="it-IT"/>
        </w:rPr>
        <w:fldChar w:fldCharType="end"/>
      </w:r>
      <w:bookmarkEnd w:id="1"/>
      <w:bookmarkEnd w:id="2"/>
      <w:r w:rsidRPr="00AA3013">
        <w:rPr>
          <w:color w:val="000000" w:themeColor="text1"/>
          <w:lang w:val="it-IT"/>
        </w:rPr>
        <w:fldChar w:fldCharType="begin"/>
      </w:r>
      <w:r w:rsidRPr="00AA3013">
        <w:rPr>
          <w:color w:val="000000" w:themeColor="text1"/>
          <w:lang w:val="it-IT"/>
        </w:rPr>
        <w:instrText xml:space="preserve"> DOCVARIABLE WORDVALUE-b5592f6a-a403-4cc8-a105-1f388a58258f \* CHARFORMAT </w:instrText>
      </w:r>
      <w:r w:rsidRPr="00AA3013">
        <w:rPr>
          <w:color w:val="000000" w:themeColor="text1"/>
          <w:lang w:val="it-IT"/>
        </w:rPr>
        <w:fldChar w:fldCharType="separate"/>
      </w:r>
      <w:r w:rsidRPr="00AA3013">
        <w:rPr>
          <w:color w:val="000000" w:themeColor="text1"/>
          <w:lang w:val="it-IT"/>
        </w:rPr>
        <w:fldChar w:fldCharType="end"/>
      </w:r>
      <w:r w:rsidRPr="00AA3013">
        <w:rPr>
          <w:color w:val="000000" w:themeColor="text1"/>
          <w:lang w:val="it-IT"/>
        </w:rPr>
        <w:t>Il fatturato di</w:t>
      </w:r>
      <w:r w:rsidRPr="00AA3013">
        <w:rPr>
          <w:rFonts w:eastAsia="Segoe UI" w:cs="Segoe UI"/>
          <w:color w:val="000000" w:themeColor="text1"/>
          <w:lang w:val="it-IT"/>
        </w:rPr>
        <w:t xml:space="preserve"> </w:t>
      </w:r>
      <w:r w:rsidRPr="00AA3013">
        <w:rPr>
          <w:rFonts w:eastAsia="Segoe UI" w:cs="Segoe UI"/>
          <w:b/>
          <w:bCs/>
          <w:color w:val="000000" w:themeColor="text1"/>
          <w:lang w:val="it-IT"/>
        </w:rPr>
        <w:t>Adhesive Technologies</w:t>
      </w:r>
      <w:r w:rsidRPr="00AA3013">
        <w:rPr>
          <w:rFonts w:eastAsia="Segoe UI" w:cs="Segoe UI"/>
          <w:color w:val="000000" w:themeColor="text1"/>
          <w:lang w:val="it-IT"/>
        </w:rPr>
        <w:t xml:space="preserve"> è cresciuto in termini organici del 2%. Lo sviluppo è stato dettato </w:t>
      </w:r>
      <w:r w:rsidR="0064350F" w:rsidRPr="00AA3013">
        <w:rPr>
          <w:rFonts w:eastAsia="Segoe UI" w:cs="Segoe UI"/>
          <w:color w:val="000000" w:themeColor="text1"/>
          <w:lang w:val="it-IT"/>
        </w:rPr>
        <w:t xml:space="preserve">soprattutto dai mercati </w:t>
      </w:r>
      <w:r w:rsidR="0064350F" w:rsidRPr="00AA3013">
        <w:rPr>
          <w:rFonts w:cs="Segoe UI"/>
          <w:szCs w:val="22"/>
          <w:lang w:val="it-IT"/>
        </w:rPr>
        <w:t>Mobility &amp; Electronics, Craftsmen, Construction &amp; Professional (Q2: +2</w:t>
      </w:r>
      <w:r w:rsidR="0064350F" w:rsidRPr="00AA3013">
        <w:rPr>
          <w:rFonts w:cs="Segoe UI"/>
          <w:szCs w:val="22"/>
          <w:lang w:val="it-IT"/>
        </w:rPr>
        <w:t>,</w:t>
      </w:r>
      <w:r w:rsidR="0064350F" w:rsidRPr="00AA3013">
        <w:rPr>
          <w:rFonts w:cs="Segoe UI"/>
          <w:szCs w:val="22"/>
          <w:lang w:val="it-IT"/>
        </w:rPr>
        <w:t>6</w:t>
      </w:r>
      <w:r w:rsidR="0064350F" w:rsidRPr="00AA3013">
        <w:rPr>
          <w:rFonts w:cs="Segoe UI"/>
          <w:szCs w:val="22"/>
          <w:lang w:val="it-IT"/>
        </w:rPr>
        <w:t>%</w:t>
      </w:r>
      <w:r w:rsidR="0064350F" w:rsidRPr="00AA3013">
        <w:rPr>
          <w:rFonts w:cs="Segoe UI"/>
          <w:szCs w:val="22"/>
          <w:lang w:val="it-IT"/>
        </w:rPr>
        <w:t xml:space="preserve">). </w:t>
      </w:r>
      <w:r w:rsidR="00D20EB9" w:rsidRPr="00AA3013">
        <w:rPr>
          <w:rFonts w:cs="Segoe UI"/>
          <w:szCs w:val="22"/>
          <w:lang w:val="it-IT"/>
        </w:rPr>
        <w:t xml:space="preserve">La divisione </w:t>
      </w:r>
      <w:r w:rsidR="00B53E7E" w:rsidRPr="00AA3013">
        <w:rPr>
          <w:rFonts w:cs="Segoe UI"/>
          <w:b/>
          <w:bCs/>
          <w:szCs w:val="22"/>
          <w:lang w:val="it-IT"/>
        </w:rPr>
        <w:t>Consumer Brands</w:t>
      </w:r>
      <w:r w:rsidR="00B53E7E" w:rsidRPr="00AA3013">
        <w:rPr>
          <w:rFonts w:cs="Segoe UI"/>
          <w:szCs w:val="22"/>
          <w:lang w:val="it-IT"/>
        </w:rPr>
        <w:t xml:space="preserve"> </w:t>
      </w:r>
      <w:r w:rsidR="00D20EB9" w:rsidRPr="00AA3013">
        <w:rPr>
          <w:rFonts w:cs="Segoe UI"/>
          <w:szCs w:val="22"/>
          <w:lang w:val="it-IT"/>
        </w:rPr>
        <w:t xml:space="preserve">ha </w:t>
      </w:r>
      <w:r w:rsidR="001D289A" w:rsidRPr="00AA3013">
        <w:rPr>
          <w:rFonts w:cs="Segoe UI"/>
          <w:szCs w:val="22"/>
          <w:lang w:val="it-IT"/>
        </w:rPr>
        <w:t xml:space="preserve">registrato una crescita </w:t>
      </w:r>
      <w:r w:rsidR="00D20EB9" w:rsidRPr="00AA3013">
        <w:rPr>
          <w:lang w:val="it-IT"/>
        </w:rPr>
        <w:t>organica del 4,3%</w:t>
      </w:r>
      <w:r w:rsidR="001D289A" w:rsidRPr="00AA3013">
        <w:rPr>
          <w:lang w:val="it-IT"/>
        </w:rPr>
        <w:t xml:space="preserve"> con il contributo di tutte le aree di business </w:t>
      </w:r>
      <w:r w:rsidR="001D289A" w:rsidRPr="00AA3013">
        <w:rPr>
          <w:rFonts w:cs="Segoe UI"/>
          <w:szCs w:val="22"/>
          <w:lang w:val="it-IT"/>
        </w:rPr>
        <w:t>(Q2: +3</w:t>
      </w:r>
      <w:r w:rsidR="001D289A" w:rsidRPr="00AA3013">
        <w:rPr>
          <w:rFonts w:cs="Segoe UI"/>
          <w:szCs w:val="22"/>
          <w:lang w:val="it-IT"/>
        </w:rPr>
        <w:t>,</w:t>
      </w:r>
      <w:r w:rsidR="001D289A" w:rsidRPr="00AA3013">
        <w:rPr>
          <w:rFonts w:cs="Segoe UI"/>
          <w:szCs w:val="22"/>
          <w:lang w:val="it-IT"/>
        </w:rPr>
        <w:t>3</w:t>
      </w:r>
      <w:r w:rsidR="001D289A" w:rsidRPr="00AA3013">
        <w:rPr>
          <w:rFonts w:cs="Segoe UI"/>
          <w:szCs w:val="22"/>
          <w:lang w:val="it-IT"/>
        </w:rPr>
        <w:t>%</w:t>
      </w:r>
      <w:r w:rsidR="001D289A" w:rsidRPr="00AA3013">
        <w:rPr>
          <w:rFonts w:cs="Segoe UI"/>
          <w:szCs w:val="22"/>
          <w:lang w:val="it-IT"/>
        </w:rPr>
        <w:t>).</w:t>
      </w:r>
      <w:r w:rsidR="00107AFD" w:rsidRPr="00AA3013">
        <w:rPr>
          <w:rFonts w:cs="Segoe UI"/>
          <w:szCs w:val="22"/>
          <w:lang w:val="it-IT"/>
        </w:rPr>
        <w:t xml:space="preserve"> </w:t>
      </w:r>
      <w:r w:rsidR="00107AFD" w:rsidRPr="00AA3013">
        <w:rPr>
          <w:lang w:val="it-IT"/>
        </w:rPr>
        <w:t>La componente del prezzo ha</w:t>
      </w:r>
      <w:r w:rsidR="00107AFD" w:rsidRPr="00AA3013">
        <w:rPr>
          <w:lang w:val="it-IT"/>
        </w:rPr>
        <w:t xml:space="preserve"> certamente</w:t>
      </w:r>
      <w:r w:rsidR="00107AFD" w:rsidRPr="00AA3013">
        <w:rPr>
          <w:lang w:val="it-IT"/>
        </w:rPr>
        <w:t xml:space="preserve"> </w:t>
      </w:r>
      <w:r w:rsidR="00F469C4" w:rsidRPr="00AA3013">
        <w:rPr>
          <w:lang w:val="it-IT"/>
        </w:rPr>
        <w:t>condizionato</w:t>
      </w:r>
      <w:r w:rsidR="00107AFD" w:rsidRPr="00AA3013">
        <w:rPr>
          <w:lang w:val="it-IT"/>
        </w:rPr>
        <w:t xml:space="preserve"> l’incremento dei ricavi</w:t>
      </w:r>
      <w:r w:rsidR="00CC07E4">
        <w:rPr>
          <w:lang w:val="it-IT"/>
        </w:rPr>
        <w:t>;</w:t>
      </w:r>
      <w:r w:rsidR="00665D2D" w:rsidRPr="00AA3013">
        <w:rPr>
          <w:lang w:val="it-IT"/>
        </w:rPr>
        <w:t xml:space="preserve"> i volumi hanno visto un</w:t>
      </w:r>
      <w:r w:rsidR="000878CD" w:rsidRPr="00AA3013">
        <w:rPr>
          <w:lang w:val="it-IT"/>
        </w:rPr>
        <w:t xml:space="preserve">a ripresa rispetto al primo semestre 2023 e al primo trimestre di quest’anno, pur continuando a essere </w:t>
      </w:r>
      <w:r w:rsidR="00F469C4" w:rsidRPr="00AA3013">
        <w:rPr>
          <w:lang w:val="it-IT"/>
        </w:rPr>
        <w:t>influenzati dalle</w:t>
      </w:r>
      <w:r w:rsidR="00D20EB9" w:rsidRPr="00AA3013">
        <w:rPr>
          <w:lang w:val="it-IT"/>
        </w:rPr>
        <w:t xml:space="preserve"> misure di ottimizzazione del portafoglio</w:t>
      </w:r>
      <w:r w:rsidR="00407880" w:rsidRPr="00AA3013">
        <w:rPr>
          <w:lang w:val="it-IT"/>
        </w:rPr>
        <w:t xml:space="preserve"> già intraprese</w:t>
      </w:r>
      <w:r w:rsidR="00D20EB9" w:rsidRPr="00AA3013">
        <w:rPr>
          <w:lang w:val="it-IT"/>
        </w:rPr>
        <w:t>.</w:t>
      </w:r>
    </w:p>
    <w:p w14:paraId="2F05E108" w14:textId="77777777" w:rsidR="00D20EB9" w:rsidRPr="00AA3013" w:rsidRDefault="00D20EB9" w:rsidP="00B53E7E">
      <w:pPr>
        <w:rPr>
          <w:rFonts w:cs="Segoe UI"/>
          <w:szCs w:val="22"/>
          <w:lang w:val="it-IT"/>
        </w:rPr>
      </w:pPr>
    </w:p>
    <w:p w14:paraId="4B0AA9B9" w14:textId="2740B390" w:rsidR="00B53E7E" w:rsidRPr="00AA3013" w:rsidRDefault="00E12672" w:rsidP="00C431FE">
      <w:pPr>
        <w:rPr>
          <w:rFonts w:cs="Segoe UI"/>
          <w:szCs w:val="22"/>
          <w:lang w:val="it-IT"/>
        </w:rPr>
      </w:pPr>
      <w:r w:rsidRPr="00AA3013">
        <w:rPr>
          <w:rFonts w:cs="Segoe UI"/>
          <w:szCs w:val="22"/>
          <w:lang w:val="it-IT"/>
        </w:rPr>
        <w:t xml:space="preserve">Nella prima metà del 2024, il fatturato in </w:t>
      </w:r>
      <w:r w:rsidRPr="00AA3013">
        <w:rPr>
          <w:rFonts w:cs="Segoe UI"/>
          <w:b/>
          <w:bCs/>
          <w:szCs w:val="22"/>
          <w:lang w:val="it-IT"/>
        </w:rPr>
        <w:t>Europa</w:t>
      </w:r>
      <w:r w:rsidRPr="00AA3013">
        <w:rPr>
          <w:rFonts w:cs="Segoe UI"/>
          <w:szCs w:val="22"/>
          <w:lang w:val="it-IT"/>
        </w:rPr>
        <w:t xml:space="preserve"> </w:t>
      </w:r>
      <w:r w:rsidR="008E3436" w:rsidRPr="00AA3013">
        <w:rPr>
          <w:rFonts w:cs="Segoe UI"/>
          <w:szCs w:val="22"/>
          <w:lang w:val="it-IT"/>
        </w:rPr>
        <w:t>ha avuto un incremento</w:t>
      </w:r>
      <w:r w:rsidRPr="00AA3013">
        <w:rPr>
          <w:rFonts w:cs="Segoe UI"/>
          <w:szCs w:val="22"/>
          <w:lang w:val="it-IT"/>
        </w:rPr>
        <w:t xml:space="preserve"> </w:t>
      </w:r>
      <w:r w:rsidR="007E7784" w:rsidRPr="00AA3013">
        <w:rPr>
          <w:rFonts w:cs="Segoe UI"/>
          <w:szCs w:val="22"/>
          <w:lang w:val="it-IT"/>
        </w:rPr>
        <w:t>organico</w:t>
      </w:r>
      <w:r w:rsidR="007E7784" w:rsidRPr="00AA3013">
        <w:rPr>
          <w:rFonts w:cs="Segoe UI"/>
          <w:szCs w:val="22"/>
          <w:lang w:val="it-IT"/>
        </w:rPr>
        <w:t xml:space="preserve"> </w:t>
      </w:r>
      <w:r w:rsidRPr="00AA3013">
        <w:rPr>
          <w:rFonts w:cs="Segoe UI"/>
          <w:szCs w:val="22"/>
          <w:lang w:val="it-IT"/>
        </w:rPr>
        <w:t xml:space="preserve">dell’1,8% </w:t>
      </w:r>
      <w:r w:rsidR="00B53E7E" w:rsidRPr="00AA3013">
        <w:rPr>
          <w:rFonts w:cs="Segoe UI"/>
          <w:szCs w:val="22"/>
          <w:lang w:val="it-IT"/>
        </w:rPr>
        <w:t>(Q2: +1</w:t>
      </w:r>
      <w:r w:rsidRPr="00AA3013">
        <w:rPr>
          <w:rFonts w:cs="Segoe UI"/>
          <w:szCs w:val="22"/>
          <w:lang w:val="it-IT"/>
        </w:rPr>
        <w:t>,</w:t>
      </w:r>
      <w:r w:rsidR="00B53E7E" w:rsidRPr="00AA3013">
        <w:rPr>
          <w:rFonts w:cs="Segoe UI"/>
          <w:szCs w:val="22"/>
          <w:lang w:val="it-IT"/>
        </w:rPr>
        <w:t>2</w:t>
      </w:r>
      <w:r w:rsidRPr="00AA3013">
        <w:rPr>
          <w:rFonts w:cs="Segoe UI"/>
          <w:szCs w:val="22"/>
          <w:lang w:val="it-IT"/>
        </w:rPr>
        <w:t>%</w:t>
      </w:r>
      <w:r w:rsidR="00B53E7E" w:rsidRPr="00AA3013">
        <w:rPr>
          <w:rFonts w:cs="Segoe UI"/>
          <w:szCs w:val="22"/>
          <w:lang w:val="it-IT"/>
        </w:rPr>
        <w:t xml:space="preserve">). </w:t>
      </w:r>
      <w:r w:rsidRPr="00AA3013">
        <w:rPr>
          <w:rFonts w:cs="Segoe UI"/>
          <w:szCs w:val="22"/>
          <w:lang w:val="it-IT"/>
        </w:rPr>
        <w:t>Nella regione</w:t>
      </w:r>
      <w:r w:rsidR="00B53E7E" w:rsidRPr="00AA3013">
        <w:rPr>
          <w:rFonts w:cs="Segoe UI"/>
          <w:szCs w:val="22"/>
          <w:lang w:val="it-IT"/>
        </w:rPr>
        <w:t xml:space="preserve"> </w:t>
      </w:r>
      <w:r w:rsidR="00B53E7E" w:rsidRPr="00AA3013">
        <w:rPr>
          <w:rFonts w:cs="Segoe UI"/>
          <w:b/>
          <w:bCs/>
          <w:szCs w:val="22"/>
          <w:lang w:val="it-IT"/>
        </w:rPr>
        <w:t>IMEA</w:t>
      </w:r>
      <w:r w:rsidR="00B53E7E" w:rsidRPr="00AA3013">
        <w:rPr>
          <w:rFonts w:cs="Segoe UI"/>
          <w:szCs w:val="22"/>
          <w:lang w:val="it-IT"/>
        </w:rPr>
        <w:t xml:space="preserve">, Henkel </w:t>
      </w:r>
      <w:r w:rsidR="008E3436" w:rsidRPr="00AA3013">
        <w:rPr>
          <w:rFonts w:cs="Segoe UI"/>
          <w:szCs w:val="22"/>
          <w:lang w:val="it-IT"/>
        </w:rPr>
        <w:t xml:space="preserve">è cresciuta </w:t>
      </w:r>
      <w:r w:rsidR="00AE4DA4" w:rsidRPr="00AA3013">
        <w:rPr>
          <w:rFonts w:cs="Segoe UI"/>
          <w:szCs w:val="22"/>
          <w:lang w:val="it-IT"/>
        </w:rPr>
        <w:t>a doppia cifra del</w:t>
      </w:r>
      <w:r w:rsidR="00B53E7E" w:rsidRPr="00AA3013">
        <w:rPr>
          <w:rFonts w:cs="Segoe UI"/>
          <w:szCs w:val="22"/>
          <w:lang w:val="it-IT"/>
        </w:rPr>
        <w:t xml:space="preserve"> 21</w:t>
      </w:r>
      <w:r w:rsidR="00AE4DA4" w:rsidRPr="00AA3013">
        <w:rPr>
          <w:rFonts w:cs="Segoe UI"/>
          <w:szCs w:val="22"/>
          <w:lang w:val="it-IT"/>
        </w:rPr>
        <w:t>,</w:t>
      </w:r>
      <w:r w:rsidR="00B53E7E" w:rsidRPr="00AA3013">
        <w:rPr>
          <w:rFonts w:cs="Segoe UI"/>
          <w:szCs w:val="22"/>
          <w:lang w:val="it-IT"/>
        </w:rPr>
        <w:t>0</w:t>
      </w:r>
      <w:r w:rsidR="00AE4DA4" w:rsidRPr="00AA3013">
        <w:rPr>
          <w:rFonts w:cs="Segoe UI"/>
          <w:szCs w:val="22"/>
          <w:lang w:val="it-IT"/>
        </w:rPr>
        <w:t>%</w:t>
      </w:r>
      <w:r w:rsidR="00B53E7E" w:rsidRPr="00AA3013">
        <w:rPr>
          <w:rFonts w:cs="Segoe UI"/>
          <w:szCs w:val="22"/>
          <w:lang w:val="it-IT"/>
        </w:rPr>
        <w:t xml:space="preserve"> (Q2: +13</w:t>
      </w:r>
      <w:r w:rsidR="00AE4DA4" w:rsidRPr="00AA3013">
        <w:rPr>
          <w:rFonts w:cs="Segoe UI"/>
          <w:szCs w:val="22"/>
          <w:lang w:val="it-IT"/>
        </w:rPr>
        <w:t>,</w:t>
      </w:r>
      <w:r w:rsidR="00B53E7E" w:rsidRPr="00AA3013">
        <w:rPr>
          <w:rFonts w:cs="Segoe UI"/>
          <w:szCs w:val="22"/>
          <w:lang w:val="it-IT"/>
        </w:rPr>
        <w:t xml:space="preserve">7 </w:t>
      </w:r>
      <w:r w:rsidR="00AE4DA4" w:rsidRPr="00AA3013">
        <w:rPr>
          <w:rFonts w:cs="Segoe UI"/>
          <w:szCs w:val="22"/>
          <w:lang w:val="it-IT"/>
        </w:rPr>
        <w:t>%</w:t>
      </w:r>
      <w:r w:rsidR="00B53E7E" w:rsidRPr="00AA3013">
        <w:rPr>
          <w:rFonts w:cs="Segoe UI"/>
          <w:szCs w:val="22"/>
          <w:lang w:val="it-IT"/>
        </w:rPr>
        <w:t xml:space="preserve">). </w:t>
      </w:r>
      <w:r w:rsidR="00AE4DA4" w:rsidRPr="00AA3013">
        <w:rPr>
          <w:rFonts w:cs="Segoe UI"/>
          <w:szCs w:val="22"/>
          <w:lang w:val="it-IT"/>
        </w:rPr>
        <w:t>Il mercato del</w:t>
      </w:r>
      <w:r w:rsidR="00B53E7E" w:rsidRPr="00AA3013">
        <w:rPr>
          <w:rFonts w:cs="Segoe UI"/>
          <w:szCs w:val="22"/>
          <w:lang w:val="it-IT"/>
        </w:rPr>
        <w:t xml:space="preserve"> </w:t>
      </w:r>
      <w:r w:rsidR="00B53E7E" w:rsidRPr="00AA3013">
        <w:rPr>
          <w:rFonts w:cs="Segoe UI"/>
          <w:b/>
          <w:bCs/>
          <w:szCs w:val="22"/>
          <w:lang w:val="it-IT"/>
        </w:rPr>
        <w:t>Nor</w:t>
      </w:r>
      <w:r w:rsidR="00AE4DA4" w:rsidRPr="00AA3013">
        <w:rPr>
          <w:rFonts w:cs="Segoe UI"/>
          <w:b/>
          <w:bCs/>
          <w:szCs w:val="22"/>
          <w:lang w:val="it-IT"/>
        </w:rPr>
        <w:t>d</w:t>
      </w:r>
      <w:r w:rsidR="00B53E7E" w:rsidRPr="00AA3013">
        <w:rPr>
          <w:rFonts w:cs="Segoe UI"/>
          <w:b/>
          <w:bCs/>
          <w:szCs w:val="22"/>
          <w:lang w:val="it-IT"/>
        </w:rPr>
        <w:t xml:space="preserve"> America</w:t>
      </w:r>
      <w:r w:rsidR="00B53E7E" w:rsidRPr="00AA3013">
        <w:rPr>
          <w:rFonts w:cs="Segoe UI"/>
          <w:szCs w:val="22"/>
          <w:lang w:val="it-IT"/>
        </w:rPr>
        <w:t xml:space="preserve"> </w:t>
      </w:r>
      <w:r w:rsidR="00C019F1" w:rsidRPr="00AA3013">
        <w:rPr>
          <w:rFonts w:cs="Segoe UI"/>
          <w:szCs w:val="22"/>
          <w:lang w:val="it-IT"/>
        </w:rPr>
        <w:t>ha subito un calo dell’1,6% (</w:t>
      </w:r>
      <w:r w:rsidR="00B53E7E" w:rsidRPr="00AA3013">
        <w:rPr>
          <w:rFonts w:cs="Segoe UI"/>
          <w:szCs w:val="22"/>
          <w:lang w:val="it-IT"/>
        </w:rPr>
        <w:t>Q2: -0</w:t>
      </w:r>
      <w:r w:rsidR="00C019F1" w:rsidRPr="00AA3013">
        <w:rPr>
          <w:rFonts w:cs="Segoe UI"/>
          <w:szCs w:val="22"/>
          <w:lang w:val="it-IT"/>
        </w:rPr>
        <w:t>,</w:t>
      </w:r>
      <w:r w:rsidR="00B53E7E" w:rsidRPr="00AA3013">
        <w:rPr>
          <w:rFonts w:cs="Segoe UI"/>
          <w:szCs w:val="22"/>
          <w:lang w:val="it-IT"/>
        </w:rPr>
        <w:t>2</w:t>
      </w:r>
      <w:r w:rsidR="00C019F1" w:rsidRPr="00AA3013">
        <w:rPr>
          <w:rFonts w:cs="Segoe UI"/>
          <w:szCs w:val="22"/>
          <w:lang w:val="it-IT"/>
        </w:rPr>
        <w:t>%</w:t>
      </w:r>
      <w:r w:rsidR="00B53E7E" w:rsidRPr="00AA3013">
        <w:rPr>
          <w:rFonts w:cs="Segoe UI"/>
          <w:szCs w:val="22"/>
          <w:lang w:val="it-IT"/>
        </w:rPr>
        <w:t>)</w:t>
      </w:r>
      <w:r w:rsidR="00C019F1" w:rsidRPr="00AA3013">
        <w:rPr>
          <w:rFonts w:cs="Segoe UI"/>
          <w:szCs w:val="22"/>
          <w:lang w:val="it-IT"/>
        </w:rPr>
        <w:t>,</w:t>
      </w:r>
      <w:r w:rsidR="00B53E7E" w:rsidRPr="00AA3013">
        <w:rPr>
          <w:rFonts w:cs="Segoe UI"/>
          <w:szCs w:val="22"/>
          <w:lang w:val="it-IT"/>
        </w:rPr>
        <w:t xml:space="preserve"> </w:t>
      </w:r>
      <w:r w:rsidR="00C019F1" w:rsidRPr="00AA3013">
        <w:rPr>
          <w:rFonts w:cs="Segoe UI"/>
          <w:szCs w:val="22"/>
          <w:lang w:val="it-IT"/>
        </w:rPr>
        <w:t xml:space="preserve">in </w:t>
      </w:r>
      <w:r w:rsidR="00B53E7E" w:rsidRPr="00AA3013">
        <w:rPr>
          <w:rFonts w:cs="Segoe UI"/>
          <w:b/>
          <w:bCs/>
          <w:szCs w:val="22"/>
          <w:lang w:val="it-IT"/>
        </w:rPr>
        <w:t>America</w:t>
      </w:r>
      <w:r w:rsidR="00C019F1" w:rsidRPr="00AA3013">
        <w:rPr>
          <w:rFonts w:cs="Segoe UI"/>
          <w:b/>
          <w:bCs/>
          <w:szCs w:val="22"/>
          <w:lang w:val="it-IT"/>
        </w:rPr>
        <w:t xml:space="preserve"> Latina</w:t>
      </w:r>
      <w:r w:rsidR="00B53E7E" w:rsidRPr="00AA3013">
        <w:rPr>
          <w:rFonts w:cs="Segoe UI"/>
          <w:szCs w:val="22"/>
          <w:lang w:val="it-IT"/>
        </w:rPr>
        <w:t xml:space="preserve"> </w:t>
      </w:r>
      <w:r w:rsidR="00C019F1" w:rsidRPr="00AA3013">
        <w:rPr>
          <w:rFonts w:cs="Segoe UI"/>
          <w:szCs w:val="22"/>
          <w:lang w:val="it-IT"/>
        </w:rPr>
        <w:t xml:space="preserve">l’andamento del fatturato è stato sostanzialmente piatto </w:t>
      </w:r>
      <w:r w:rsidR="00B53E7E" w:rsidRPr="00AA3013">
        <w:rPr>
          <w:rFonts w:cs="Segoe UI"/>
          <w:szCs w:val="22"/>
          <w:lang w:val="it-IT"/>
        </w:rPr>
        <w:t>(Q2: +2</w:t>
      </w:r>
      <w:r w:rsidR="00C019F1" w:rsidRPr="00AA3013">
        <w:rPr>
          <w:rFonts w:cs="Segoe UI"/>
          <w:szCs w:val="22"/>
          <w:lang w:val="it-IT"/>
        </w:rPr>
        <w:t>,</w:t>
      </w:r>
      <w:r w:rsidR="00B53E7E" w:rsidRPr="00AA3013">
        <w:rPr>
          <w:rFonts w:cs="Segoe UI"/>
          <w:szCs w:val="22"/>
          <w:lang w:val="it-IT"/>
        </w:rPr>
        <w:t>7</w:t>
      </w:r>
      <w:r w:rsidR="00C019F1" w:rsidRPr="00AA3013">
        <w:rPr>
          <w:rFonts w:cs="Segoe UI"/>
          <w:szCs w:val="22"/>
          <w:lang w:val="it-IT"/>
        </w:rPr>
        <w:t>%</w:t>
      </w:r>
      <w:r w:rsidR="00B53E7E" w:rsidRPr="00AA3013">
        <w:rPr>
          <w:rFonts w:cs="Segoe UI"/>
          <w:szCs w:val="22"/>
          <w:lang w:val="it-IT"/>
        </w:rPr>
        <w:t xml:space="preserve">). </w:t>
      </w:r>
      <w:r w:rsidR="009C4584" w:rsidRPr="00AA3013">
        <w:rPr>
          <w:rFonts w:cs="Segoe UI"/>
          <w:szCs w:val="22"/>
          <w:lang w:val="it-IT"/>
        </w:rPr>
        <w:t>La regione</w:t>
      </w:r>
      <w:r w:rsidR="00B53E7E" w:rsidRPr="00AA3013">
        <w:rPr>
          <w:rFonts w:cs="Segoe UI"/>
          <w:szCs w:val="22"/>
          <w:lang w:val="it-IT"/>
        </w:rPr>
        <w:t xml:space="preserve"> </w:t>
      </w:r>
      <w:r w:rsidR="00B53E7E" w:rsidRPr="00AA3013">
        <w:rPr>
          <w:rFonts w:cs="Segoe UI"/>
          <w:b/>
          <w:bCs/>
          <w:szCs w:val="22"/>
          <w:lang w:val="it-IT"/>
        </w:rPr>
        <w:t>Asia/Pacific</w:t>
      </w:r>
      <w:r w:rsidR="00B53E7E" w:rsidRPr="00AA3013">
        <w:rPr>
          <w:rFonts w:cs="Segoe UI"/>
          <w:szCs w:val="22"/>
          <w:lang w:val="it-IT"/>
        </w:rPr>
        <w:t xml:space="preserve"> </w:t>
      </w:r>
      <w:r w:rsidR="009C4584" w:rsidRPr="00AA3013">
        <w:rPr>
          <w:rFonts w:cs="Segoe UI"/>
          <w:szCs w:val="22"/>
          <w:lang w:val="it-IT"/>
        </w:rPr>
        <w:t>ha visto invece una crescita pari al</w:t>
      </w:r>
      <w:r w:rsidR="00B53E7E" w:rsidRPr="00AA3013">
        <w:rPr>
          <w:rFonts w:cs="Segoe UI"/>
          <w:szCs w:val="22"/>
          <w:lang w:val="it-IT"/>
        </w:rPr>
        <w:t xml:space="preserve"> 5</w:t>
      </w:r>
      <w:r w:rsidR="009C4584" w:rsidRPr="00AA3013">
        <w:rPr>
          <w:rFonts w:cs="Segoe UI"/>
          <w:szCs w:val="22"/>
          <w:lang w:val="it-IT"/>
        </w:rPr>
        <w:t>,</w:t>
      </w:r>
      <w:r w:rsidR="00B53E7E" w:rsidRPr="00AA3013">
        <w:rPr>
          <w:rFonts w:cs="Segoe UI"/>
          <w:szCs w:val="22"/>
          <w:lang w:val="it-IT"/>
        </w:rPr>
        <w:t>5</w:t>
      </w:r>
      <w:r w:rsidR="009C4584" w:rsidRPr="00AA3013">
        <w:rPr>
          <w:rFonts w:cs="Segoe UI"/>
          <w:szCs w:val="22"/>
          <w:lang w:val="it-IT"/>
        </w:rPr>
        <w:t>%</w:t>
      </w:r>
      <w:r w:rsidR="00B53E7E" w:rsidRPr="00AA3013">
        <w:rPr>
          <w:rFonts w:cs="Segoe UI"/>
          <w:szCs w:val="22"/>
          <w:lang w:val="it-IT"/>
        </w:rPr>
        <w:t xml:space="preserve"> (Q2: +7</w:t>
      </w:r>
      <w:r w:rsidR="009C4584" w:rsidRPr="00AA3013">
        <w:rPr>
          <w:rFonts w:cs="Segoe UI"/>
          <w:szCs w:val="22"/>
          <w:lang w:val="it-IT"/>
        </w:rPr>
        <w:t>,</w:t>
      </w:r>
      <w:r w:rsidR="00B53E7E" w:rsidRPr="00AA3013">
        <w:rPr>
          <w:rFonts w:cs="Segoe UI"/>
          <w:szCs w:val="22"/>
          <w:lang w:val="it-IT"/>
        </w:rPr>
        <w:t>5</w:t>
      </w:r>
      <w:r w:rsidR="009C4584" w:rsidRPr="00AA3013">
        <w:rPr>
          <w:rFonts w:cs="Segoe UI"/>
          <w:szCs w:val="22"/>
          <w:lang w:val="it-IT"/>
        </w:rPr>
        <w:t>%</w:t>
      </w:r>
      <w:r w:rsidR="00B53E7E" w:rsidRPr="00AA3013">
        <w:rPr>
          <w:rFonts w:cs="Segoe UI"/>
          <w:szCs w:val="22"/>
          <w:lang w:val="it-IT"/>
        </w:rPr>
        <w:t xml:space="preserve">). </w:t>
      </w:r>
    </w:p>
    <w:p w14:paraId="17D4C342" w14:textId="77777777" w:rsidR="003E0872" w:rsidRPr="00AA3013" w:rsidRDefault="003E0872" w:rsidP="00C431FE">
      <w:pPr>
        <w:rPr>
          <w:rFonts w:cs="Segoe UI"/>
          <w:szCs w:val="22"/>
          <w:lang w:val="it-IT"/>
        </w:rPr>
      </w:pPr>
    </w:p>
    <w:p w14:paraId="2254187C" w14:textId="3A70529D" w:rsidR="00E80341" w:rsidRPr="00AA3013" w:rsidRDefault="005A01CF" w:rsidP="00C431FE">
      <w:pPr>
        <w:spacing w:after="80"/>
        <w:ind w:right="-108"/>
        <w:rPr>
          <w:rFonts w:asciiTheme="majorHAnsi" w:hAnsiTheme="majorHAnsi" w:cs="Cambria"/>
          <w:bCs/>
          <w:szCs w:val="22"/>
          <w:lang w:val="it-IT"/>
        </w:rPr>
      </w:pPr>
      <w:r w:rsidRPr="00AA3013">
        <w:rPr>
          <w:rFonts w:cs="Arial"/>
          <w:szCs w:val="22"/>
          <w:lang w:val="it-IT"/>
        </w:rPr>
        <w:t xml:space="preserve">Il </w:t>
      </w:r>
      <w:r w:rsidRPr="00AA3013">
        <w:rPr>
          <w:rFonts w:cs="Arial"/>
          <w:b/>
          <w:bCs/>
          <w:szCs w:val="22"/>
          <w:lang w:val="it-IT"/>
        </w:rPr>
        <w:t>m</w:t>
      </w:r>
      <w:r w:rsidR="00E80341" w:rsidRPr="00AA3013">
        <w:rPr>
          <w:rFonts w:cs="Arial"/>
          <w:b/>
          <w:bCs/>
          <w:szCs w:val="22"/>
          <w:lang w:val="it-IT"/>
        </w:rPr>
        <w:t>argine operativo</w:t>
      </w:r>
      <w:r w:rsidRPr="00AA3013">
        <w:rPr>
          <w:rFonts w:cs="Arial"/>
          <w:b/>
          <w:bCs/>
          <w:szCs w:val="22"/>
          <w:lang w:val="it-IT"/>
        </w:rPr>
        <w:t xml:space="preserve"> depurato</w:t>
      </w:r>
      <w:r w:rsidR="00E80341" w:rsidRPr="00AA3013">
        <w:rPr>
          <w:rFonts w:cs="Arial"/>
          <w:b/>
          <w:bCs/>
          <w:szCs w:val="22"/>
          <w:lang w:val="it-IT"/>
        </w:rPr>
        <w:t xml:space="preserve"> </w:t>
      </w:r>
      <w:r w:rsidR="00E80341" w:rsidRPr="00AA3013">
        <w:rPr>
          <w:rFonts w:asciiTheme="majorHAnsi" w:hAnsiTheme="majorHAnsi" w:cs="Cambria"/>
          <w:bCs/>
          <w:szCs w:val="22"/>
          <w:lang w:val="it-IT"/>
        </w:rPr>
        <w:t>(EBIT</w:t>
      </w:r>
      <w:r w:rsidRPr="00AA3013">
        <w:rPr>
          <w:rFonts w:asciiTheme="majorHAnsi" w:hAnsiTheme="majorHAnsi" w:cs="Cambria"/>
          <w:bCs/>
          <w:szCs w:val="22"/>
          <w:lang w:val="it-IT"/>
        </w:rPr>
        <w:t xml:space="preserve"> depurato</w:t>
      </w:r>
      <w:r w:rsidR="00E80341" w:rsidRPr="00AA3013">
        <w:rPr>
          <w:rFonts w:asciiTheme="majorHAnsi" w:hAnsiTheme="majorHAnsi" w:cs="Cambria"/>
          <w:bCs/>
          <w:szCs w:val="22"/>
          <w:lang w:val="it-IT"/>
        </w:rPr>
        <w:t>)</w:t>
      </w:r>
      <w:r w:rsidRPr="00AA3013">
        <w:rPr>
          <w:rFonts w:asciiTheme="majorHAnsi" w:hAnsiTheme="majorHAnsi" w:cs="Cambria"/>
          <w:bCs/>
          <w:szCs w:val="22"/>
          <w:lang w:val="it-IT"/>
        </w:rPr>
        <w:t xml:space="preserve"> è passato da</w:t>
      </w:r>
      <w:r w:rsidR="00567475" w:rsidRPr="00AA3013">
        <w:rPr>
          <w:rFonts w:asciiTheme="majorHAnsi" w:hAnsiTheme="majorHAnsi" w:cs="Cambria"/>
          <w:bCs/>
          <w:szCs w:val="22"/>
          <w:lang w:val="it-IT"/>
        </w:rPr>
        <w:t xml:space="preserve">i </w:t>
      </w:r>
      <w:r w:rsidR="00567475" w:rsidRPr="00AA3013">
        <w:rPr>
          <w:rFonts w:cs="Segoe UI"/>
          <w:bCs/>
          <w:szCs w:val="22"/>
          <w:lang w:val="it-IT"/>
        </w:rPr>
        <w:t>1</w:t>
      </w:r>
      <w:r w:rsidR="00567475" w:rsidRPr="00AA3013">
        <w:rPr>
          <w:rFonts w:cs="Segoe UI"/>
          <w:bCs/>
          <w:szCs w:val="22"/>
          <w:lang w:val="it-IT"/>
        </w:rPr>
        <w:t>.</w:t>
      </w:r>
      <w:r w:rsidR="00567475" w:rsidRPr="00AA3013">
        <w:rPr>
          <w:rFonts w:cs="Segoe UI"/>
          <w:bCs/>
          <w:szCs w:val="22"/>
          <w:lang w:val="it-IT"/>
        </w:rPr>
        <w:t>254 milion</w:t>
      </w:r>
      <w:r w:rsidR="00567475" w:rsidRPr="00AA3013">
        <w:rPr>
          <w:rFonts w:cs="Segoe UI"/>
          <w:bCs/>
          <w:szCs w:val="22"/>
          <w:lang w:val="it-IT"/>
        </w:rPr>
        <w:t>i di</w:t>
      </w:r>
      <w:r w:rsidR="00567475" w:rsidRPr="00AA3013">
        <w:rPr>
          <w:rFonts w:cs="Segoe UI"/>
          <w:bCs/>
          <w:szCs w:val="22"/>
          <w:lang w:val="it-IT"/>
        </w:rPr>
        <w:t xml:space="preserve"> euro</w:t>
      </w:r>
      <w:r w:rsidR="00567475" w:rsidRPr="00AA3013">
        <w:rPr>
          <w:rFonts w:cs="Segoe UI"/>
          <w:bCs/>
          <w:szCs w:val="22"/>
          <w:lang w:val="it-IT"/>
        </w:rPr>
        <w:t xml:space="preserve"> del primo semestre 2023 ai</w:t>
      </w:r>
      <w:r w:rsidR="00E80341" w:rsidRPr="00AA3013">
        <w:rPr>
          <w:rFonts w:asciiTheme="majorHAnsi" w:hAnsiTheme="majorHAnsi" w:cs="Cambria"/>
          <w:bCs/>
          <w:szCs w:val="22"/>
          <w:lang w:val="it-IT"/>
        </w:rPr>
        <w:t xml:space="preserve"> 1.610 milioni di euro</w:t>
      </w:r>
      <w:r w:rsidR="00567475" w:rsidRPr="00AA3013">
        <w:rPr>
          <w:rFonts w:asciiTheme="majorHAnsi" w:hAnsiTheme="majorHAnsi" w:cs="Cambria"/>
          <w:bCs/>
          <w:szCs w:val="22"/>
          <w:lang w:val="it-IT"/>
        </w:rPr>
        <w:t xml:space="preserve"> </w:t>
      </w:r>
      <w:r w:rsidR="008E7A2A" w:rsidRPr="00AA3013">
        <w:rPr>
          <w:rFonts w:asciiTheme="majorHAnsi" w:hAnsiTheme="majorHAnsi" w:cs="Cambria"/>
          <w:bCs/>
          <w:szCs w:val="22"/>
          <w:lang w:val="it-IT"/>
        </w:rPr>
        <w:t>della prima metà di quest’anno,</w:t>
      </w:r>
      <w:r w:rsidR="00E80341" w:rsidRPr="00AA3013">
        <w:rPr>
          <w:rFonts w:asciiTheme="majorHAnsi" w:hAnsiTheme="majorHAnsi" w:cs="Cambria"/>
          <w:bCs/>
          <w:szCs w:val="22"/>
          <w:lang w:val="it-IT"/>
        </w:rPr>
        <w:t xml:space="preserve"> </w:t>
      </w:r>
      <w:r w:rsidR="008E7A2A" w:rsidRPr="00AA3013">
        <w:rPr>
          <w:rFonts w:asciiTheme="majorHAnsi" w:hAnsiTheme="majorHAnsi" w:cs="Cambria"/>
          <w:bCs/>
          <w:szCs w:val="22"/>
          <w:lang w:val="it-IT"/>
        </w:rPr>
        <w:t xml:space="preserve">con un aumento del </w:t>
      </w:r>
      <w:r w:rsidR="00E80341" w:rsidRPr="00AA3013">
        <w:rPr>
          <w:rFonts w:asciiTheme="majorHAnsi" w:hAnsiTheme="majorHAnsi" w:cs="Cambria"/>
          <w:bCs/>
          <w:szCs w:val="22"/>
          <w:lang w:val="it-IT"/>
        </w:rPr>
        <w:t>28,4%</w:t>
      </w:r>
      <w:r w:rsidR="008E7A2A" w:rsidRPr="00AA3013">
        <w:rPr>
          <w:rFonts w:asciiTheme="majorHAnsi" w:hAnsiTheme="majorHAnsi" w:cs="Cambria"/>
          <w:bCs/>
          <w:szCs w:val="22"/>
          <w:lang w:val="it-IT"/>
        </w:rPr>
        <w:t xml:space="preserve"> dovuto in particolare alla forte</w:t>
      </w:r>
      <w:r w:rsidR="00C431FE" w:rsidRPr="00AA3013">
        <w:rPr>
          <w:rFonts w:asciiTheme="majorHAnsi" w:hAnsiTheme="majorHAnsi" w:cs="Cambria"/>
          <w:bCs/>
          <w:szCs w:val="22"/>
          <w:lang w:val="it-IT"/>
        </w:rPr>
        <w:t xml:space="preserve"> crescita del margine lordo.</w:t>
      </w:r>
      <w:r w:rsidR="00DA62A8" w:rsidRPr="00AA3013">
        <w:rPr>
          <w:rFonts w:asciiTheme="majorHAnsi" w:hAnsiTheme="majorHAnsi" w:cs="Cambria"/>
          <w:bCs/>
          <w:szCs w:val="22"/>
          <w:lang w:val="it-IT"/>
        </w:rPr>
        <w:t xml:space="preserve"> </w:t>
      </w:r>
      <w:r w:rsidR="00C431FE" w:rsidRPr="00AA3013">
        <w:rPr>
          <w:lang w:val="it-IT"/>
        </w:rPr>
        <w:t xml:space="preserve">Il </w:t>
      </w:r>
      <w:r w:rsidR="00C431FE" w:rsidRPr="00AA3013">
        <w:rPr>
          <w:b/>
          <w:bCs/>
          <w:lang w:val="it-IT"/>
        </w:rPr>
        <w:t>tasso depurato di ritorno sulle vendite</w:t>
      </w:r>
      <w:r w:rsidR="00C431FE" w:rsidRPr="00AA3013">
        <w:rPr>
          <w:lang w:val="it-IT"/>
        </w:rPr>
        <w:t xml:space="preserve"> (margine EBIT</w:t>
      </w:r>
      <w:r w:rsidR="00C431FE" w:rsidRPr="00AA3013">
        <w:rPr>
          <w:lang w:val="it-IT"/>
        </w:rPr>
        <w:t xml:space="preserve"> depurato</w:t>
      </w:r>
      <w:r w:rsidR="00C431FE" w:rsidRPr="00AA3013">
        <w:rPr>
          <w:lang w:val="it-IT"/>
        </w:rPr>
        <w:t>)</w:t>
      </w:r>
      <w:r w:rsidR="00C431FE" w:rsidRPr="00AA3013">
        <w:rPr>
          <w:lang w:val="it-IT"/>
        </w:rPr>
        <w:t xml:space="preserve"> </w:t>
      </w:r>
      <w:r w:rsidR="00DA62A8" w:rsidRPr="00AA3013">
        <w:rPr>
          <w:lang w:val="it-IT"/>
        </w:rPr>
        <w:t>ha visto di conseguenza</w:t>
      </w:r>
      <w:r w:rsidR="003417F1" w:rsidRPr="00AA3013">
        <w:rPr>
          <w:lang w:val="it-IT"/>
        </w:rPr>
        <w:t xml:space="preserve"> il significativo incremento di 340 punti base, </w:t>
      </w:r>
      <w:r w:rsidR="006D63C2" w:rsidRPr="00AA3013">
        <w:rPr>
          <w:lang w:val="it-IT"/>
        </w:rPr>
        <w:t>d</w:t>
      </w:r>
      <w:r w:rsidR="0019380E" w:rsidRPr="00AA3013">
        <w:rPr>
          <w:lang w:val="it-IT"/>
        </w:rPr>
        <w:t xml:space="preserve">all’11,5 al </w:t>
      </w:r>
      <w:r w:rsidR="00E80341" w:rsidRPr="00AA3013">
        <w:rPr>
          <w:rFonts w:asciiTheme="majorHAnsi" w:hAnsiTheme="majorHAnsi" w:cs="Cambria"/>
          <w:bCs/>
          <w:szCs w:val="22"/>
          <w:lang w:val="it-IT"/>
        </w:rPr>
        <w:t>14,9%</w:t>
      </w:r>
      <w:r w:rsidR="0019380E" w:rsidRPr="00AA3013">
        <w:rPr>
          <w:rFonts w:asciiTheme="majorHAnsi" w:hAnsiTheme="majorHAnsi" w:cs="Cambria"/>
          <w:bCs/>
          <w:szCs w:val="22"/>
          <w:lang w:val="it-IT"/>
        </w:rPr>
        <w:t>.</w:t>
      </w:r>
    </w:p>
    <w:p w14:paraId="69C3840E" w14:textId="77777777" w:rsidR="00E80341" w:rsidRPr="00AA3013" w:rsidRDefault="00E80341" w:rsidP="008E7A2A">
      <w:pPr>
        <w:rPr>
          <w:rFonts w:cs="Segoe UI"/>
          <w:szCs w:val="22"/>
          <w:lang w:val="it-IT"/>
        </w:rPr>
      </w:pPr>
    </w:p>
    <w:p w14:paraId="43109D7E" w14:textId="5409BB21" w:rsidR="003E0872" w:rsidRPr="00AA3013" w:rsidRDefault="0019380E" w:rsidP="007017B9">
      <w:pPr>
        <w:rPr>
          <w:rFonts w:cs="Segoe UI"/>
          <w:bCs/>
          <w:szCs w:val="22"/>
          <w:lang w:val="it-IT"/>
        </w:rPr>
      </w:pPr>
      <w:r w:rsidRPr="00AA3013">
        <w:rPr>
          <w:rFonts w:cs="Segoe UI"/>
          <w:bCs/>
          <w:szCs w:val="22"/>
          <w:lang w:val="it-IT"/>
        </w:rPr>
        <w:t>L'</w:t>
      </w:r>
      <w:r w:rsidRPr="00AA3013">
        <w:rPr>
          <w:rFonts w:cs="Segoe UI"/>
          <w:b/>
          <w:szCs w:val="22"/>
          <w:lang w:val="it-IT"/>
        </w:rPr>
        <w:t>utile per azione privilegiata</w:t>
      </w:r>
      <w:r w:rsidRPr="00AA3013">
        <w:rPr>
          <w:rFonts w:cs="Segoe UI"/>
          <w:bCs/>
          <w:szCs w:val="22"/>
          <w:lang w:val="it-IT"/>
        </w:rPr>
        <w:t xml:space="preserve"> (EPS) è cresciuto </w:t>
      </w:r>
      <w:r w:rsidR="003D0BF4" w:rsidRPr="00AA3013">
        <w:rPr>
          <w:rFonts w:cs="Segoe UI"/>
          <w:bCs/>
          <w:szCs w:val="22"/>
          <w:lang w:val="it-IT"/>
        </w:rPr>
        <w:t xml:space="preserve">a 2,46 euro (anno precedente: 1,35 euro). L’utile depurato è aumentato del 30,5% a 2,78 euro dai 2,13 euro dello stesso periodo dell’anno scorso. Il notevole risultato </w:t>
      </w:r>
      <w:r w:rsidR="00287972" w:rsidRPr="00AA3013">
        <w:rPr>
          <w:rFonts w:cs="Segoe UI"/>
          <w:bCs/>
          <w:szCs w:val="22"/>
          <w:lang w:val="it-IT"/>
        </w:rPr>
        <w:t xml:space="preserve">è stato raggiunto grazie </w:t>
      </w:r>
      <w:r w:rsidR="001118EA" w:rsidRPr="00AA3013">
        <w:rPr>
          <w:rFonts w:cs="Segoe UI"/>
          <w:bCs/>
          <w:szCs w:val="22"/>
          <w:lang w:val="it-IT"/>
        </w:rPr>
        <w:t xml:space="preserve">soprattutto </w:t>
      </w:r>
      <w:r w:rsidR="00287972" w:rsidRPr="00AA3013">
        <w:rPr>
          <w:rFonts w:cs="Segoe UI"/>
          <w:bCs/>
          <w:szCs w:val="22"/>
          <w:lang w:val="it-IT"/>
        </w:rPr>
        <w:t>allo sviluppo</w:t>
      </w:r>
      <w:r w:rsidR="00C87307" w:rsidRPr="00AA3013">
        <w:rPr>
          <w:rFonts w:cs="Segoe UI"/>
          <w:bCs/>
          <w:szCs w:val="22"/>
          <w:lang w:val="it-IT"/>
        </w:rPr>
        <w:t xml:space="preserve"> del margine operativo depurato. A tassi costanti di cambio, l’utile depurato per azione privilegiata </w:t>
      </w:r>
      <w:r w:rsidR="007017B9" w:rsidRPr="00AA3013">
        <w:rPr>
          <w:rFonts w:cs="Segoe UI"/>
          <w:bCs/>
          <w:szCs w:val="22"/>
          <w:lang w:val="it-IT"/>
        </w:rPr>
        <w:t xml:space="preserve">ha visto un incremento del </w:t>
      </w:r>
      <w:r w:rsidR="003E0872" w:rsidRPr="00AA3013">
        <w:rPr>
          <w:rFonts w:cs="Segoe UI"/>
          <w:bCs/>
          <w:szCs w:val="22"/>
          <w:lang w:val="it-IT"/>
        </w:rPr>
        <w:t>32</w:t>
      </w:r>
      <w:r w:rsidR="007017B9" w:rsidRPr="00AA3013">
        <w:rPr>
          <w:rFonts w:cs="Segoe UI"/>
          <w:bCs/>
          <w:szCs w:val="22"/>
          <w:lang w:val="it-IT"/>
        </w:rPr>
        <w:t>,</w:t>
      </w:r>
      <w:r w:rsidR="003E0872" w:rsidRPr="00AA3013">
        <w:rPr>
          <w:rFonts w:cs="Segoe UI"/>
          <w:bCs/>
          <w:szCs w:val="22"/>
          <w:lang w:val="it-IT"/>
        </w:rPr>
        <w:t>9</w:t>
      </w:r>
      <w:r w:rsidR="007017B9" w:rsidRPr="00AA3013">
        <w:rPr>
          <w:rFonts w:cs="Segoe UI"/>
          <w:bCs/>
          <w:szCs w:val="22"/>
          <w:lang w:val="it-IT"/>
        </w:rPr>
        <w:t>%</w:t>
      </w:r>
      <w:r w:rsidR="003E0872" w:rsidRPr="00AA3013">
        <w:rPr>
          <w:rFonts w:cs="Segoe UI"/>
          <w:bCs/>
          <w:szCs w:val="22"/>
          <w:lang w:val="it-IT"/>
        </w:rPr>
        <w:t>.</w:t>
      </w:r>
    </w:p>
    <w:p w14:paraId="6F76D578" w14:textId="77777777" w:rsidR="003E0872" w:rsidRPr="00AA3013" w:rsidRDefault="003E0872" w:rsidP="003E0872">
      <w:pPr>
        <w:rPr>
          <w:rFonts w:cs="Segoe UI"/>
          <w:szCs w:val="22"/>
          <w:lang w:val="it-IT"/>
        </w:rPr>
      </w:pPr>
    </w:p>
    <w:p w14:paraId="3CE84F9C" w14:textId="6E49D28F" w:rsidR="003E0872" w:rsidRPr="00AA3013" w:rsidRDefault="007017B9" w:rsidP="003E0872">
      <w:pPr>
        <w:rPr>
          <w:rFonts w:cs="Segoe UI"/>
          <w:szCs w:val="22"/>
          <w:lang w:val="it-IT"/>
        </w:rPr>
      </w:pPr>
      <w:r w:rsidRPr="00AA3013">
        <w:rPr>
          <w:rFonts w:cs="Segoe UI"/>
          <w:szCs w:val="22"/>
          <w:lang w:val="it-IT"/>
        </w:rPr>
        <w:lastRenderedPageBreak/>
        <w:t xml:space="preserve">Il </w:t>
      </w:r>
      <w:r w:rsidRPr="00AA3013">
        <w:rPr>
          <w:rFonts w:cs="Segoe UI"/>
          <w:b/>
          <w:bCs/>
          <w:szCs w:val="22"/>
          <w:lang w:val="it-IT"/>
        </w:rPr>
        <w:t xml:space="preserve">capitale circolante netto </w:t>
      </w:r>
      <w:r w:rsidRPr="00AA3013">
        <w:rPr>
          <w:rFonts w:cs="Segoe UI"/>
          <w:szCs w:val="22"/>
          <w:lang w:val="it-IT"/>
        </w:rPr>
        <w:t>è sceso di</w:t>
      </w:r>
      <w:r w:rsidR="003E0872" w:rsidRPr="00AA3013">
        <w:rPr>
          <w:rFonts w:cs="Segoe UI"/>
          <w:szCs w:val="22"/>
          <w:lang w:val="it-IT"/>
        </w:rPr>
        <w:t xml:space="preserve"> 0</w:t>
      </w:r>
      <w:r w:rsidRPr="00AA3013">
        <w:rPr>
          <w:rFonts w:cs="Segoe UI"/>
          <w:szCs w:val="22"/>
          <w:lang w:val="it-IT"/>
        </w:rPr>
        <w:t>,</w:t>
      </w:r>
      <w:r w:rsidR="003E0872" w:rsidRPr="00AA3013">
        <w:rPr>
          <w:rFonts w:cs="Segoe UI"/>
          <w:szCs w:val="22"/>
          <w:lang w:val="it-IT"/>
        </w:rPr>
        <w:t xml:space="preserve">9 </w:t>
      </w:r>
      <w:r w:rsidRPr="00AA3013">
        <w:rPr>
          <w:rFonts w:cs="Segoe UI"/>
          <w:szCs w:val="22"/>
          <w:lang w:val="it-IT"/>
        </w:rPr>
        <w:t>punti percentuali rispetto al medesimo periodo dello scorso anno,</w:t>
      </w:r>
      <w:r w:rsidR="003E0872" w:rsidRPr="00AA3013">
        <w:rPr>
          <w:rFonts w:cs="Segoe UI"/>
          <w:szCs w:val="22"/>
          <w:lang w:val="it-IT"/>
        </w:rPr>
        <w:t xml:space="preserve"> </w:t>
      </w:r>
      <w:r w:rsidRPr="00AA3013">
        <w:rPr>
          <w:rFonts w:cs="Segoe UI"/>
          <w:szCs w:val="22"/>
          <w:lang w:val="it-IT"/>
        </w:rPr>
        <w:t>da</w:t>
      </w:r>
      <w:r w:rsidR="003E0872" w:rsidRPr="00AA3013">
        <w:rPr>
          <w:rFonts w:cs="Segoe UI"/>
          <w:szCs w:val="22"/>
          <w:lang w:val="it-IT"/>
        </w:rPr>
        <w:t xml:space="preserve"> 6</w:t>
      </w:r>
      <w:r w:rsidRPr="00AA3013">
        <w:rPr>
          <w:rFonts w:cs="Segoe UI"/>
          <w:szCs w:val="22"/>
          <w:lang w:val="it-IT"/>
        </w:rPr>
        <w:t>,</w:t>
      </w:r>
      <w:r w:rsidR="003E0872" w:rsidRPr="00AA3013">
        <w:rPr>
          <w:rFonts w:cs="Segoe UI"/>
          <w:szCs w:val="22"/>
          <w:lang w:val="it-IT"/>
        </w:rPr>
        <w:t xml:space="preserve">1 </w:t>
      </w:r>
      <w:r w:rsidRPr="00AA3013">
        <w:rPr>
          <w:rFonts w:cs="Segoe UI"/>
          <w:szCs w:val="22"/>
          <w:lang w:val="it-IT"/>
        </w:rPr>
        <w:t>a</w:t>
      </w:r>
      <w:r w:rsidR="003E0872" w:rsidRPr="00AA3013">
        <w:rPr>
          <w:rFonts w:cs="Segoe UI"/>
          <w:szCs w:val="22"/>
          <w:lang w:val="it-IT"/>
        </w:rPr>
        <w:t xml:space="preserve"> 5</w:t>
      </w:r>
      <w:r w:rsidRPr="00AA3013">
        <w:rPr>
          <w:rFonts w:cs="Segoe UI"/>
          <w:szCs w:val="22"/>
          <w:lang w:val="it-IT"/>
        </w:rPr>
        <w:t>,</w:t>
      </w:r>
      <w:r w:rsidR="003E0872" w:rsidRPr="00AA3013">
        <w:rPr>
          <w:rFonts w:cs="Segoe UI"/>
          <w:szCs w:val="22"/>
          <w:lang w:val="it-IT"/>
        </w:rPr>
        <w:t>2</w:t>
      </w:r>
      <w:r w:rsidRPr="00AA3013">
        <w:rPr>
          <w:rFonts w:cs="Segoe UI"/>
          <w:szCs w:val="22"/>
          <w:lang w:val="it-IT"/>
        </w:rPr>
        <w:t>%</w:t>
      </w:r>
      <w:r w:rsidR="003E0872" w:rsidRPr="00AA3013">
        <w:rPr>
          <w:rFonts w:cs="Segoe UI"/>
          <w:szCs w:val="22"/>
          <w:lang w:val="it-IT"/>
        </w:rPr>
        <w:t>.</w:t>
      </w:r>
    </w:p>
    <w:p w14:paraId="3742E69E" w14:textId="77777777" w:rsidR="003E0872" w:rsidRPr="00AA3013" w:rsidRDefault="003E0872" w:rsidP="003E0872">
      <w:pPr>
        <w:rPr>
          <w:rFonts w:cs="Segoe UI"/>
          <w:szCs w:val="22"/>
          <w:highlight w:val="yellow"/>
          <w:lang w:val="it-IT"/>
        </w:rPr>
      </w:pPr>
    </w:p>
    <w:p w14:paraId="1C96182A" w14:textId="7873298F" w:rsidR="003E0872" w:rsidRPr="00AA3013" w:rsidRDefault="007017B9" w:rsidP="003E0872">
      <w:pPr>
        <w:autoSpaceDE w:val="0"/>
        <w:autoSpaceDN w:val="0"/>
        <w:adjustRightInd w:val="0"/>
        <w:rPr>
          <w:lang w:val="it-IT"/>
        </w:rPr>
      </w:pPr>
      <w:r w:rsidRPr="00AA3013">
        <w:rPr>
          <w:rFonts w:cs="Segoe UI"/>
          <w:szCs w:val="22"/>
          <w:lang w:val="it-IT"/>
        </w:rPr>
        <w:t xml:space="preserve">Il </w:t>
      </w:r>
      <w:r w:rsidRPr="00AA3013">
        <w:rPr>
          <w:rFonts w:cs="Segoe UI"/>
          <w:b/>
          <w:bCs/>
          <w:szCs w:val="22"/>
          <w:lang w:val="it-IT"/>
        </w:rPr>
        <w:t xml:space="preserve">flusso libero di cassa </w:t>
      </w:r>
      <w:r w:rsidRPr="00AA3013">
        <w:rPr>
          <w:rFonts w:cs="Segoe UI"/>
          <w:szCs w:val="22"/>
          <w:lang w:val="it-IT"/>
        </w:rPr>
        <w:t>ha raggiunto quota</w:t>
      </w:r>
      <w:r w:rsidR="003E0872" w:rsidRPr="00AA3013">
        <w:rPr>
          <w:rFonts w:cs="Segoe UI"/>
          <w:szCs w:val="22"/>
          <w:lang w:val="it-IT"/>
        </w:rPr>
        <w:t xml:space="preserve"> 772 milion</w:t>
      </w:r>
      <w:r w:rsidRPr="00AA3013">
        <w:rPr>
          <w:rFonts w:cs="Segoe UI"/>
          <w:szCs w:val="22"/>
          <w:lang w:val="it-IT"/>
        </w:rPr>
        <w:t>i di</w:t>
      </w:r>
      <w:r w:rsidR="003E0872" w:rsidRPr="00AA3013">
        <w:rPr>
          <w:rFonts w:cs="Segoe UI"/>
          <w:szCs w:val="22"/>
          <w:lang w:val="it-IT"/>
        </w:rPr>
        <w:t xml:space="preserve"> euro</w:t>
      </w:r>
      <w:r w:rsidRPr="00AA3013">
        <w:rPr>
          <w:rFonts w:cs="Segoe UI"/>
          <w:szCs w:val="22"/>
          <w:lang w:val="it-IT"/>
        </w:rPr>
        <w:t xml:space="preserve">, dunque sopra </w:t>
      </w:r>
      <w:r w:rsidR="004C584B" w:rsidRPr="00AA3013">
        <w:rPr>
          <w:rFonts w:cs="Segoe UI"/>
          <w:szCs w:val="22"/>
          <w:lang w:val="it-IT"/>
        </w:rPr>
        <w:t>il valore della prima metà del</w:t>
      </w:r>
      <w:r w:rsidR="003E0872" w:rsidRPr="00AA3013">
        <w:rPr>
          <w:rFonts w:cs="Segoe UI"/>
          <w:szCs w:val="22"/>
          <w:lang w:val="it-IT"/>
        </w:rPr>
        <w:t xml:space="preserve"> 2023 (749 milion</w:t>
      </w:r>
      <w:r w:rsidR="004C584B" w:rsidRPr="00AA3013">
        <w:rPr>
          <w:rFonts w:cs="Segoe UI"/>
          <w:szCs w:val="22"/>
          <w:lang w:val="it-IT"/>
        </w:rPr>
        <w:t>i</w:t>
      </w:r>
      <w:r w:rsidR="003E0872" w:rsidRPr="00AA3013">
        <w:rPr>
          <w:rFonts w:cs="Segoe UI"/>
          <w:szCs w:val="22"/>
          <w:lang w:val="it-IT"/>
        </w:rPr>
        <w:t xml:space="preserve"> </w:t>
      </w:r>
      <w:r w:rsidR="004C584B" w:rsidRPr="00AA3013">
        <w:rPr>
          <w:rFonts w:cs="Segoe UI"/>
          <w:szCs w:val="22"/>
          <w:lang w:val="it-IT"/>
        </w:rPr>
        <w:t xml:space="preserve">di </w:t>
      </w:r>
      <w:r w:rsidR="003E0872" w:rsidRPr="00AA3013">
        <w:rPr>
          <w:rFonts w:cs="Segoe UI"/>
          <w:szCs w:val="22"/>
          <w:lang w:val="it-IT"/>
        </w:rPr>
        <w:t>euro)</w:t>
      </w:r>
      <w:r w:rsidR="00FB5000" w:rsidRPr="00AA3013">
        <w:rPr>
          <w:rFonts w:cs="Segoe UI"/>
          <w:szCs w:val="22"/>
          <w:lang w:val="it-IT"/>
        </w:rPr>
        <w:t>, riflettendo il maggior flusso di cassa derivante da</w:t>
      </w:r>
      <w:r w:rsidR="001F074E">
        <w:rPr>
          <w:rFonts w:cs="Segoe UI"/>
          <w:szCs w:val="22"/>
          <w:lang w:val="it-IT"/>
        </w:rPr>
        <w:t>l</w:t>
      </w:r>
      <w:r w:rsidR="00FB5000" w:rsidRPr="00AA3013">
        <w:rPr>
          <w:rFonts w:cs="Segoe UI"/>
          <w:szCs w:val="22"/>
          <w:lang w:val="it-IT"/>
        </w:rPr>
        <w:t>le attività operative.</w:t>
      </w:r>
      <w:r w:rsidR="003E0872" w:rsidRPr="00AA3013">
        <w:rPr>
          <w:rFonts w:cs="Segoe UI"/>
          <w:szCs w:val="22"/>
          <w:lang w:val="it-IT"/>
        </w:rPr>
        <w:t xml:space="preserve"> </w:t>
      </w:r>
    </w:p>
    <w:p w14:paraId="4529B1CA" w14:textId="77777777" w:rsidR="003E0872" w:rsidRPr="00AA3013" w:rsidRDefault="003E0872" w:rsidP="003E0872">
      <w:pPr>
        <w:autoSpaceDE w:val="0"/>
        <w:autoSpaceDN w:val="0"/>
        <w:adjustRightInd w:val="0"/>
        <w:rPr>
          <w:rFonts w:cs="Segoe UI"/>
          <w:szCs w:val="22"/>
          <w:highlight w:val="yellow"/>
          <w:lang w:val="it-IT"/>
        </w:rPr>
      </w:pPr>
    </w:p>
    <w:p w14:paraId="6B966480" w14:textId="55530B35" w:rsidR="003E0872" w:rsidRPr="00AA3013" w:rsidRDefault="00800B4E" w:rsidP="003E0872">
      <w:pPr>
        <w:rPr>
          <w:rFonts w:cs="Segoe UI"/>
          <w:szCs w:val="22"/>
          <w:lang w:val="it-IT"/>
        </w:rPr>
      </w:pPr>
      <w:r w:rsidRPr="00AA3013">
        <w:rPr>
          <w:rFonts w:cs="Segoe UI"/>
          <w:szCs w:val="22"/>
          <w:lang w:val="it-IT"/>
        </w:rPr>
        <w:t xml:space="preserve">Al 30 giugno </w:t>
      </w:r>
      <w:r w:rsidR="003E0872" w:rsidRPr="00AA3013">
        <w:rPr>
          <w:rFonts w:cs="Segoe UI"/>
          <w:szCs w:val="22"/>
          <w:lang w:val="it-IT"/>
        </w:rPr>
        <w:t xml:space="preserve">2024, </w:t>
      </w:r>
      <w:r w:rsidRPr="00AA3013">
        <w:rPr>
          <w:rFonts w:cs="Segoe UI"/>
          <w:szCs w:val="22"/>
          <w:lang w:val="it-IT"/>
        </w:rPr>
        <w:t>la</w:t>
      </w:r>
      <w:r w:rsidR="003E0872" w:rsidRPr="00AA3013">
        <w:rPr>
          <w:rFonts w:cs="Segoe UI"/>
          <w:szCs w:val="22"/>
          <w:lang w:val="it-IT"/>
        </w:rPr>
        <w:t xml:space="preserve"> </w:t>
      </w:r>
      <w:r w:rsidRPr="00AA3013">
        <w:rPr>
          <w:rFonts w:cs="Segoe UI"/>
          <w:b/>
          <w:bCs/>
          <w:szCs w:val="22"/>
          <w:lang w:val="it-IT"/>
        </w:rPr>
        <w:t>posi</w:t>
      </w:r>
      <w:r w:rsidRPr="00AA3013">
        <w:rPr>
          <w:rFonts w:cs="Segoe UI"/>
          <w:b/>
          <w:bCs/>
          <w:szCs w:val="22"/>
          <w:lang w:val="it-IT"/>
        </w:rPr>
        <w:t>z</w:t>
      </w:r>
      <w:r w:rsidRPr="00AA3013">
        <w:rPr>
          <w:rFonts w:cs="Segoe UI"/>
          <w:b/>
          <w:bCs/>
          <w:szCs w:val="22"/>
          <w:lang w:val="it-IT"/>
        </w:rPr>
        <w:t>ion</w:t>
      </w:r>
      <w:r w:rsidRPr="00AA3013">
        <w:rPr>
          <w:rFonts w:cs="Segoe UI"/>
          <w:b/>
          <w:bCs/>
          <w:szCs w:val="22"/>
          <w:lang w:val="it-IT"/>
        </w:rPr>
        <w:t xml:space="preserve">e finanziaria </w:t>
      </w:r>
      <w:r w:rsidR="003E0872" w:rsidRPr="00AA3013">
        <w:rPr>
          <w:rFonts w:cs="Segoe UI"/>
          <w:b/>
          <w:bCs/>
          <w:szCs w:val="22"/>
          <w:lang w:val="it-IT"/>
        </w:rPr>
        <w:t>net</w:t>
      </w:r>
      <w:r w:rsidRPr="00AA3013">
        <w:rPr>
          <w:rFonts w:cs="Segoe UI"/>
          <w:b/>
          <w:bCs/>
          <w:szCs w:val="22"/>
          <w:lang w:val="it-IT"/>
        </w:rPr>
        <w:t>ta</w:t>
      </w:r>
      <w:r w:rsidR="003E0872" w:rsidRPr="00AA3013">
        <w:rPr>
          <w:rFonts w:cs="Segoe UI"/>
          <w:b/>
          <w:bCs/>
          <w:szCs w:val="22"/>
          <w:lang w:val="it-IT"/>
        </w:rPr>
        <w:t xml:space="preserve"> </w:t>
      </w:r>
      <w:r w:rsidR="003E0872" w:rsidRPr="00AA3013">
        <w:rPr>
          <w:rFonts w:cs="Segoe UI"/>
          <w:szCs w:val="22"/>
          <w:lang w:val="it-IT"/>
        </w:rPr>
        <w:t>am</w:t>
      </w:r>
      <w:r w:rsidRPr="00AA3013">
        <w:rPr>
          <w:rFonts w:cs="Segoe UI"/>
          <w:szCs w:val="22"/>
          <w:lang w:val="it-IT"/>
        </w:rPr>
        <w:t>montava a</w:t>
      </w:r>
      <w:r w:rsidR="003E0872" w:rsidRPr="00AA3013">
        <w:rPr>
          <w:rFonts w:cs="Segoe UI"/>
          <w:szCs w:val="22"/>
          <w:lang w:val="it-IT"/>
        </w:rPr>
        <w:t xml:space="preserve"> -1</w:t>
      </w:r>
      <w:r w:rsidRPr="00AA3013">
        <w:rPr>
          <w:rFonts w:cs="Segoe UI"/>
          <w:szCs w:val="22"/>
          <w:lang w:val="it-IT"/>
        </w:rPr>
        <w:t>.</w:t>
      </w:r>
      <w:r w:rsidR="003E0872" w:rsidRPr="00AA3013">
        <w:rPr>
          <w:rFonts w:cs="Segoe UI"/>
          <w:szCs w:val="22"/>
          <w:lang w:val="it-IT"/>
        </w:rPr>
        <w:t>440 milion</w:t>
      </w:r>
      <w:r w:rsidRPr="00AA3013">
        <w:rPr>
          <w:rFonts w:cs="Segoe UI"/>
          <w:szCs w:val="22"/>
          <w:lang w:val="it-IT"/>
        </w:rPr>
        <w:t>i di</w:t>
      </w:r>
      <w:r w:rsidR="003E0872" w:rsidRPr="00AA3013">
        <w:rPr>
          <w:rFonts w:cs="Segoe UI"/>
          <w:szCs w:val="22"/>
          <w:lang w:val="it-IT"/>
        </w:rPr>
        <w:t xml:space="preserve"> euro (</w:t>
      </w:r>
      <w:r w:rsidRPr="00AA3013">
        <w:rPr>
          <w:rFonts w:cs="Segoe UI"/>
          <w:szCs w:val="22"/>
          <w:lang w:val="it-IT"/>
        </w:rPr>
        <w:t>12 milion</w:t>
      </w:r>
      <w:r w:rsidRPr="00AA3013">
        <w:rPr>
          <w:rFonts w:cs="Segoe UI"/>
          <w:szCs w:val="22"/>
          <w:lang w:val="it-IT"/>
        </w:rPr>
        <w:t>i di</w:t>
      </w:r>
      <w:r w:rsidRPr="00AA3013">
        <w:rPr>
          <w:rFonts w:cs="Segoe UI"/>
          <w:szCs w:val="22"/>
          <w:lang w:val="it-IT"/>
        </w:rPr>
        <w:t xml:space="preserve"> euro</w:t>
      </w:r>
      <w:r w:rsidRPr="00AA3013">
        <w:rPr>
          <w:rFonts w:cs="Segoe UI"/>
          <w:szCs w:val="22"/>
          <w:lang w:val="it-IT"/>
        </w:rPr>
        <w:t xml:space="preserve"> al 31 dicembre</w:t>
      </w:r>
      <w:r w:rsidR="003E0872" w:rsidRPr="00AA3013">
        <w:rPr>
          <w:rFonts w:cs="Segoe UI"/>
          <w:szCs w:val="22"/>
          <w:lang w:val="it-IT"/>
        </w:rPr>
        <w:t xml:space="preserve"> 2023)</w:t>
      </w:r>
      <w:r w:rsidRPr="00AA3013">
        <w:rPr>
          <w:rFonts w:cs="Segoe UI"/>
          <w:szCs w:val="22"/>
          <w:lang w:val="it-IT"/>
        </w:rPr>
        <w:t>.</w:t>
      </w:r>
    </w:p>
    <w:p w14:paraId="039A85B4" w14:textId="77777777" w:rsidR="003E0872" w:rsidRPr="00AA3013" w:rsidRDefault="003E0872" w:rsidP="003E0872">
      <w:pPr>
        <w:spacing w:line="240" w:lineRule="auto"/>
        <w:jc w:val="left"/>
        <w:rPr>
          <w:rFonts w:cs="Segoe UI"/>
          <w:color w:val="3B3B3B"/>
          <w:shd w:val="clear" w:color="auto" w:fill="FFFFFF"/>
          <w:lang w:val="it-IT"/>
        </w:rPr>
      </w:pPr>
    </w:p>
    <w:p w14:paraId="5A07FFF7" w14:textId="77777777" w:rsidR="003E0872" w:rsidRPr="00AA3013" w:rsidRDefault="003E0872" w:rsidP="003E0872">
      <w:pPr>
        <w:spacing w:after="120"/>
        <w:rPr>
          <w:rFonts w:cs="Segoe UI"/>
          <w:b/>
          <w:szCs w:val="22"/>
          <w:lang w:val="it-IT"/>
        </w:rPr>
      </w:pPr>
    </w:p>
    <w:p w14:paraId="7FF37BB2" w14:textId="57B957D5" w:rsidR="003E0872" w:rsidRPr="00AA3013" w:rsidRDefault="003E0872" w:rsidP="003E0872">
      <w:pPr>
        <w:spacing w:after="120"/>
        <w:rPr>
          <w:rFonts w:cs="Segoe UI"/>
          <w:bCs/>
          <w:szCs w:val="22"/>
          <w:lang w:val="it-IT"/>
        </w:rPr>
      </w:pPr>
      <w:r w:rsidRPr="00AA3013">
        <w:rPr>
          <w:rFonts w:cs="Segoe UI"/>
          <w:b/>
          <w:szCs w:val="22"/>
          <w:lang w:val="it-IT"/>
        </w:rPr>
        <w:t>Nota</w:t>
      </w:r>
      <w:r w:rsidRPr="00AA3013">
        <w:rPr>
          <w:rFonts w:cs="Segoe UI"/>
          <w:b/>
          <w:szCs w:val="22"/>
          <w:lang w:val="it-IT"/>
        </w:rPr>
        <w:t xml:space="preserve">: </w:t>
      </w:r>
      <w:r w:rsidRPr="00AA3013">
        <w:rPr>
          <w:rFonts w:cs="Segoe UI"/>
          <w:bCs/>
          <w:szCs w:val="22"/>
          <w:lang w:val="it-IT"/>
        </w:rPr>
        <w:t>il comunicato stampa integrale è disponibile in</w:t>
      </w:r>
      <w:r w:rsidRPr="00AA3013">
        <w:rPr>
          <w:rFonts w:cs="Segoe UI"/>
          <w:bCs/>
          <w:szCs w:val="22"/>
          <w:lang w:val="it-IT"/>
        </w:rPr>
        <w:t xml:space="preserve"> </w:t>
      </w:r>
      <w:r w:rsidRPr="00AA3013">
        <w:rPr>
          <w:rFonts w:cs="Segoe UI"/>
          <w:bCs/>
          <w:szCs w:val="22"/>
          <w:lang w:val="it-IT"/>
        </w:rPr>
        <w:t xml:space="preserve">inglese </w:t>
      </w:r>
      <w:r w:rsidR="00E1484A" w:rsidRPr="00AA3013">
        <w:rPr>
          <w:rFonts w:cs="Segoe UI"/>
          <w:bCs/>
          <w:szCs w:val="22"/>
          <w:lang w:val="it-IT"/>
        </w:rPr>
        <w:t>su</w:t>
      </w:r>
      <w:r w:rsidRPr="00AA3013">
        <w:rPr>
          <w:rFonts w:cs="Segoe UI"/>
          <w:bCs/>
          <w:szCs w:val="22"/>
          <w:lang w:val="it-IT"/>
        </w:rPr>
        <w:t xml:space="preserve"> </w:t>
      </w:r>
      <w:hyperlink r:id="rId13" w:history="1">
        <w:r w:rsidRPr="00AA3013">
          <w:rPr>
            <w:rStyle w:val="Collegamentoipertestuale"/>
            <w:rFonts w:cs="Segoe UI"/>
            <w:bCs/>
            <w:sz w:val="22"/>
            <w:szCs w:val="22"/>
            <w:lang w:val="it-IT"/>
          </w:rPr>
          <w:t>Henkel.com</w:t>
        </w:r>
      </w:hyperlink>
    </w:p>
    <w:p w14:paraId="0C4040D2" w14:textId="77777777" w:rsidR="003E0872" w:rsidRPr="00AA3013" w:rsidRDefault="003E0872" w:rsidP="00AE4DA4">
      <w:pPr>
        <w:rPr>
          <w:rFonts w:cs="Segoe UI"/>
          <w:szCs w:val="22"/>
          <w:lang w:val="it-IT"/>
        </w:rPr>
      </w:pPr>
    </w:p>
    <w:p w14:paraId="049AF738" w14:textId="77777777" w:rsidR="00E779F7" w:rsidRPr="00AA3013" w:rsidRDefault="00E779F7" w:rsidP="00263D33">
      <w:pPr>
        <w:rPr>
          <w:rFonts w:cs="Segoe UI"/>
          <w:szCs w:val="22"/>
          <w:lang w:val="it-IT"/>
        </w:rPr>
      </w:pPr>
    </w:p>
    <w:p w14:paraId="291D08FA" w14:textId="77777777" w:rsidR="001547C8" w:rsidRPr="00AA3013" w:rsidRDefault="001547C8" w:rsidP="001547C8">
      <w:pPr>
        <w:spacing w:line="240" w:lineRule="auto"/>
        <w:jc w:val="left"/>
        <w:rPr>
          <w:rStyle w:val="AboutandContactHeadline"/>
          <w:rFonts w:cs="Segoe UI"/>
          <w:b w:val="0"/>
          <w:bCs w:val="0"/>
          <w:sz w:val="17"/>
          <w:szCs w:val="17"/>
          <w:lang w:val="it-IT"/>
        </w:rPr>
      </w:pPr>
      <w:r w:rsidRPr="00AA3013">
        <w:rPr>
          <w:rStyle w:val="AboutandContactHeadline"/>
          <w:sz w:val="17"/>
          <w:szCs w:val="17"/>
          <w:lang w:val="it-IT"/>
        </w:rPr>
        <w:t xml:space="preserve">Informazioni su Henkel </w:t>
      </w:r>
    </w:p>
    <w:p w14:paraId="59EE1DFC" w14:textId="77777777" w:rsidR="001547C8" w:rsidRPr="00AA3013" w:rsidRDefault="001547C8" w:rsidP="001547C8">
      <w:pPr>
        <w:rPr>
          <w:rStyle w:val="AboutandContactBody"/>
          <w:sz w:val="17"/>
          <w:szCs w:val="17"/>
          <w:lang w:val="it-IT"/>
        </w:rPr>
      </w:pPr>
    </w:p>
    <w:p w14:paraId="1F012B1C" w14:textId="77777777" w:rsidR="001547C8" w:rsidRPr="00AA3013" w:rsidRDefault="001547C8" w:rsidP="001547C8">
      <w:pPr>
        <w:rPr>
          <w:rStyle w:val="Collegamentoipertestuale"/>
          <w:rFonts w:asciiTheme="minorHAnsi" w:hAnsiTheme="minorHAnsi" w:cstheme="minorHAnsi"/>
          <w:b/>
          <w:bCs/>
          <w:color w:val="auto"/>
          <w:sz w:val="17"/>
          <w:szCs w:val="17"/>
          <w:u w:val="none"/>
          <w:lang w:val="it-IT"/>
        </w:rPr>
      </w:pPr>
      <w:r w:rsidRPr="00AA3013">
        <w:rPr>
          <w:rStyle w:val="AboutandContactBody"/>
          <w:sz w:val="17"/>
          <w:szCs w:val="17"/>
          <w:lang w:val="it-IT"/>
        </w:rPr>
        <w:t xml:space="preserve">Con i suoi marchi, innovazioni e tecnologie, Henkel detiene posizioni di leadership sia nel settore industriale sia nel largo consumo. La business unit Adhesive Technologies è leader globale nel mercato degli adesivi, dei sigillanti e dei rivestimenti funzionali. Con Consumer Brands, l’azienda vanta posizioni di leadership nei segmenti della cura dei capelli, del bucato e della pulizia della casa in molti mercati e categorie in diversi Paesi del mondo. I tre marchi principali sono Loctite, Persil (Dixan in Italia) e Schwarzkopf. Nel 2023 Henkel ha registrato un fatturato complessivo di oltre 21,5 miliardi di euro, con un margine operativo depurato pari a circa 2,6 miliardi di euro. Le azioni privilegiate Henkel sono quotate presso la Borsa tedesca secondo l'indice DAX. Lo sviluppo sostenibile ha una lunga tradizione in Henkel, che ha una chiara strategia di sostenibilità con obiettivi concreti. Fondata nel 1876, Henkel impiega circa 48.000 collaboratori nel mondo – un team eterogeneo, unito da una forte cultura aziendale, valori condivisi e un purpose comune: “Pionieri nel cuore per il bene di intere generazioni”. Per maggiori informazioni, visitate il sito </w:t>
      </w:r>
      <w:hyperlink r:id="rId14" w:history="1">
        <w:r w:rsidRPr="00AA3013">
          <w:rPr>
            <w:rStyle w:val="Collegamentoipertestuale"/>
            <w:sz w:val="17"/>
            <w:szCs w:val="17"/>
            <w:lang w:val="it-IT"/>
          </w:rPr>
          <w:t>www.henkel.com</w:t>
        </w:r>
      </w:hyperlink>
      <w:r w:rsidRPr="00AA3013">
        <w:rPr>
          <w:rStyle w:val="AboutandContactBody"/>
          <w:sz w:val="17"/>
          <w:szCs w:val="17"/>
          <w:lang w:val="it-IT"/>
        </w:rPr>
        <w:t xml:space="preserve"> </w:t>
      </w:r>
    </w:p>
    <w:p w14:paraId="0ADF8D7E" w14:textId="77777777" w:rsidR="001547C8" w:rsidRPr="00AA3013" w:rsidRDefault="001547C8" w:rsidP="001547C8">
      <w:pPr>
        <w:tabs>
          <w:tab w:val="left" w:pos="1080"/>
          <w:tab w:val="left" w:pos="4500"/>
        </w:tabs>
        <w:spacing w:line="264" w:lineRule="auto"/>
        <w:rPr>
          <w:rStyle w:val="AboutandContactBody"/>
          <w:rFonts w:asciiTheme="majorHAnsi" w:hAnsiTheme="majorHAnsi" w:cs="Calibri Light"/>
          <w:bCs/>
          <w:szCs w:val="18"/>
          <w:lang w:val="it-IT"/>
        </w:rPr>
      </w:pPr>
    </w:p>
    <w:p w14:paraId="3D43D6B7" w14:textId="77777777" w:rsidR="001547C8" w:rsidRPr="00AA3013" w:rsidRDefault="001547C8" w:rsidP="001547C8">
      <w:pPr>
        <w:tabs>
          <w:tab w:val="left" w:pos="1080"/>
          <w:tab w:val="left" w:pos="4500"/>
        </w:tabs>
        <w:spacing w:line="264" w:lineRule="auto"/>
        <w:rPr>
          <w:rStyle w:val="AboutandContactBody"/>
          <w:rFonts w:asciiTheme="majorHAnsi" w:hAnsiTheme="majorHAnsi" w:cs="Calibri Light"/>
          <w:bCs/>
          <w:szCs w:val="18"/>
          <w:lang w:val="it-IT"/>
        </w:rPr>
      </w:pPr>
    </w:p>
    <w:p w14:paraId="6E91104E" w14:textId="77777777" w:rsidR="001547C8" w:rsidRPr="00AA3013" w:rsidRDefault="001547C8" w:rsidP="001547C8">
      <w:pPr>
        <w:tabs>
          <w:tab w:val="left" w:pos="1080"/>
          <w:tab w:val="left" w:pos="4500"/>
        </w:tabs>
        <w:rPr>
          <w:rStyle w:val="AboutandContactBody"/>
          <w:rFonts w:asciiTheme="majorHAnsi" w:hAnsiTheme="majorHAnsi" w:cstheme="majorHAnsi"/>
          <w:b/>
          <w:sz w:val="17"/>
          <w:szCs w:val="17"/>
          <w:lang w:val="it-IT"/>
        </w:rPr>
      </w:pPr>
      <w:r w:rsidRPr="00AA3013">
        <w:rPr>
          <w:rStyle w:val="AboutandContactBody"/>
          <w:rFonts w:asciiTheme="majorHAnsi" w:hAnsiTheme="majorHAnsi" w:cstheme="majorHAnsi"/>
          <w:b/>
          <w:sz w:val="17"/>
          <w:szCs w:val="17"/>
          <w:lang w:val="it-IT"/>
        </w:rPr>
        <w:t xml:space="preserve">Per informazioni alla stampa: </w:t>
      </w:r>
    </w:p>
    <w:p w14:paraId="4E2B7AC5" w14:textId="77777777" w:rsidR="001547C8" w:rsidRPr="00AA3013" w:rsidRDefault="001547C8" w:rsidP="001547C8">
      <w:pPr>
        <w:tabs>
          <w:tab w:val="left" w:pos="1080"/>
          <w:tab w:val="left" w:pos="4500"/>
        </w:tabs>
        <w:rPr>
          <w:rStyle w:val="AboutandContactBody"/>
          <w:rFonts w:asciiTheme="majorHAnsi" w:hAnsiTheme="majorHAnsi" w:cstheme="majorHAnsi"/>
          <w:b/>
          <w:sz w:val="17"/>
          <w:szCs w:val="17"/>
          <w:lang w:val="it-IT"/>
        </w:rPr>
      </w:pPr>
    </w:p>
    <w:p w14:paraId="7511A9E9" w14:textId="77777777" w:rsidR="001547C8" w:rsidRPr="00AA3013" w:rsidRDefault="001547C8" w:rsidP="001547C8">
      <w:pPr>
        <w:tabs>
          <w:tab w:val="left" w:pos="1080"/>
          <w:tab w:val="left" w:pos="4500"/>
        </w:tabs>
        <w:rPr>
          <w:rStyle w:val="AboutandContactBody"/>
          <w:rFonts w:asciiTheme="majorHAnsi" w:hAnsiTheme="majorHAnsi" w:cstheme="majorHAnsi"/>
          <w:b/>
          <w:sz w:val="17"/>
          <w:szCs w:val="17"/>
          <w:lang w:val="it-IT"/>
        </w:rPr>
      </w:pPr>
      <w:r w:rsidRPr="00AA3013">
        <w:rPr>
          <w:rStyle w:val="AboutandContactBody"/>
          <w:rFonts w:asciiTheme="majorHAnsi" w:hAnsiTheme="majorHAnsi" w:cstheme="majorHAnsi"/>
          <w:b/>
          <w:sz w:val="17"/>
          <w:szCs w:val="17"/>
          <w:lang w:val="it-IT"/>
        </w:rPr>
        <w:t>Giusi Viani</w:t>
      </w:r>
      <w:r w:rsidRPr="00AA3013">
        <w:rPr>
          <w:rStyle w:val="AboutandContactBody"/>
          <w:rFonts w:asciiTheme="majorHAnsi" w:hAnsiTheme="majorHAnsi" w:cstheme="majorHAnsi"/>
          <w:b/>
          <w:sz w:val="17"/>
          <w:szCs w:val="17"/>
          <w:lang w:val="it-IT"/>
        </w:rPr>
        <w:tab/>
      </w:r>
      <w:r w:rsidRPr="00AA3013">
        <w:rPr>
          <w:rStyle w:val="AboutandContactBody"/>
          <w:rFonts w:asciiTheme="majorHAnsi" w:hAnsiTheme="majorHAnsi" w:cstheme="majorHAnsi"/>
          <w:b/>
          <w:sz w:val="17"/>
          <w:szCs w:val="17"/>
          <w:lang w:val="it-IT"/>
        </w:rPr>
        <w:tab/>
        <w:t xml:space="preserve">Silvia Vergani </w:t>
      </w:r>
      <w:r w:rsidRPr="00AA3013">
        <w:rPr>
          <w:rStyle w:val="AboutandContactBody"/>
          <w:rFonts w:asciiTheme="majorHAnsi" w:hAnsiTheme="majorHAnsi" w:cstheme="majorHAnsi"/>
          <w:b/>
          <w:sz w:val="17"/>
          <w:szCs w:val="17"/>
          <w:lang w:val="it-IT"/>
        </w:rPr>
        <w:tab/>
      </w:r>
    </w:p>
    <w:p w14:paraId="41B04163" w14:textId="77777777" w:rsidR="001547C8" w:rsidRPr="00AA3013" w:rsidRDefault="001547C8" w:rsidP="001547C8">
      <w:pPr>
        <w:tabs>
          <w:tab w:val="left" w:pos="1080"/>
          <w:tab w:val="left" w:pos="4500"/>
        </w:tabs>
        <w:rPr>
          <w:rStyle w:val="AboutandContactBody"/>
          <w:rFonts w:asciiTheme="majorHAnsi" w:hAnsiTheme="majorHAnsi" w:cstheme="majorHAnsi"/>
          <w:b/>
          <w:sz w:val="17"/>
          <w:szCs w:val="17"/>
          <w:lang w:val="it-IT"/>
        </w:rPr>
      </w:pPr>
      <w:r w:rsidRPr="00AA3013">
        <w:rPr>
          <w:rStyle w:val="AboutandContactBody"/>
          <w:rFonts w:asciiTheme="majorHAnsi" w:hAnsiTheme="majorHAnsi" w:cstheme="majorHAnsi"/>
          <w:bCs/>
          <w:sz w:val="17"/>
          <w:szCs w:val="17"/>
          <w:lang w:val="it-IT"/>
        </w:rPr>
        <w:t>Head of Corporate Communications, Henkel Italia</w:t>
      </w:r>
      <w:r w:rsidRPr="00AA3013">
        <w:rPr>
          <w:rStyle w:val="AboutandContactBody"/>
          <w:rFonts w:asciiTheme="majorHAnsi" w:hAnsiTheme="majorHAnsi" w:cstheme="majorHAnsi"/>
          <w:b/>
          <w:sz w:val="17"/>
          <w:szCs w:val="17"/>
          <w:lang w:val="it-IT"/>
        </w:rPr>
        <w:tab/>
      </w:r>
      <w:r w:rsidRPr="00AA3013">
        <w:rPr>
          <w:rStyle w:val="AboutandContactBody"/>
          <w:rFonts w:asciiTheme="majorHAnsi" w:hAnsiTheme="majorHAnsi" w:cstheme="majorHAnsi"/>
          <w:bCs/>
          <w:sz w:val="17"/>
          <w:szCs w:val="17"/>
          <w:lang w:val="it-IT"/>
        </w:rPr>
        <w:t>Corporate Communications Consultant, Henkel Italia</w:t>
      </w:r>
      <w:r w:rsidRPr="00AA3013">
        <w:rPr>
          <w:rStyle w:val="AboutandContactBody"/>
          <w:rFonts w:asciiTheme="majorHAnsi" w:hAnsiTheme="majorHAnsi" w:cstheme="majorHAnsi"/>
          <w:b/>
          <w:sz w:val="17"/>
          <w:szCs w:val="17"/>
          <w:lang w:val="it-IT"/>
        </w:rPr>
        <w:t xml:space="preserve"> </w:t>
      </w:r>
    </w:p>
    <w:p w14:paraId="21C9429E" w14:textId="77777777" w:rsidR="001547C8" w:rsidRPr="00AA3013" w:rsidRDefault="001547C8" w:rsidP="001547C8">
      <w:pPr>
        <w:tabs>
          <w:tab w:val="left" w:pos="1080"/>
          <w:tab w:val="left" w:pos="4500"/>
        </w:tabs>
        <w:rPr>
          <w:rStyle w:val="AboutandContactBody"/>
          <w:rFonts w:asciiTheme="majorHAnsi" w:hAnsiTheme="majorHAnsi" w:cstheme="majorHAnsi"/>
          <w:bCs/>
          <w:sz w:val="17"/>
          <w:szCs w:val="17"/>
          <w:lang w:val="it-IT"/>
        </w:rPr>
      </w:pPr>
      <w:r w:rsidRPr="00AA3013">
        <w:rPr>
          <w:rStyle w:val="AboutandContactBody"/>
          <w:rFonts w:asciiTheme="majorHAnsi" w:hAnsiTheme="majorHAnsi" w:cstheme="majorHAnsi"/>
          <w:bCs/>
          <w:sz w:val="17"/>
          <w:szCs w:val="17"/>
          <w:lang w:val="it-IT"/>
        </w:rPr>
        <w:t>Tel: +39 348 4761287</w:t>
      </w:r>
      <w:r w:rsidRPr="00AA3013">
        <w:rPr>
          <w:rStyle w:val="AboutandContactBody"/>
          <w:rFonts w:asciiTheme="majorHAnsi" w:hAnsiTheme="majorHAnsi" w:cstheme="majorHAnsi"/>
          <w:bCs/>
          <w:sz w:val="17"/>
          <w:szCs w:val="17"/>
          <w:lang w:val="it-IT"/>
        </w:rPr>
        <w:tab/>
        <w:t>Tel: +39 349 7668102</w:t>
      </w:r>
    </w:p>
    <w:p w14:paraId="410D5E19" w14:textId="77777777" w:rsidR="001547C8" w:rsidRPr="00AA3013" w:rsidRDefault="001547C8" w:rsidP="001547C8">
      <w:pPr>
        <w:tabs>
          <w:tab w:val="left" w:pos="1080"/>
          <w:tab w:val="left" w:pos="4500"/>
        </w:tabs>
        <w:rPr>
          <w:rStyle w:val="Collegamentoipertestuale"/>
          <w:rFonts w:asciiTheme="majorHAnsi" w:hAnsiTheme="majorHAnsi" w:cstheme="majorHAnsi"/>
          <w:bCs/>
          <w:sz w:val="17"/>
          <w:szCs w:val="17"/>
          <w:lang w:val="it-IT"/>
        </w:rPr>
      </w:pPr>
      <w:r w:rsidRPr="00AA3013">
        <w:rPr>
          <w:rStyle w:val="AboutandContactBody"/>
          <w:rFonts w:asciiTheme="majorHAnsi" w:hAnsiTheme="majorHAnsi" w:cstheme="majorHAnsi"/>
          <w:bCs/>
          <w:sz w:val="17"/>
          <w:szCs w:val="17"/>
          <w:lang w:val="it-IT"/>
        </w:rPr>
        <w:t xml:space="preserve">E-mail: </w:t>
      </w:r>
      <w:hyperlink r:id="rId15" w:history="1">
        <w:r w:rsidRPr="00AA3013">
          <w:rPr>
            <w:rStyle w:val="Collegamentoipertestuale"/>
            <w:rFonts w:asciiTheme="majorHAnsi" w:hAnsiTheme="majorHAnsi" w:cstheme="majorHAnsi"/>
            <w:bCs/>
            <w:sz w:val="17"/>
            <w:szCs w:val="17"/>
            <w:lang w:val="it-IT"/>
          </w:rPr>
          <w:t>giusi.viani@henkel.com</w:t>
        </w:r>
      </w:hyperlink>
      <w:r w:rsidRPr="00AA3013">
        <w:rPr>
          <w:rStyle w:val="AboutandContactBody"/>
          <w:rFonts w:asciiTheme="majorHAnsi" w:hAnsiTheme="majorHAnsi" w:cstheme="majorHAnsi"/>
          <w:bCs/>
          <w:sz w:val="17"/>
          <w:szCs w:val="17"/>
          <w:lang w:val="it-IT"/>
        </w:rPr>
        <w:t xml:space="preserve"> </w:t>
      </w:r>
      <w:r w:rsidRPr="00AA3013">
        <w:rPr>
          <w:rStyle w:val="AboutandContactBody"/>
          <w:rFonts w:asciiTheme="majorHAnsi" w:hAnsiTheme="majorHAnsi" w:cstheme="majorHAnsi"/>
          <w:bCs/>
          <w:sz w:val="17"/>
          <w:szCs w:val="17"/>
          <w:lang w:val="it-IT"/>
        </w:rPr>
        <w:tab/>
        <w:t xml:space="preserve">E-mail: </w:t>
      </w:r>
      <w:hyperlink r:id="rId16" w:history="1">
        <w:r w:rsidRPr="00AA3013">
          <w:rPr>
            <w:rStyle w:val="Collegamentoipertestuale"/>
            <w:rFonts w:asciiTheme="majorHAnsi" w:hAnsiTheme="majorHAnsi" w:cstheme="majorHAnsi"/>
            <w:bCs/>
            <w:sz w:val="17"/>
            <w:szCs w:val="17"/>
            <w:lang w:val="it-IT"/>
          </w:rPr>
          <w:t>silvia.vergani@henkel.com</w:t>
        </w:r>
      </w:hyperlink>
    </w:p>
    <w:p w14:paraId="5E32D214" w14:textId="77777777" w:rsidR="005268DA" w:rsidRPr="00AA3013" w:rsidRDefault="005268DA" w:rsidP="008359B8">
      <w:pPr>
        <w:pStyle w:val="He01Flietext"/>
        <w:rPr>
          <w:rStyle w:val="AboutandContactBody"/>
          <w:rFonts w:eastAsia="Times New Roman" w:cs="Times New Roman"/>
          <w:sz w:val="14"/>
          <w:szCs w:val="14"/>
          <w:lang w:val="it-IT"/>
        </w:rPr>
      </w:pPr>
    </w:p>
    <w:p w14:paraId="716EF5DB" w14:textId="77777777" w:rsidR="001547C8" w:rsidRPr="00AA3013" w:rsidRDefault="001547C8" w:rsidP="008359B8">
      <w:pPr>
        <w:pStyle w:val="He01Flietext"/>
        <w:rPr>
          <w:rStyle w:val="AboutandContactBody"/>
          <w:rFonts w:eastAsia="Times New Roman" w:cs="Times New Roman"/>
          <w:sz w:val="14"/>
          <w:szCs w:val="14"/>
          <w:lang w:val="it-IT"/>
        </w:rPr>
      </w:pPr>
    </w:p>
    <w:p w14:paraId="32EA1D8F" w14:textId="5EB23CE1" w:rsidR="008359B8" w:rsidRPr="00AA3013" w:rsidRDefault="008359B8" w:rsidP="000E5054">
      <w:pPr>
        <w:pStyle w:val="He01Flietext"/>
        <w:jc w:val="both"/>
        <w:rPr>
          <w:rStyle w:val="AboutandContactBody"/>
          <w:rFonts w:eastAsia="Times New Roman" w:cs="Times New Roman"/>
          <w:sz w:val="14"/>
          <w:szCs w:val="14"/>
          <w:lang w:val="it-IT"/>
        </w:rPr>
      </w:pPr>
      <w:r w:rsidRPr="00AA3013">
        <w:rPr>
          <w:rStyle w:val="AboutandContactBody"/>
          <w:rFonts w:eastAsia="Times New Roman" w:cs="Times New Roman"/>
          <w:sz w:val="14"/>
          <w:szCs w:val="14"/>
          <w:lang w:val="it-IT"/>
        </w:rPr>
        <w:t>This document contains statements referring to future business development, financial performance and other events or developments of future relevance for Henkel that may constitute forward-looking statements. Statements with respect to the future are characterized by the use of words such as expect, intend, plan, anticipate, believe, estimate, and similar terms. Such statements are based on current estimates and assumptions made by the corporate management of Henkel AG &amp; Co. KGaA. These statements are not to be understood as in any way guaranteeing that those expectations will turn out to be accurate. Future performance and results actually achieved by Henkel AG &amp; Co. KGaA and its affiliated companies depend on a number of risks and uncertainties and may therefore differ materially (both positively and negatively) from the forward-looking statements. Many of these factors are outside Henkel’s control and cannot be accurately estimated in advance, such as the future economic environment and the actions of competitors and others involved in the marketplace. Henkel neither plans nor undertakes to update forward-looking statements.</w:t>
      </w:r>
    </w:p>
    <w:p w14:paraId="5A7CCB78" w14:textId="77777777" w:rsidR="008359B8" w:rsidRPr="00AA3013" w:rsidRDefault="008359B8" w:rsidP="000E5054">
      <w:pPr>
        <w:pStyle w:val="He01Flietext"/>
        <w:jc w:val="both"/>
        <w:rPr>
          <w:rStyle w:val="AboutandContactBody"/>
          <w:rFonts w:eastAsia="Times New Roman" w:cs="Times New Roman"/>
          <w:sz w:val="14"/>
          <w:szCs w:val="14"/>
          <w:lang w:val="it-IT"/>
        </w:rPr>
      </w:pPr>
      <w:r w:rsidRPr="00AA3013">
        <w:rPr>
          <w:rStyle w:val="AboutandContactBody"/>
          <w:rFonts w:eastAsia="Times New Roman" w:cs="Times New Roman"/>
          <w:sz w:val="14"/>
          <w:szCs w:val="14"/>
          <w:lang w:val="it-IT"/>
        </w:rPr>
        <w:t xml:space="preserve">This document includes supplemental financial indicators that are not clearly defined in the applicable financial reporting framework and that are or may be alternative performance measures. These supplemental financial indicators should not be viewed in isolation or as alternatives to measures </w:t>
      </w:r>
      <w:r w:rsidRPr="00AA3013">
        <w:rPr>
          <w:rStyle w:val="AboutandContactBody"/>
          <w:rFonts w:eastAsia="Times New Roman" w:cs="Times New Roman"/>
          <w:sz w:val="14"/>
          <w:szCs w:val="14"/>
          <w:lang w:val="it-IT"/>
        </w:rPr>
        <w:lastRenderedPageBreak/>
        <w:t>of Henkel’s net assets and financial position or results of operations as presented in accordance with the applicable financial reporting framework in its Consolidated Financial Statements. Other companies that report or describe similarly titled alternative performance measures may calculate them differently.</w:t>
      </w:r>
    </w:p>
    <w:p w14:paraId="0096903E" w14:textId="77777777" w:rsidR="008359B8" w:rsidRPr="00AA3013" w:rsidRDefault="008359B8" w:rsidP="000E5054">
      <w:pPr>
        <w:pStyle w:val="He01Flietext"/>
        <w:jc w:val="both"/>
        <w:rPr>
          <w:rStyle w:val="AboutandContactBody"/>
          <w:rFonts w:eastAsia="Times New Roman" w:cs="Times New Roman"/>
          <w:sz w:val="14"/>
          <w:szCs w:val="14"/>
          <w:lang w:val="it-IT"/>
        </w:rPr>
      </w:pPr>
      <w:r w:rsidRPr="00AA3013">
        <w:rPr>
          <w:rStyle w:val="AboutandContactBody"/>
          <w:rFonts w:eastAsia="Times New Roman" w:cs="Times New Roman"/>
          <w:sz w:val="14"/>
          <w:szCs w:val="14"/>
          <w:lang w:val="it-IT"/>
        </w:rPr>
        <w:t>This document has been issued for information purposes only and is not intended to constitute an investment advice or an offer to sell, or a solicitation of an offer to buy, any securities.</w:t>
      </w:r>
    </w:p>
    <w:p w14:paraId="57290813" w14:textId="77777777" w:rsidR="00196A14" w:rsidRPr="00AA3013" w:rsidRDefault="00196A14" w:rsidP="000E5054">
      <w:pPr>
        <w:tabs>
          <w:tab w:val="left" w:pos="1080"/>
          <w:tab w:val="left" w:pos="4500"/>
        </w:tabs>
        <w:spacing w:line="264" w:lineRule="auto"/>
        <w:rPr>
          <w:rFonts w:asciiTheme="majorHAnsi" w:eastAsia="PMingLiU" w:hAnsiTheme="majorHAnsi" w:cs="Calibri Light"/>
          <w:b/>
          <w:sz w:val="18"/>
          <w:szCs w:val="18"/>
          <w:lang w:val="it-IT"/>
        </w:rPr>
      </w:pPr>
    </w:p>
    <w:p w14:paraId="23552B25" w14:textId="61B864EC" w:rsidR="00A15D78" w:rsidRPr="00AA3013" w:rsidRDefault="00A15D78" w:rsidP="008359B8">
      <w:pPr>
        <w:tabs>
          <w:tab w:val="left" w:pos="1080"/>
          <w:tab w:val="left" w:pos="4500"/>
        </w:tabs>
        <w:spacing w:line="264" w:lineRule="auto"/>
        <w:rPr>
          <w:rStyle w:val="AboutandContactBody"/>
          <w:rFonts w:eastAsia="PMingLiU"/>
          <w:color w:val="9A141B"/>
          <w:lang w:val="it-IT"/>
        </w:rPr>
      </w:pPr>
    </w:p>
    <w:sectPr w:rsidR="00A15D78" w:rsidRPr="00AA3013" w:rsidSect="00A41DBE">
      <w:headerReference w:type="even" r:id="rId17"/>
      <w:footerReference w:type="default" r:id="rId18"/>
      <w:headerReference w:type="first" r:id="rId19"/>
      <w:footerReference w:type="first" r:id="rId20"/>
      <w:pgSz w:w="11907" w:h="16840" w:code="9"/>
      <w:pgMar w:top="1944" w:right="1411" w:bottom="1843"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EAE07" w14:textId="77777777" w:rsidR="007723A9" w:rsidRDefault="007723A9">
      <w:r>
        <w:separator/>
      </w:r>
    </w:p>
  </w:endnote>
  <w:endnote w:type="continuationSeparator" w:id="0">
    <w:p w14:paraId="12B8C83C" w14:textId="77777777" w:rsidR="007723A9" w:rsidRDefault="007723A9">
      <w:r>
        <w:continuationSeparator/>
      </w:r>
    </w:p>
  </w:endnote>
  <w:endnote w:type="continuationNotice" w:id="1">
    <w:p w14:paraId="7FD3916B" w14:textId="77777777" w:rsidR="007723A9" w:rsidRDefault="007723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PMingLiU">
    <w:altName w:val="!Ps2OcuAe"/>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D10C9" w14:textId="322B7E84" w:rsidR="00CF6F33" w:rsidRPr="00112A28" w:rsidRDefault="00112A28" w:rsidP="00112A28">
    <w:pPr>
      <w:pStyle w:val="Pidipagina"/>
      <w:tabs>
        <w:tab w:val="clear" w:pos="7083"/>
        <w:tab w:val="clear" w:pos="8640"/>
        <w:tab w:val="right" w:pos="9071"/>
      </w:tabs>
      <w:jc w:val="both"/>
    </w:pPr>
    <w:r w:rsidRPr="00BF6E82">
      <w:t>Henkel AG &amp; Co. KGaA</w:t>
    </w:r>
    <w:r>
      <w:tab/>
    </w:r>
    <w:r w:rsidR="008359B8">
      <w:t>Pag</w:t>
    </w:r>
    <w:r w:rsidR="00D0695F">
      <w:t>ina</w:t>
    </w:r>
    <w:r w:rsidR="00EF55E6" w:rsidRPr="00BF6E82">
      <w:t xml:space="preserv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NUMPAGES  \* Arabic  \* MERGEFORMAT">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A058E" w14:textId="7072D6F8" w:rsidR="00CF6F33" w:rsidRPr="00992A11" w:rsidRDefault="009E5B95" w:rsidP="00992A11">
    <w:pPr>
      <w:pStyle w:val="Pidipagina"/>
    </w:pPr>
    <w:r w:rsidRPr="00E143D5">
      <w:drawing>
        <wp:inline distT="0" distB="0" distL="0" distR="0" wp14:anchorId="1C787FF5" wp14:editId="3BB9191E">
          <wp:extent cx="5139221" cy="548005"/>
          <wp:effectExtent l="0" t="0" r="4445" b="4445"/>
          <wp:docPr id="1353966039" name="Grafik 1" descr="Ein Bild, das Text, Logo,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66039" name="Grafik 1" descr="Ein Bild, das Text, Logo, Schrift, Symbol enthält.&#10;&#10;Automatisch generierte Beschreibung"/>
                  <pic:cNvPicPr/>
                </pic:nvPicPr>
                <pic:blipFill rotWithShape="1">
                  <a:blip r:embed="rId1"/>
                  <a:srcRect b="19511"/>
                  <a:stretch/>
                </pic:blipFill>
                <pic:spPr bwMode="auto">
                  <a:xfrm>
                    <a:off x="0" y="0"/>
                    <a:ext cx="5219094" cy="556522"/>
                  </a:xfrm>
                  <a:prstGeom prst="rect">
                    <a:avLst/>
                  </a:prstGeom>
                  <a:ln>
                    <a:noFill/>
                  </a:ln>
                  <a:extLst>
                    <a:ext uri="{53640926-AAD7-44D8-BBD7-CCE9431645EC}">
                      <a14:shadowObscured xmlns:a14="http://schemas.microsoft.com/office/drawing/2010/main"/>
                    </a:ext>
                  </a:extLst>
                </pic:spPr>
              </pic:pic>
            </a:graphicData>
          </a:graphic>
        </wp:inline>
      </w:drawing>
    </w:r>
    <w:r w:rsidR="00F73EDC">
      <w:t>Pagina</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58725" w14:textId="77777777" w:rsidR="007723A9" w:rsidRDefault="007723A9">
      <w:r>
        <w:separator/>
      </w:r>
    </w:p>
  </w:footnote>
  <w:footnote w:type="continuationSeparator" w:id="0">
    <w:p w14:paraId="64434699" w14:textId="77777777" w:rsidR="007723A9" w:rsidRDefault="007723A9">
      <w:r>
        <w:continuationSeparator/>
      </w:r>
    </w:p>
  </w:footnote>
  <w:footnote w:type="continuationNotice" w:id="1">
    <w:p w14:paraId="6570D308" w14:textId="77777777" w:rsidR="007723A9" w:rsidRDefault="007723A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ACE39" w14:textId="77777777" w:rsidR="00112A28" w:rsidRDefault="00112A28" w:rsidP="00112A28">
    <w:pPr>
      <w:pStyle w:val="Intestazion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86010" w14:textId="15F4833C" w:rsidR="00CF6F33" w:rsidRPr="00EB46D9" w:rsidRDefault="0059722C" w:rsidP="00EB46D9">
    <w:pPr>
      <w:pStyle w:val="Intestazione"/>
    </w:pPr>
    <w:r w:rsidRPr="00EB46D9">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653066876" name="Grafik 1653066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BCF86A4"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5F7B5C">
      <w:rPr>
        <w:noProof/>
      </w:rP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14AC"/>
    <w:multiLevelType w:val="hybridMultilevel"/>
    <w:tmpl w:val="13B0B26E"/>
    <w:lvl w:ilvl="0" w:tplc="7F22C7A8">
      <w:start w:val="1"/>
      <w:numFmt w:val="bullet"/>
      <w:pStyle w:val="He01FlietextAufzhlung1Ebene"/>
      <w:lvlText w:val=""/>
      <w:lvlJc w:val="left"/>
      <w:pPr>
        <w:ind w:left="36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E4621"/>
    <w:multiLevelType w:val="hybridMultilevel"/>
    <w:tmpl w:val="44BEA6F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 w15:restartNumberingAfterBreak="0">
    <w:nsid w:val="1294669F"/>
    <w:multiLevelType w:val="hybridMultilevel"/>
    <w:tmpl w:val="541E7E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E233B2"/>
    <w:multiLevelType w:val="hybridMultilevel"/>
    <w:tmpl w:val="70ECA632"/>
    <w:lvl w:ilvl="0" w:tplc="4B4C214C">
      <w:start w:val="1"/>
      <w:numFmt w:val="bullet"/>
      <w:lvlText w:val=""/>
      <w:lvlJc w:val="left"/>
      <w:pPr>
        <w:ind w:left="720" w:hanging="360"/>
      </w:pPr>
      <w:rPr>
        <w:rFonts w:ascii="Wingdings" w:hAnsi="Wingdings" w:hint="default"/>
        <w:color w:val="E100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740AFE"/>
    <w:multiLevelType w:val="hybridMultilevel"/>
    <w:tmpl w:val="FFFFFFFF"/>
    <w:lvl w:ilvl="0" w:tplc="3FDAE620">
      <w:start w:val="1"/>
      <w:numFmt w:val="bullet"/>
      <w:pStyle w:val="He01FlietextAufzhlung2Ebene"/>
      <w:lvlText w:val="–"/>
      <w:lvlJc w:val="left"/>
      <w:pPr>
        <w:ind w:left="700" w:hanging="360"/>
      </w:pPr>
      <w:rPr>
        <w:rFonts w:ascii="Segoe UI" w:hAnsi="Segoe UI" w:hint="default"/>
        <w:color w:val="E1000F"/>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7"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246F7BE2"/>
    <w:multiLevelType w:val="hybridMultilevel"/>
    <w:tmpl w:val="44144422"/>
    <w:lvl w:ilvl="0" w:tplc="FFFFFFFF">
      <w:start w:val="1"/>
      <w:numFmt w:val="bullet"/>
      <w:lvlText w:val=""/>
      <w:lvlJc w:val="left"/>
      <w:pPr>
        <w:ind w:left="360" w:hanging="360"/>
      </w:pPr>
      <w:rPr>
        <w:rFonts w:ascii="Wingdings" w:hAnsi="Wingdings" w:hint="default"/>
        <w:color w:val="E1000F"/>
      </w:rPr>
    </w:lvl>
    <w:lvl w:ilvl="1" w:tplc="0407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52C76F01"/>
    <w:multiLevelType w:val="hybridMultilevel"/>
    <w:tmpl w:val="D040BA96"/>
    <w:lvl w:ilvl="0" w:tplc="FFFFFFFF">
      <w:start w:val="1"/>
      <w:numFmt w:val="bullet"/>
      <w:lvlText w:val=""/>
      <w:lvlJc w:val="left"/>
      <w:pPr>
        <w:ind w:left="720" w:hanging="360"/>
      </w:pPr>
      <w:rPr>
        <w:rFonts w:ascii="Wingdings" w:hAnsi="Wingdings" w:hint="default"/>
        <w:color w:val="E1000F"/>
      </w:rPr>
    </w:lvl>
    <w:lvl w:ilvl="1" w:tplc="4B4C214C">
      <w:start w:val="1"/>
      <w:numFmt w:val="bullet"/>
      <w:lvlText w:val=""/>
      <w:lvlJc w:val="left"/>
      <w:pPr>
        <w:ind w:left="1440" w:hanging="360"/>
      </w:pPr>
      <w:rPr>
        <w:rFonts w:ascii="Wingdings" w:hAnsi="Wingdings" w:hint="default"/>
        <w:color w:val="E1000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136284"/>
    <w:multiLevelType w:val="hybridMultilevel"/>
    <w:tmpl w:val="81B8DC94"/>
    <w:lvl w:ilvl="0" w:tplc="FFFFFFFF">
      <w:start w:val="1"/>
      <w:numFmt w:val="bullet"/>
      <w:lvlText w:val=""/>
      <w:lvlJc w:val="left"/>
      <w:pPr>
        <w:ind w:left="720" w:hanging="360"/>
      </w:pPr>
      <w:rPr>
        <w:rFonts w:ascii="Wingdings" w:hAnsi="Wingdings" w:hint="default"/>
        <w:color w:val="E1000F"/>
      </w:rPr>
    </w:lvl>
    <w:lvl w:ilvl="1" w:tplc="FFFFFFFF">
      <w:start w:val="1"/>
      <w:numFmt w:val="bullet"/>
      <w:lvlText w:val=""/>
      <w:lvlJc w:val="left"/>
      <w:pPr>
        <w:ind w:left="1440" w:hanging="360"/>
      </w:pPr>
      <w:rPr>
        <w:rFonts w:ascii="Wingdings" w:hAnsi="Wingdings" w:hint="default"/>
        <w:color w:val="E1000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2C72573"/>
    <w:multiLevelType w:val="hybridMultilevel"/>
    <w:tmpl w:val="D354C796"/>
    <w:lvl w:ilvl="0" w:tplc="4B4C214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6BB6FB3"/>
    <w:multiLevelType w:val="hybridMultilevel"/>
    <w:tmpl w:val="FD7E88F4"/>
    <w:lvl w:ilvl="0" w:tplc="A86EF76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AB624AF"/>
    <w:multiLevelType w:val="hybridMultilevel"/>
    <w:tmpl w:val="F534948E"/>
    <w:lvl w:ilvl="0" w:tplc="4B4C214C">
      <w:start w:val="1"/>
      <w:numFmt w:val="bullet"/>
      <w:lvlText w:val=""/>
      <w:lvlJc w:val="left"/>
      <w:pPr>
        <w:ind w:left="72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EA90A4E"/>
    <w:multiLevelType w:val="hybridMultilevel"/>
    <w:tmpl w:val="27BE010E"/>
    <w:lvl w:ilvl="0" w:tplc="FFFFFFFF">
      <w:start w:val="1"/>
      <w:numFmt w:val="bullet"/>
      <w:lvlText w:val=""/>
      <w:lvlJc w:val="left"/>
      <w:pPr>
        <w:ind w:left="720" w:hanging="360"/>
      </w:pPr>
      <w:rPr>
        <w:rFonts w:ascii="Wingdings" w:hAnsi="Wingdings" w:hint="default"/>
        <w:color w:val="E100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AB00033"/>
    <w:multiLevelType w:val="hybridMultilevel"/>
    <w:tmpl w:val="44CCA5EE"/>
    <w:lvl w:ilvl="0" w:tplc="04070005">
      <w:start w:val="1"/>
      <w:numFmt w:val="bullet"/>
      <w:lvlText w:val=""/>
      <w:lvlJc w:val="left"/>
      <w:pPr>
        <w:ind w:left="360" w:hanging="360"/>
      </w:pPr>
      <w:rPr>
        <w:rFonts w:ascii="Wingdings" w:hAnsi="Wingdings" w:hint="default"/>
        <w:color w:val="E1000F"/>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7FA665EF"/>
    <w:multiLevelType w:val="hybridMultilevel"/>
    <w:tmpl w:val="48E87122"/>
    <w:lvl w:ilvl="0" w:tplc="B23C1DBE">
      <w:start w:val="1"/>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71322993">
    <w:abstractNumId w:val="2"/>
  </w:num>
  <w:num w:numId="2" w16cid:durableId="165293174">
    <w:abstractNumId w:val="1"/>
  </w:num>
  <w:num w:numId="3" w16cid:durableId="1508134485">
    <w:abstractNumId w:val="16"/>
  </w:num>
  <w:num w:numId="4" w16cid:durableId="1234970366">
    <w:abstractNumId w:val="10"/>
  </w:num>
  <w:num w:numId="5" w16cid:durableId="1008554684">
    <w:abstractNumId w:val="7"/>
  </w:num>
  <w:num w:numId="6" w16cid:durableId="933825870">
    <w:abstractNumId w:val="12"/>
  </w:num>
  <w:num w:numId="7" w16cid:durableId="912852597">
    <w:abstractNumId w:val="9"/>
  </w:num>
  <w:num w:numId="8" w16cid:durableId="1625698526">
    <w:abstractNumId w:val="15"/>
  </w:num>
  <w:num w:numId="9" w16cid:durableId="1415131532">
    <w:abstractNumId w:val="0"/>
  </w:num>
  <w:num w:numId="10" w16cid:durableId="1753891704">
    <w:abstractNumId w:val="19"/>
  </w:num>
  <w:num w:numId="11" w16cid:durableId="1821996854">
    <w:abstractNumId w:val="8"/>
  </w:num>
  <w:num w:numId="12" w16cid:durableId="1174342575">
    <w:abstractNumId w:val="0"/>
  </w:num>
  <w:num w:numId="13" w16cid:durableId="421489921">
    <w:abstractNumId w:val="3"/>
  </w:num>
  <w:num w:numId="14" w16cid:durableId="2017075722">
    <w:abstractNumId w:val="4"/>
  </w:num>
  <w:num w:numId="15" w16cid:durableId="809250421">
    <w:abstractNumId w:val="17"/>
  </w:num>
  <w:num w:numId="16" w16cid:durableId="642275258">
    <w:abstractNumId w:val="13"/>
  </w:num>
  <w:num w:numId="17" w16cid:durableId="1280260482">
    <w:abstractNumId w:val="11"/>
  </w:num>
  <w:num w:numId="18" w16cid:durableId="1581863752">
    <w:abstractNumId w:val="5"/>
  </w:num>
  <w:num w:numId="19" w16cid:durableId="1326934875">
    <w:abstractNumId w:val="14"/>
  </w:num>
  <w:num w:numId="20" w16cid:durableId="1780683395">
    <w:abstractNumId w:val="20"/>
  </w:num>
  <w:num w:numId="21" w16cid:durableId="359860641">
    <w:abstractNumId w:val="18"/>
  </w:num>
  <w:num w:numId="22" w16cid:durableId="8658283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839"/>
    <w:rsid w:val="00002AA4"/>
    <w:rsid w:val="00004AE8"/>
    <w:rsid w:val="00004F3C"/>
    <w:rsid w:val="00005267"/>
    <w:rsid w:val="000061E7"/>
    <w:rsid w:val="00006346"/>
    <w:rsid w:val="000069EB"/>
    <w:rsid w:val="00006A45"/>
    <w:rsid w:val="00014FC1"/>
    <w:rsid w:val="00016137"/>
    <w:rsid w:val="00020DC3"/>
    <w:rsid w:val="00021C67"/>
    <w:rsid w:val="00024147"/>
    <w:rsid w:val="00024483"/>
    <w:rsid w:val="000256A9"/>
    <w:rsid w:val="00026EEE"/>
    <w:rsid w:val="000301F0"/>
    <w:rsid w:val="00030557"/>
    <w:rsid w:val="00030701"/>
    <w:rsid w:val="00030F51"/>
    <w:rsid w:val="00032894"/>
    <w:rsid w:val="000343EB"/>
    <w:rsid w:val="0003527B"/>
    <w:rsid w:val="00035A84"/>
    <w:rsid w:val="00040816"/>
    <w:rsid w:val="00040CC9"/>
    <w:rsid w:val="00041F81"/>
    <w:rsid w:val="000425ED"/>
    <w:rsid w:val="0004361D"/>
    <w:rsid w:val="00045CCB"/>
    <w:rsid w:val="000503C6"/>
    <w:rsid w:val="00050F4D"/>
    <w:rsid w:val="000510FC"/>
    <w:rsid w:val="00051555"/>
    <w:rsid w:val="00051E86"/>
    <w:rsid w:val="00054AFE"/>
    <w:rsid w:val="0005544E"/>
    <w:rsid w:val="000575F9"/>
    <w:rsid w:val="00061172"/>
    <w:rsid w:val="000618FC"/>
    <w:rsid w:val="00065466"/>
    <w:rsid w:val="00066072"/>
    <w:rsid w:val="000665F3"/>
    <w:rsid w:val="00067071"/>
    <w:rsid w:val="00067A65"/>
    <w:rsid w:val="00067F67"/>
    <w:rsid w:val="00070652"/>
    <w:rsid w:val="00070757"/>
    <w:rsid w:val="00071284"/>
    <w:rsid w:val="00073AED"/>
    <w:rsid w:val="000751A7"/>
    <w:rsid w:val="0007746E"/>
    <w:rsid w:val="00077AF9"/>
    <w:rsid w:val="00077CEF"/>
    <w:rsid w:val="00080D10"/>
    <w:rsid w:val="00081241"/>
    <w:rsid w:val="00081692"/>
    <w:rsid w:val="00081EF8"/>
    <w:rsid w:val="00082417"/>
    <w:rsid w:val="00083012"/>
    <w:rsid w:val="0008357F"/>
    <w:rsid w:val="00083A35"/>
    <w:rsid w:val="00083A61"/>
    <w:rsid w:val="00083DAB"/>
    <w:rsid w:val="00083EF3"/>
    <w:rsid w:val="0008406B"/>
    <w:rsid w:val="00084918"/>
    <w:rsid w:val="000878CD"/>
    <w:rsid w:val="00087F85"/>
    <w:rsid w:val="00090DB6"/>
    <w:rsid w:val="00090E73"/>
    <w:rsid w:val="00091F11"/>
    <w:rsid w:val="00094235"/>
    <w:rsid w:val="00094922"/>
    <w:rsid w:val="000967F5"/>
    <w:rsid w:val="00096AD4"/>
    <w:rsid w:val="00097DB9"/>
    <w:rsid w:val="000A05E0"/>
    <w:rsid w:val="000A06FB"/>
    <w:rsid w:val="000A31D3"/>
    <w:rsid w:val="000A373B"/>
    <w:rsid w:val="000A3832"/>
    <w:rsid w:val="000A3F71"/>
    <w:rsid w:val="000A50CF"/>
    <w:rsid w:val="000A511E"/>
    <w:rsid w:val="000A64B3"/>
    <w:rsid w:val="000A6A47"/>
    <w:rsid w:val="000A6C25"/>
    <w:rsid w:val="000A7B5F"/>
    <w:rsid w:val="000B005C"/>
    <w:rsid w:val="000B10DE"/>
    <w:rsid w:val="000B2D36"/>
    <w:rsid w:val="000B2E86"/>
    <w:rsid w:val="000B5D2F"/>
    <w:rsid w:val="000B5E32"/>
    <w:rsid w:val="000B6244"/>
    <w:rsid w:val="000B695A"/>
    <w:rsid w:val="000B72A8"/>
    <w:rsid w:val="000C0B39"/>
    <w:rsid w:val="000C210A"/>
    <w:rsid w:val="000C27E5"/>
    <w:rsid w:val="000C30D6"/>
    <w:rsid w:val="000C47D1"/>
    <w:rsid w:val="000C50A1"/>
    <w:rsid w:val="000C56DD"/>
    <w:rsid w:val="000C63F4"/>
    <w:rsid w:val="000D11CB"/>
    <w:rsid w:val="000D14C4"/>
    <w:rsid w:val="000D1672"/>
    <w:rsid w:val="000D178A"/>
    <w:rsid w:val="000D18CE"/>
    <w:rsid w:val="000D40C6"/>
    <w:rsid w:val="000D52F6"/>
    <w:rsid w:val="000D6C67"/>
    <w:rsid w:val="000E0CAB"/>
    <w:rsid w:val="000E0E70"/>
    <w:rsid w:val="000E1B84"/>
    <w:rsid w:val="000E2F62"/>
    <w:rsid w:val="000E38ED"/>
    <w:rsid w:val="000E3AF1"/>
    <w:rsid w:val="000E45C7"/>
    <w:rsid w:val="000E5054"/>
    <w:rsid w:val="000E7F24"/>
    <w:rsid w:val="000F03BE"/>
    <w:rsid w:val="000F1757"/>
    <w:rsid w:val="000F225B"/>
    <w:rsid w:val="000F333E"/>
    <w:rsid w:val="000F41BC"/>
    <w:rsid w:val="000F48E9"/>
    <w:rsid w:val="000F4DAE"/>
    <w:rsid w:val="000F7ADB"/>
    <w:rsid w:val="000F7FAF"/>
    <w:rsid w:val="00100D8B"/>
    <w:rsid w:val="001016B4"/>
    <w:rsid w:val="00102045"/>
    <w:rsid w:val="00102264"/>
    <w:rsid w:val="00102FCB"/>
    <w:rsid w:val="00103537"/>
    <w:rsid w:val="00103B01"/>
    <w:rsid w:val="0010421C"/>
    <w:rsid w:val="0010465B"/>
    <w:rsid w:val="0010570F"/>
    <w:rsid w:val="00105975"/>
    <w:rsid w:val="00107AFD"/>
    <w:rsid w:val="00110090"/>
    <w:rsid w:val="0011116D"/>
    <w:rsid w:val="00111386"/>
    <w:rsid w:val="001118DF"/>
    <w:rsid w:val="001118EA"/>
    <w:rsid w:val="00111F4D"/>
    <w:rsid w:val="00112A28"/>
    <w:rsid w:val="00113571"/>
    <w:rsid w:val="00114DDF"/>
    <w:rsid w:val="00115230"/>
    <w:rsid w:val="00115B5F"/>
    <w:rsid w:val="001162B4"/>
    <w:rsid w:val="00116DF3"/>
    <w:rsid w:val="00122B90"/>
    <w:rsid w:val="00122CBC"/>
    <w:rsid w:val="0012414B"/>
    <w:rsid w:val="00124FA3"/>
    <w:rsid w:val="00126C65"/>
    <w:rsid w:val="00126D4A"/>
    <w:rsid w:val="00130D87"/>
    <w:rsid w:val="00131762"/>
    <w:rsid w:val="001318EB"/>
    <w:rsid w:val="00132DA9"/>
    <w:rsid w:val="0013305B"/>
    <w:rsid w:val="001331FD"/>
    <w:rsid w:val="00133B99"/>
    <w:rsid w:val="00134407"/>
    <w:rsid w:val="0013569C"/>
    <w:rsid w:val="00135939"/>
    <w:rsid w:val="001369E3"/>
    <w:rsid w:val="001374BD"/>
    <w:rsid w:val="001375DD"/>
    <w:rsid w:val="00142EFB"/>
    <w:rsid w:val="001438BF"/>
    <w:rsid w:val="001443BD"/>
    <w:rsid w:val="00144A87"/>
    <w:rsid w:val="00145B62"/>
    <w:rsid w:val="00146193"/>
    <w:rsid w:val="00150698"/>
    <w:rsid w:val="00152022"/>
    <w:rsid w:val="00152026"/>
    <w:rsid w:val="00152A41"/>
    <w:rsid w:val="001547C8"/>
    <w:rsid w:val="00157129"/>
    <w:rsid w:val="001577E9"/>
    <w:rsid w:val="001578EC"/>
    <w:rsid w:val="00157A59"/>
    <w:rsid w:val="0016138C"/>
    <w:rsid w:val="00162D60"/>
    <w:rsid w:val="001640D5"/>
    <w:rsid w:val="00164B4E"/>
    <w:rsid w:val="001653D7"/>
    <w:rsid w:val="001659FB"/>
    <w:rsid w:val="00166F97"/>
    <w:rsid w:val="00167286"/>
    <w:rsid w:val="00172C99"/>
    <w:rsid w:val="001731CE"/>
    <w:rsid w:val="00174ABA"/>
    <w:rsid w:val="00175C72"/>
    <w:rsid w:val="00177B37"/>
    <w:rsid w:val="00180F93"/>
    <w:rsid w:val="00181B06"/>
    <w:rsid w:val="0018672E"/>
    <w:rsid w:val="00187F34"/>
    <w:rsid w:val="00191DD2"/>
    <w:rsid w:val="0019380E"/>
    <w:rsid w:val="00196A14"/>
    <w:rsid w:val="0019762C"/>
    <w:rsid w:val="00197E9B"/>
    <w:rsid w:val="001A1185"/>
    <w:rsid w:val="001A1FEB"/>
    <w:rsid w:val="001A3D77"/>
    <w:rsid w:val="001A4C03"/>
    <w:rsid w:val="001A5492"/>
    <w:rsid w:val="001B1540"/>
    <w:rsid w:val="001B26B0"/>
    <w:rsid w:val="001B30F7"/>
    <w:rsid w:val="001B31F0"/>
    <w:rsid w:val="001B4862"/>
    <w:rsid w:val="001B5147"/>
    <w:rsid w:val="001B65FF"/>
    <w:rsid w:val="001B69A0"/>
    <w:rsid w:val="001B710A"/>
    <w:rsid w:val="001B7648"/>
    <w:rsid w:val="001B771D"/>
    <w:rsid w:val="001B7C20"/>
    <w:rsid w:val="001C0B32"/>
    <w:rsid w:val="001C2C09"/>
    <w:rsid w:val="001C2D66"/>
    <w:rsid w:val="001C36F7"/>
    <w:rsid w:val="001C4BE1"/>
    <w:rsid w:val="001C5338"/>
    <w:rsid w:val="001C7F21"/>
    <w:rsid w:val="001D0F91"/>
    <w:rsid w:val="001D1497"/>
    <w:rsid w:val="001D289A"/>
    <w:rsid w:val="001D5534"/>
    <w:rsid w:val="001D63D9"/>
    <w:rsid w:val="001D7ADF"/>
    <w:rsid w:val="001E0F71"/>
    <w:rsid w:val="001E17FB"/>
    <w:rsid w:val="001E255E"/>
    <w:rsid w:val="001E2B9B"/>
    <w:rsid w:val="001E2C06"/>
    <w:rsid w:val="001E35BA"/>
    <w:rsid w:val="001E3D56"/>
    <w:rsid w:val="001E49D3"/>
    <w:rsid w:val="001E4CCB"/>
    <w:rsid w:val="001E51A6"/>
    <w:rsid w:val="001E6D05"/>
    <w:rsid w:val="001E73E8"/>
    <w:rsid w:val="001E7C28"/>
    <w:rsid w:val="001F074E"/>
    <w:rsid w:val="001F11A1"/>
    <w:rsid w:val="001F1AB5"/>
    <w:rsid w:val="001F1BDF"/>
    <w:rsid w:val="001F1D6D"/>
    <w:rsid w:val="001F35F8"/>
    <w:rsid w:val="001F39FC"/>
    <w:rsid w:val="001F4AC3"/>
    <w:rsid w:val="001F4CAC"/>
    <w:rsid w:val="001F52E0"/>
    <w:rsid w:val="001F590C"/>
    <w:rsid w:val="001F7110"/>
    <w:rsid w:val="001F773D"/>
    <w:rsid w:val="001F7E96"/>
    <w:rsid w:val="002005F5"/>
    <w:rsid w:val="00202284"/>
    <w:rsid w:val="0020528D"/>
    <w:rsid w:val="0020543B"/>
    <w:rsid w:val="00205A66"/>
    <w:rsid w:val="002063CF"/>
    <w:rsid w:val="00206613"/>
    <w:rsid w:val="002069C1"/>
    <w:rsid w:val="0020756B"/>
    <w:rsid w:val="00207E75"/>
    <w:rsid w:val="00207FF6"/>
    <w:rsid w:val="00210D86"/>
    <w:rsid w:val="0021158F"/>
    <w:rsid w:val="00212488"/>
    <w:rsid w:val="002129A6"/>
    <w:rsid w:val="00214355"/>
    <w:rsid w:val="002151DB"/>
    <w:rsid w:val="00220628"/>
    <w:rsid w:val="00221A45"/>
    <w:rsid w:val="00221BA0"/>
    <w:rsid w:val="00221FDF"/>
    <w:rsid w:val="002260C7"/>
    <w:rsid w:val="00227C9C"/>
    <w:rsid w:val="002304D2"/>
    <w:rsid w:val="002338C1"/>
    <w:rsid w:val="00233D04"/>
    <w:rsid w:val="00234ABD"/>
    <w:rsid w:val="00236491"/>
    <w:rsid w:val="00236C3B"/>
    <w:rsid w:val="00236E2A"/>
    <w:rsid w:val="002376B3"/>
    <w:rsid w:val="00237F62"/>
    <w:rsid w:val="00241E10"/>
    <w:rsid w:val="0024586A"/>
    <w:rsid w:val="0024601F"/>
    <w:rsid w:val="002502E1"/>
    <w:rsid w:val="00250F80"/>
    <w:rsid w:val="0025124F"/>
    <w:rsid w:val="002518A2"/>
    <w:rsid w:val="002528B3"/>
    <w:rsid w:val="002534C2"/>
    <w:rsid w:val="0025551F"/>
    <w:rsid w:val="00255F8C"/>
    <w:rsid w:val="00256174"/>
    <w:rsid w:val="00256F0C"/>
    <w:rsid w:val="00257231"/>
    <w:rsid w:val="00257681"/>
    <w:rsid w:val="00260318"/>
    <w:rsid w:val="00261C23"/>
    <w:rsid w:val="00262807"/>
    <w:rsid w:val="00262C05"/>
    <w:rsid w:val="00263D33"/>
    <w:rsid w:val="002673AA"/>
    <w:rsid w:val="002715AF"/>
    <w:rsid w:val="002717F0"/>
    <w:rsid w:val="0027301C"/>
    <w:rsid w:val="00273099"/>
    <w:rsid w:val="00281D14"/>
    <w:rsid w:val="00282C13"/>
    <w:rsid w:val="002833D8"/>
    <w:rsid w:val="00285669"/>
    <w:rsid w:val="0028668D"/>
    <w:rsid w:val="00286BF6"/>
    <w:rsid w:val="00287972"/>
    <w:rsid w:val="002903B7"/>
    <w:rsid w:val="00295E54"/>
    <w:rsid w:val="002962D7"/>
    <w:rsid w:val="00296C33"/>
    <w:rsid w:val="002A0D7B"/>
    <w:rsid w:val="002A0DF7"/>
    <w:rsid w:val="002A268C"/>
    <w:rsid w:val="002A2975"/>
    <w:rsid w:val="002A3F36"/>
    <w:rsid w:val="002A460D"/>
    <w:rsid w:val="002A4CEA"/>
    <w:rsid w:val="002A505B"/>
    <w:rsid w:val="002A5EE9"/>
    <w:rsid w:val="002A60E0"/>
    <w:rsid w:val="002B03A5"/>
    <w:rsid w:val="002B1AA8"/>
    <w:rsid w:val="002B1E87"/>
    <w:rsid w:val="002B687A"/>
    <w:rsid w:val="002C1344"/>
    <w:rsid w:val="002C252E"/>
    <w:rsid w:val="002C3A2A"/>
    <w:rsid w:val="002C458A"/>
    <w:rsid w:val="002C6552"/>
    <w:rsid w:val="002C6773"/>
    <w:rsid w:val="002C6F51"/>
    <w:rsid w:val="002C73EC"/>
    <w:rsid w:val="002D0FE0"/>
    <w:rsid w:val="002D269A"/>
    <w:rsid w:val="002D2A3D"/>
    <w:rsid w:val="002D39A1"/>
    <w:rsid w:val="002D3E72"/>
    <w:rsid w:val="002D3EAC"/>
    <w:rsid w:val="002D46A9"/>
    <w:rsid w:val="002D4955"/>
    <w:rsid w:val="002D5D1D"/>
    <w:rsid w:val="002D6EFD"/>
    <w:rsid w:val="002D74CF"/>
    <w:rsid w:val="002E0A45"/>
    <w:rsid w:val="002E0B17"/>
    <w:rsid w:val="002E26B4"/>
    <w:rsid w:val="002E3A3E"/>
    <w:rsid w:val="002E4FFB"/>
    <w:rsid w:val="002E63A7"/>
    <w:rsid w:val="002E650E"/>
    <w:rsid w:val="002E659A"/>
    <w:rsid w:val="002E6E2F"/>
    <w:rsid w:val="002E7DED"/>
    <w:rsid w:val="002F0334"/>
    <w:rsid w:val="002F2A7B"/>
    <w:rsid w:val="002F4AB2"/>
    <w:rsid w:val="002F5944"/>
    <w:rsid w:val="002F72FF"/>
    <w:rsid w:val="002F7BC2"/>
    <w:rsid w:val="002F7E11"/>
    <w:rsid w:val="0030037C"/>
    <w:rsid w:val="00300A73"/>
    <w:rsid w:val="00301C72"/>
    <w:rsid w:val="00304087"/>
    <w:rsid w:val="003053DC"/>
    <w:rsid w:val="003054B0"/>
    <w:rsid w:val="003057B1"/>
    <w:rsid w:val="003062AD"/>
    <w:rsid w:val="00310ACD"/>
    <w:rsid w:val="00310FD4"/>
    <w:rsid w:val="00312C23"/>
    <w:rsid w:val="0031379F"/>
    <w:rsid w:val="00313A9C"/>
    <w:rsid w:val="0031510F"/>
    <w:rsid w:val="0031621E"/>
    <w:rsid w:val="00316A16"/>
    <w:rsid w:val="00320228"/>
    <w:rsid w:val="00320A26"/>
    <w:rsid w:val="003212F3"/>
    <w:rsid w:val="00321344"/>
    <w:rsid w:val="003214E8"/>
    <w:rsid w:val="00321788"/>
    <w:rsid w:val="0032234C"/>
    <w:rsid w:val="00325064"/>
    <w:rsid w:val="00325EC9"/>
    <w:rsid w:val="003279C6"/>
    <w:rsid w:val="0032B295"/>
    <w:rsid w:val="00331A3E"/>
    <w:rsid w:val="00332F13"/>
    <w:rsid w:val="0033451C"/>
    <w:rsid w:val="00335660"/>
    <w:rsid w:val="00335FBD"/>
    <w:rsid w:val="00336854"/>
    <w:rsid w:val="0033769B"/>
    <w:rsid w:val="0034015C"/>
    <w:rsid w:val="0034098D"/>
    <w:rsid w:val="00341409"/>
    <w:rsid w:val="003417F1"/>
    <w:rsid w:val="00341CAE"/>
    <w:rsid w:val="003442F4"/>
    <w:rsid w:val="00344546"/>
    <w:rsid w:val="003455CF"/>
    <w:rsid w:val="00346DC7"/>
    <w:rsid w:val="0034716E"/>
    <w:rsid w:val="00350CB4"/>
    <w:rsid w:val="00353705"/>
    <w:rsid w:val="003542C7"/>
    <w:rsid w:val="00354C69"/>
    <w:rsid w:val="00355536"/>
    <w:rsid w:val="003562E8"/>
    <w:rsid w:val="003614D7"/>
    <w:rsid w:val="0036357D"/>
    <w:rsid w:val="003649BC"/>
    <w:rsid w:val="00364F7E"/>
    <w:rsid w:val="00365E44"/>
    <w:rsid w:val="00365F6B"/>
    <w:rsid w:val="003662B1"/>
    <w:rsid w:val="003667AD"/>
    <w:rsid w:val="00367AA1"/>
    <w:rsid w:val="00370A5B"/>
    <w:rsid w:val="00372497"/>
    <w:rsid w:val="00372E36"/>
    <w:rsid w:val="00373D53"/>
    <w:rsid w:val="00375653"/>
    <w:rsid w:val="00375DFA"/>
    <w:rsid w:val="00375F7D"/>
    <w:rsid w:val="003767D3"/>
    <w:rsid w:val="00376EE9"/>
    <w:rsid w:val="00376FFC"/>
    <w:rsid w:val="00377CBB"/>
    <w:rsid w:val="00384F62"/>
    <w:rsid w:val="00385438"/>
    <w:rsid w:val="003854BB"/>
    <w:rsid w:val="003858E5"/>
    <w:rsid w:val="003877B6"/>
    <w:rsid w:val="00391539"/>
    <w:rsid w:val="003921B7"/>
    <w:rsid w:val="00393887"/>
    <w:rsid w:val="00393F1B"/>
    <w:rsid w:val="00394C6B"/>
    <w:rsid w:val="0039610B"/>
    <w:rsid w:val="003966D8"/>
    <w:rsid w:val="00397C2B"/>
    <w:rsid w:val="00397C90"/>
    <w:rsid w:val="003A0961"/>
    <w:rsid w:val="003A290F"/>
    <w:rsid w:val="003A4AAA"/>
    <w:rsid w:val="003A4B10"/>
    <w:rsid w:val="003A4E2E"/>
    <w:rsid w:val="003A4E62"/>
    <w:rsid w:val="003A5491"/>
    <w:rsid w:val="003A5A6A"/>
    <w:rsid w:val="003A67FD"/>
    <w:rsid w:val="003A775E"/>
    <w:rsid w:val="003B02F2"/>
    <w:rsid w:val="003B0BD0"/>
    <w:rsid w:val="003B0CDD"/>
    <w:rsid w:val="003B1069"/>
    <w:rsid w:val="003B1B03"/>
    <w:rsid w:val="003B38CC"/>
    <w:rsid w:val="003B390A"/>
    <w:rsid w:val="003B3D53"/>
    <w:rsid w:val="003B4E3A"/>
    <w:rsid w:val="003B6373"/>
    <w:rsid w:val="003B79E1"/>
    <w:rsid w:val="003C0E8C"/>
    <w:rsid w:val="003C15DE"/>
    <w:rsid w:val="003C2096"/>
    <w:rsid w:val="003C2889"/>
    <w:rsid w:val="003C34C9"/>
    <w:rsid w:val="003C4EB2"/>
    <w:rsid w:val="003C5E05"/>
    <w:rsid w:val="003C63D0"/>
    <w:rsid w:val="003C7959"/>
    <w:rsid w:val="003D0BF4"/>
    <w:rsid w:val="003D3968"/>
    <w:rsid w:val="003D42AF"/>
    <w:rsid w:val="003D4AD2"/>
    <w:rsid w:val="003D5E11"/>
    <w:rsid w:val="003D73C0"/>
    <w:rsid w:val="003D74FF"/>
    <w:rsid w:val="003E031D"/>
    <w:rsid w:val="003E0872"/>
    <w:rsid w:val="003E3808"/>
    <w:rsid w:val="003E7305"/>
    <w:rsid w:val="003F0C1C"/>
    <w:rsid w:val="003F1AF3"/>
    <w:rsid w:val="003F22DC"/>
    <w:rsid w:val="003F25E4"/>
    <w:rsid w:val="003F4743"/>
    <w:rsid w:val="003F4804"/>
    <w:rsid w:val="003F4AAA"/>
    <w:rsid w:val="003F4D8D"/>
    <w:rsid w:val="003F66A4"/>
    <w:rsid w:val="00401508"/>
    <w:rsid w:val="00401688"/>
    <w:rsid w:val="004024D9"/>
    <w:rsid w:val="0040257E"/>
    <w:rsid w:val="0040386D"/>
    <w:rsid w:val="00404188"/>
    <w:rsid w:val="00406435"/>
    <w:rsid w:val="004066F9"/>
    <w:rsid w:val="00406CBE"/>
    <w:rsid w:val="004073DC"/>
    <w:rsid w:val="00407880"/>
    <w:rsid w:val="004128C1"/>
    <w:rsid w:val="004137C0"/>
    <w:rsid w:val="004138F3"/>
    <w:rsid w:val="00421F20"/>
    <w:rsid w:val="00423B63"/>
    <w:rsid w:val="00423D30"/>
    <w:rsid w:val="004250AA"/>
    <w:rsid w:val="00427BEA"/>
    <w:rsid w:val="00427EDC"/>
    <w:rsid w:val="00430120"/>
    <w:rsid w:val="00430E6C"/>
    <w:rsid w:val="004313E7"/>
    <w:rsid w:val="00432542"/>
    <w:rsid w:val="004339B2"/>
    <w:rsid w:val="00436CCB"/>
    <w:rsid w:val="00444A70"/>
    <w:rsid w:val="0044763B"/>
    <w:rsid w:val="00452696"/>
    <w:rsid w:val="00453F32"/>
    <w:rsid w:val="00456A53"/>
    <w:rsid w:val="00456C0A"/>
    <w:rsid w:val="0046213C"/>
    <w:rsid w:val="00462518"/>
    <w:rsid w:val="0046266D"/>
    <w:rsid w:val="004629B3"/>
    <w:rsid w:val="00463022"/>
    <w:rsid w:val="0046376E"/>
    <w:rsid w:val="00463B50"/>
    <w:rsid w:val="0046587C"/>
    <w:rsid w:val="0046690F"/>
    <w:rsid w:val="0046792B"/>
    <w:rsid w:val="00471116"/>
    <w:rsid w:val="00472FEC"/>
    <w:rsid w:val="00474FC4"/>
    <w:rsid w:val="00476830"/>
    <w:rsid w:val="0047696E"/>
    <w:rsid w:val="004770F6"/>
    <w:rsid w:val="004812D2"/>
    <w:rsid w:val="00483B28"/>
    <w:rsid w:val="004858E1"/>
    <w:rsid w:val="00485EF2"/>
    <w:rsid w:val="004864A1"/>
    <w:rsid w:val="004868C3"/>
    <w:rsid w:val="0048769E"/>
    <w:rsid w:val="00490A03"/>
    <w:rsid w:val="00490B0D"/>
    <w:rsid w:val="00490E5D"/>
    <w:rsid w:val="00492B0A"/>
    <w:rsid w:val="00492D88"/>
    <w:rsid w:val="00493327"/>
    <w:rsid w:val="0049382E"/>
    <w:rsid w:val="00494DBE"/>
    <w:rsid w:val="00495CE6"/>
    <w:rsid w:val="00497524"/>
    <w:rsid w:val="00497D5E"/>
    <w:rsid w:val="004A0044"/>
    <w:rsid w:val="004A144D"/>
    <w:rsid w:val="004A1D27"/>
    <w:rsid w:val="004A323C"/>
    <w:rsid w:val="004A4DEC"/>
    <w:rsid w:val="004B0801"/>
    <w:rsid w:val="004B1117"/>
    <w:rsid w:val="004B1A6B"/>
    <w:rsid w:val="004B1FC8"/>
    <w:rsid w:val="004B339A"/>
    <w:rsid w:val="004B3B97"/>
    <w:rsid w:val="004B54E8"/>
    <w:rsid w:val="004B773C"/>
    <w:rsid w:val="004C0138"/>
    <w:rsid w:val="004C0686"/>
    <w:rsid w:val="004C12E8"/>
    <w:rsid w:val="004C130C"/>
    <w:rsid w:val="004C1578"/>
    <w:rsid w:val="004C174B"/>
    <w:rsid w:val="004C1C36"/>
    <w:rsid w:val="004C286B"/>
    <w:rsid w:val="004C33BA"/>
    <w:rsid w:val="004C35E9"/>
    <w:rsid w:val="004C47EA"/>
    <w:rsid w:val="004C4FEB"/>
    <w:rsid w:val="004C584B"/>
    <w:rsid w:val="004C6570"/>
    <w:rsid w:val="004C6717"/>
    <w:rsid w:val="004C678C"/>
    <w:rsid w:val="004C6B79"/>
    <w:rsid w:val="004C7345"/>
    <w:rsid w:val="004D059B"/>
    <w:rsid w:val="004D09E8"/>
    <w:rsid w:val="004D09F9"/>
    <w:rsid w:val="004D0E64"/>
    <w:rsid w:val="004D304E"/>
    <w:rsid w:val="004D4543"/>
    <w:rsid w:val="004D48A8"/>
    <w:rsid w:val="004D4CB6"/>
    <w:rsid w:val="004D4DCB"/>
    <w:rsid w:val="004E0907"/>
    <w:rsid w:val="004E20CF"/>
    <w:rsid w:val="004E2324"/>
    <w:rsid w:val="004E2820"/>
    <w:rsid w:val="004E28C9"/>
    <w:rsid w:val="004E3341"/>
    <w:rsid w:val="004E5124"/>
    <w:rsid w:val="004E7BE2"/>
    <w:rsid w:val="004E7E3A"/>
    <w:rsid w:val="004F10C1"/>
    <w:rsid w:val="004F1C5E"/>
    <w:rsid w:val="004F3E47"/>
    <w:rsid w:val="004F4CC8"/>
    <w:rsid w:val="004F4F5A"/>
    <w:rsid w:val="004F51FF"/>
    <w:rsid w:val="004F56E7"/>
    <w:rsid w:val="004F5AD9"/>
    <w:rsid w:val="004F6052"/>
    <w:rsid w:val="004F7B18"/>
    <w:rsid w:val="00500955"/>
    <w:rsid w:val="00501494"/>
    <w:rsid w:val="0050159C"/>
    <w:rsid w:val="005022B7"/>
    <w:rsid w:val="00502E62"/>
    <w:rsid w:val="0050510C"/>
    <w:rsid w:val="00506B8A"/>
    <w:rsid w:val="00510369"/>
    <w:rsid w:val="005110D3"/>
    <w:rsid w:val="00514D57"/>
    <w:rsid w:val="00520A65"/>
    <w:rsid w:val="005218B8"/>
    <w:rsid w:val="0052212B"/>
    <w:rsid w:val="005221A8"/>
    <w:rsid w:val="005230C7"/>
    <w:rsid w:val="005254BF"/>
    <w:rsid w:val="0052625A"/>
    <w:rsid w:val="005266EA"/>
    <w:rsid w:val="005268DA"/>
    <w:rsid w:val="00527072"/>
    <w:rsid w:val="0053001D"/>
    <w:rsid w:val="00534B46"/>
    <w:rsid w:val="00534CE8"/>
    <w:rsid w:val="00535018"/>
    <w:rsid w:val="005355DB"/>
    <w:rsid w:val="00535866"/>
    <w:rsid w:val="005400DF"/>
    <w:rsid w:val="00540358"/>
    <w:rsid w:val="005409C5"/>
    <w:rsid w:val="00540A05"/>
    <w:rsid w:val="00540C12"/>
    <w:rsid w:val="00540D47"/>
    <w:rsid w:val="005428D7"/>
    <w:rsid w:val="00542D43"/>
    <w:rsid w:val="00542E32"/>
    <w:rsid w:val="00544504"/>
    <w:rsid w:val="005463C3"/>
    <w:rsid w:val="005465A3"/>
    <w:rsid w:val="00547C7C"/>
    <w:rsid w:val="005506D5"/>
    <w:rsid w:val="00550864"/>
    <w:rsid w:val="00551D6C"/>
    <w:rsid w:val="00553580"/>
    <w:rsid w:val="00554F31"/>
    <w:rsid w:val="005550A8"/>
    <w:rsid w:val="0055571E"/>
    <w:rsid w:val="00556F67"/>
    <w:rsid w:val="00557849"/>
    <w:rsid w:val="00563009"/>
    <w:rsid w:val="005635B7"/>
    <w:rsid w:val="005652E8"/>
    <w:rsid w:val="00567475"/>
    <w:rsid w:val="0056772E"/>
    <w:rsid w:val="00567A17"/>
    <w:rsid w:val="0057667C"/>
    <w:rsid w:val="00576BDA"/>
    <w:rsid w:val="00577DB4"/>
    <w:rsid w:val="00581B1C"/>
    <w:rsid w:val="005826DA"/>
    <w:rsid w:val="00582943"/>
    <w:rsid w:val="00582D0E"/>
    <w:rsid w:val="00582E09"/>
    <w:rsid w:val="005833F0"/>
    <w:rsid w:val="00585FC8"/>
    <w:rsid w:val="00586280"/>
    <w:rsid w:val="005865FC"/>
    <w:rsid w:val="00586640"/>
    <w:rsid w:val="005869CE"/>
    <w:rsid w:val="00586CAF"/>
    <w:rsid w:val="005873E9"/>
    <w:rsid w:val="00587A90"/>
    <w:rsid w:val="00591180"/>
    <w:rsid w:val="00592E9F"/>
    <w:rsid w:val="005948C2"/>
    <w:rsid w:val="00595286"/>
    <w:rsid w:val="0059722C"/>
    <w:rsid w:val="005977A6"/>
    <w:rsid w:val="00597D07"/>
    <w:rsid w:val="00597DD6"/>
    <w:rsid w:val="005A01CF"/>
    <w:rsid w:val="005A11C7"/>
    <w:rsid w:val="005A16E6"/>
    <w:rsid w:val="005A2EB1"/>
    <w:rsid w:val="005A30D7"/>
    <w:rsid w:val="005A3846"/>
    <w:rsid w:val="005A5E6B"/>
    <w:rsid w:val="005A678F"/>
    <w:rsid w:val="005A7DE8"/>
    <w:rsid w:val="005A7E97"/>
    <w:rsid w:val="005B2CD2"/>
    <w:rsid w:val="005B632A"/>
    <w:rsid w:val="005B6A58"/>
    <w:rsid w:val="005C217B"/>
    <w:rsid w:val="005C2655"/>
    <w:rsid w:val="005C2D0E"/>
    <w:rsid w:val="005C5A83"/>
    <w:rsid w:val="005C7112"/>
    <w:rsid w:val="005D0561"/>
    <w:rsid w:val="005D0AD9"/>
    <w:rsid w:val="005D1A67"/>
    <w:rsid w:val="005D22F6"/>
    <w:rsid w:val="005D6774"/>
    <w:rsid w:val="005D68AA"/>
    <w:rsid w:val="005D6BD1"/>
    <w:rsid w:val="005E060E"/>
    <w:rsid w:val="005E0C30"/>
    <w:rsid w:val="005E1DCB"/>
    <w:rsid w:val="005E2377"/>
    <w:rsid w:val="005E33E0"/>
    <w:rsid w:val="005E3FBB"/>
    <w:rsid w:val="005E66B4"/>
    <w:rsid w:val="005E69D9"/>
    <w:rsid w:val="005E6CB1"/>
    <w:rsid w:val="005E7116"/>
    <w:rsid w:val="005E7971"/>
    <w:rsid w:val="005F17D1"/>
    <w:rsid w:val="005F27F4"/>
    <w:rsid w:val="005F2F9B"/>
    <w:rsid w:val="005F3239"/>
    <w:rsid w:val="005F39BF"/>
    <w:rsid w:val="005F566C"/>
    <w:rsid w:val="005F58F5"/>
    <w:rsid w:val="005F6567"/>
    <w:rsid w:val="005F676D"/>
    <w:rsid w:val="005F7A8A"/>
    <w:rsid w:val="005F7B5C"/>
    <w:rsid w:val="00600998"/>
    <w:rsid w:val="00600ACF"/>
    <w:rsid w:val="006019EB"/>
    <w:rsid w:val="006042BE"/>
    <w:rsid w:val="00605DFE"/>
    <w:rsid w:val="00607094"/>
    <w:rsid w:val="00607256"/>
    <w:rsid w:val="0060790C"/>
    <w:rsid w:val="0060791E"/>
    <w:rsid w:val="00607DCD"/>
    <w:rsid w:val="00611F08"/>
    <w:rsid w:val="00613BF1"/>
    <w:rsid w:val="006144B1"/>
    <w:rsid w:val="00614AAB"/>
    <w:rsid w:val="00615699"/>
    <w:rsid w:val="00615A5C"/>
    <w:rsid w:val="006177FF"/>
    <w:rsid w:val="0062077F"/>
    <w:rsid w:val="00621BC7"/>
    <w:rsid w:val="00622033"/>
    <w:rsid w:val="0062232C"/>
    <w:rsid w:val="00627FA3"/>
    <w:rsid w:val="00630644"/>
    <w:rsid w:val="006335F1"/>
    <w:rsid w:val="006336FD"/>
    <w:rsid w:val="00633B49"/>
    <w:rsid w:val="006345B6"/>
    <w:rsid w:val="00635616"/>
    <w:rsid w:val="00635712"/>
    <w:rsid w:val="00635984"/>
    <w:rsid w:val="00635F41"/>
    <w:rsid w:val="006368FF"/>
    <w:rsid w:val="006377D4"/>
    <w:rsid w:val="00640135"/>
    <w:rsid w:val="006402FF"/>
    <w:rsid w:val="00640BFB"/>
    <w:rsid w:val="00640D3C"/>
    <w:rsid w:val="0064107F"/>
    <w:rsid w:val="0064350F"/>
    <w:rsid w:val="00643D8A"/>
    <w:rsid w:val="00645A5C"/>
    <w:rsid w:val="00647AB9"/>
    <w:rsid w:val="00650894"/>
    <w:rsid w:val="0065112B"/>
    <w:rsid w:val="00652091"/>
    <w:rsid w:val="00652229"/>
    <w:rsid w:val="00652793"/>
    <w:rsid w:val="006528DE"/>
    <w:rsid w:val="00657789"/>
    <w:rsid w:val="00660320"/>
    <w:rsid w:val="0066187E"/>
    <w:rsid w:val="00662375"/>
    <w:rsid w:val="006626CA"/>
    <w:rsid w:val="00663487"/>
    <w:rsid w:val="00665511"/>
    <w:rsid w:val="00665D2D"/>
    <w:rsid w:val="006662DE"/>
    <w:rsid w:val="00670F88"/>
    <w:rsid w:val="00672382"/>
    <w:rsid w:val="00672D0F"/>
    <w:rsid w:val="006733BB"/>
    <w:rsid w:val="00676E80"/>
    <w:rsid w:val="00680F04"/>
    <w:rsid w:val="00681257"/>
    <w:rsid w:val="00681C3E"/>
    <w:rsid w:val="006822E9"/>
    <w:rsid w:val="00682643"/>
    <w:rsid w:val="00682EB9"/>
    <w:rsid w:val="00682F1E"/>
    <w:rsid w:val="0068378C"/>
    <w:rsid w:val="006839D3"/>
    <w:rsid w:val="0068441A"/>
    <w:rsid w:val="0068699A"/>
    <w:rsid w:val="00690B19"/>
    <w:rsid w:val="006935F4"/>
    <w:rsid w:val="0069650C"/>
    <w:rsid w:val="006A0A3C"/>
    <w:rsid w:val="006A1ED8"/>
    <w:rsid w:val="006A59E9"/>
    <w:rsid w:val="006A5AB1"/>
    <w:rsid w:val="006A75B8"/>
    <w:rsid w:val="006A79F0"/>
    <w:rsid w:val="006B048F"/>
    <w:rsid w:val="006B359D"/>
    <w:rsid w:val="006B47EE"/>
    <w:rsid w:val="006B499F"/>
    <w:rsid w:val="006B54C6"/>
    <w:rsid w:val="006B617F"/>
    <w:rsid w:val="006C1FB8"/>
    <w:rsid w:val="006C2A70"/>
    <w:rsid w:val="006C2BB0"/>
    <w:rsid w:val="006C30F6"/>
    <w:rsid w:val="006C33BE"/>
    <w:rsid w:val="006C39FA"/>
    <w:rsid w:val="006C4B3D"/>
    <w:rsid w:val="006C5B53"/>
    <w:rsid w:val="006C7E78"/>
    <w:rsid w:val="006D064D"/>
    <w:rsid w:val="006D098F"/>
    <w:rsid w:val="006D20E3"/>
    <w:rsid w:val="006D2218"/>
    <w:rsid w:val="006D33E1"/>
    <w:rsid w:val="006D4996"/>
    <w:rsid w:val="006D535B"/>
    <w:rsid w:val="006D54AB"/>
    <w:rsid w:val="006D5525"/>
    <w:rsid w:val="006D58E5"/>
    <w:rsid w:val="006D63C2"/>
    <w:rsid w:val="006E1084"/>
    <w:rsid w:val="006E10B2"/>
    <w:rsid w:val="006E1FA9"/>
    <w:rsid w:val="006E2D24"/>
    <w:rsid w:val="006E3006"/>
    <w:rsid w:val="006E4F02"/>
    <w:rsid w:val="006E5032"/>
    <w:rsid w:val="006E5BDA"/>
    <w:rsid w:val="006E6935"/>
    <w:rsid w:val="006E7AC9"/>
    <w:rsid w:val="006F0FC7"/>
    <w:rsid w:val="006F39A9"/>
    <w:rsid w:val="006F3D9D"/>
    <w:rsid w:val="006F4A38"/>
    <w:rsid w:val="006F524E"/>
    <w:rsid w:val="006F5743"/>
    <w:rsid w:val="006F5D57"/>
    <w:rsid w:val="006F643F"/>
    <w:rsid w:val="006F670F"/>
    <w:rsid w:val="006F77F3"/>
    <w:rsid w:val="0070063C"/>
    <w:rsid w:val="00700D69"/>
    <w:rsid w:val="007017B9"/>
    <w:rsid w:val="00702921"/>
    <w:rsid w:val="00703272"/>
    <w:rsid w:val="0070362C"/>
    <w:rsid w:val="0070471B"/>
    <w:rsid w:val="00705BBE"/>
    <w:rsid w:val="007063E6"/>
    <w:rsid w:val="0070733C"/>
    <w:rsid w:val="007102D5"/>
    <w:rsid w:val="00710C5D"/>
    <w:rsid w:val="0071348C"/>
    <w:rsid w:val="007163FB"/>
    <w:rsid w:val="00717273"/>
    <w:rsid w:val="00720FD4"/>
    <w:rsid w:val="00722C50"/>
    <w:rsid w:val="00723C6D"/>
    <w:rsid w:val="007243A5"/>
    <w:rsid w:val="00724550"/>
    <w:rsid w:val="00724737"/>
    <w:rsid w:val="00724AF2"/>
    <w:rsid w:val="00730624"/>
    <w:rsid w:val="0073096C"/>
    <w:rsid w:val="0073100D"/>
    <w:rsid w:val="00731368"/>
    <w:rsid w:val="007314E4"/>
    <w:rsid w:val="00733429"/>
    <w:rsid w:val="00733A46"/>
    <w:rsid w:val="00733BCC"/>
    <w:rsid w:val="00735E2D"/>
    <w:rsid w:val="007366CF"/>
    <w:rsid w:val="00736F2C"/>
    <w:rsid w:val="00740055"/>
    <w:rsid w:val="007416AC"/>
    <w:rsid w:val="007419C8"/>
    <w:rsid w:val="00741D9F"/>
    <w:rsid w:val="00742398"/>
    <w:rsid w:val="007432A9"/>
    <w:rsid w:val="00743B63"/>
    <w:rsid w:val="00745C0B"/>
    <w:rsid w:val="00746050"/>
    <w:rsid w:val="00746118"/>
    <w:rsid w:val="00746C7F"/>
    <w:rsid w:val="007507B5"/>
    <w:rsid w:val="0075091D"/>
    <w:rsid w:val="00750EC4"/>
    <w:rsid w:val="00751831"/>
    <w:rsid w:val="0075201B"/>
    <w:rsid w:val="00753A24"/>
    <w:rsid w:val="0075430D"/>
    <w:rsid w:val="007558B1"/>
    <w:rsid w:val="0075779F"/>
    <w:rsid w:val="0076354B"/>
    <w:rsid w:val="007658F3"/>
    <w:rsid w:val="007661FA"/>
    <w:rsid w:val="00766EA2"/>
    <w:rsid w:val="00767034"/>
    <w:rsid w:val="007712DB"/>
    <w:rsid w:val="00772188"/>
    <w:rsid w:val="0077222A"/>
    <w:rsid w:val="007723A9"/>
    <w:rsid w:val="00773909"/>
    <w:rsid w:val="0077411B"/>
    <w:rsid w:val="0077433B"/>
    <w:rsid w:val="00774E1E"/>
    <w:rsid w:val="00780700"/>
    <w:rsid w:val="0078078A"/>
    <w:rsid w:val="0078118A"/>
    <w:rsid w:val="007813D0"/>
    <w:rsid w:val="007845AC"/>
    <w:rsid w:val="00785993"/>
    <w:rsid w:val="00785A0D"/>
    <w:rsid w:val="00785FC4"/>
    <w:rsid w:val="007863BF"/>
    <w:rsid w:val="007866E2"/>
    <w:rsid w:val="00786BA3"/>
    <w:rsid w:val="00790993"/>
    <w:rsid w:val="0079202F"/>
    <w:rsid w:val="0079203E"/>
    <w:rsid w:val="007921BF"/>
    <w:rsid w:val="00792596"/>
    <w:rsid w:val="007934C3"/>
    <w:rsid w:val="00794903"/>
    <w:rsid w:val="00795486"/>
    <w:rsid w:val="00795AF2"/>
    <w:rsid w:val="00795E4F"/>
    <w:rsid w:val="007A0287"/>
    <w:rsid w:val="007A09FC"/>
    <w:rsid w:val="007A2AAD"/>
    <w:rsid w:val="007A4432"/>
    <w:rsid w:val="007A59E9"/>
    <w:rsid w:val="007A784E"/>
    <w:rsid w:val="007A7E31"/>
    <w:rsid w:val="007B02A0"/>
    <w:rsid w:val="007B07C8"/>
    <w:rsid w:val="007B278C"/>
    <w:rsid w:val="007B2DAD"/>
    <w:rsid w:val="007B3774"/>
    <w:rsid w:val="007B459E"/>
    <w:rsid w:val="007B4939"/>
    <w:rsid w:val="007B499C"/>
    <w:rsid w:val="007B4D4B"/>
    <w:rsid w:val="007B58C6"/>
    <w:rsid w:val="007B5EE2"/>
    <w:rsid w:val="007B76D8"/>
    <w:rsid w:val="007C0646"/>
    <w:rsid w:val="007C1E5E"/>
    <w:rsid w:val="007C1E9D"/>
    <w:rsid w:val="007C3AE3"/>
    <w:rsid w:val="007C6C51"/>
    <w:rsid w:val="007D0000"/>
    <w:rsid w:val="007D1647"/>
    <w:rsid w:val="007D2A02"/>
    <w:rsid w:val="007D5EA2"/>
    <w:rsid w:val="007D6144"/>
    <w:rsid w:val="007D62A4"/>
    <w:rsid w:val="007D6A53"/>
    <w:rsid w:val="007D6CE5"/>
    <w:rsid w:val="007E0917"/>
    <w:rsid w:val="007E1736"/>
    <w:rsid w:val="007E1E31"/>
    <w:rsid w:val="007E25DD"/>
    <w:rsid w:val="007E2887"/>
    <w:rsid w:val="007E3318"/>
    <w:rsid w:val="007E667D"/>
    <w:rsid w:val="007E6EA1"/>
    <w:rsid w:val="007E7784"/>
    <w:rsid w:val="007F0F63"/>
    <w:rsid w:val="007F27CC"/>
    <w:rsid w:val="007F2B1E"/>
    <w:rsid w:val="007F4590"/>
    <w:rsid w:val="007F4B5D"/>
    <w:rsid w:val="007F62B4"/>
    <w:rsid w:val="007F7DF9"/>
    <w:rsid w:val="00800B4E"/>
    <w:rsid w:val="00800FD6"/>
    <w:rsid w:val="00801517"/>
    <w:rsid w:val="00804966"/>
    <w:rsid w:val="0080510A"/>
    <w:rsid w:val="0080596A"/>
    <w:rsid w:val="00805CBF"/>
    <w:rsid w:val="008079E2"/>
    <w:rsid w:val="00810AC4"/>
    <w:rsid w:val="0081218E"/>
    <w:rsid w:val="0081228B"/>
    <w:rsid w:val="00813492"/>
    <w:rsid w:val="008134A4"/>
    <w:rsid w:val="00814DE2"/>
    <w:rsid w:val="00816ED1"/>
    <w:rsid w:val="008174AE"/>
    <w:rsid w:val="008177EE"/>
    <w:rsid w:val="00817895"/>
    <w:rsid w:val="00817AE8"/>
    <w:rsid w:val="00817DE8"/>
    <w:rsid w:val="00821218"/>
    <w:rsid w:val="008229F5"/>
    <w:rsid w:val="008259DE"/>
    <w:rsid w:val="0082699A"/>
    <w:rsid w:val="00827F2A"/>
    <w:rsid w:val="00832633"/>
    <w:rsid w:val="0083342C"/>
    <w:rsid w:val="00833869"/>
    <w:rsid w:val="00833A2B"/>
    <w:rsid w:val="00833CEB"/>
    <w:rsid w:val="008359B8"/>
    <w:rsid w:val="0083662B"/>
    <w:rsid w:val="008372D2"/>
    <w:rsid w:val="008372ED"/>
    <w:rsid w:val="008377BC"/>
    <w:rsid w:val="00844C17"/>
    <w:rsid w:val="00846017"/>
    <w:rsid w:val="00847726"/>
    <w:rsid w:val="008502EE"/>
    <w:rsid w:val="00851033"/>
    <w:rsid w:val="00851A55"/>
    <w:rsid w:val="00851CB1"/>
    <w:rsid w:val="00852511"/>
    <w:rsid w:val="0085252F"/>
    <w:rsid w:val="008527CF"/>
    <w:rsid w:val="008558EF"/>
    <w:rsid w:val="00855FD0"/>
    <w:rsid w:val="00857408"/>
    <w:rsid w:val="008578A9"/>
    <w:rsid w:val="00857A17"/>
    <w:rsid w:val="0086072A"/>
    <w:rsid w:val="0086088F"/>
    <w:rsid w:val="00861422"/>
    <w:rsid w:val="008614F1"/>
    <w:rsid w:val="0086162F"/>
    <w:rsid w:val="00862FD6"/>
    <w:rsid w:val="008639B3"/>
    <w:rsid w:val="00863C1A"/>
    <w:rsid w:val="00863DA3"/>
    <w:rsid w:val="0086470F"/>
    <w:rsid w:val="00865882"/>
    <w:rsid w:val="008663EA"/>
    <w:rsid w:val="00866CDD"/>
    <w:rsid w:val="008712FE"/>
    <w:rsid w:val="0087142D"/>
    <w:rsid w:val="00872928"/>
    <w:rsid w:val="00872DA6"/>
    <w:rsid w:val="00873416"/>
    <w:rsid w:val="00873956"/>
    <w:rsid w:val="0087538C"/>
    <w:rsid w:val="00875CB0"/>
    <w:rsid w:val="008770CC"/>
    <w:rsid w:val="00877800"/>
    <w:rsid w:val="00877C32"/>
    <w:rsid w:val="0088094B"/>
    <w:rsid w:val="00880E72"/>
    <w:rsid w:val="0088176E"/>
    <w:rsid w:val="0088191A"/>
    <w:rsid w:val="008825EE"/>
    <w:rsid w:val="00882DD2"/>
    <w:rsid w:val="00882DE4"/>
    <w:rsid w:val="0088313E"/>
    <w:rsid w:val="0088596E"/>
    <w:rsid w:val="00885D26"/>
    <w:rsid w:val="00886C54"/>
    <w:rsid w:val="00886F34"/>
    <w:rsid w:val="008870ED"/>
    <w:rsid w:val="008877FC"/>
    <w:rsid w:val="008975BE"/>
    <w:rsid w:val="0089796A"/>
    <w:rsid w:val="0089799B"/>
    <w:rsid w:val="008A2375"/>
    <w:rsid w:val="008A37D2"/>
    <w:rsid w:val="008A54B6"/>
    <w:rsid w:val="008A56FE"/>
    <w:rsid w:val="008A7DEB"/>
    <w:rsid w:val="008B17FF"/>
    <w:rsid w:val="008B1B65"/>
    <w:rsid w:val="008B3557"/>
    <w:rsid w:val="008B39E0"/>
    <w:rsid w:val="008B4302"/>
    <w:rsid w:val="008B548B"/>
    <w:rsid w:val="008B5E05"/>
    <w:rsid w:val="008B605A"/>
    <w:rsid w:val="008B642A"/>
    <w:rsid w:val="008C027E"/>
    <w:rsid w:val="008C093B"/>
    <w:rsid w:val="008C0E76"/>
    <w:rsid w:val="008C2665"/>
    <w:rsid w:val="008C6041"/>
    <w:rsid w:val="008C68D0"/>
    <w:rsid w:val="008C74E3"/>
    <w:rsid w:val="008D0936"/>
    <w:rsid w:val="008D1329"/>
    <w:rsid w:val="008D39B2"/>
    <w:rsid w:val="008D403B"/>
    <w:rsid w:val="008D4707"/>
    <w:rsid w:val="008D76C5"/>
    <w:rsid w:val="008E0A04"/>
    <w:rsid w:val="008E0AFA"/>
    <w:rsid w:val="008E3436"/>
    <w:rsid w:val="008E411B"/>
    <w:rsid w:val="008E4F56"/>
    <w:rsid w:val="008E4FBF"/>
    <w:rsid w:val="008E6D91"/>
    <w:rsid w:val="008E75D3"/>
    <w:rsid w:val="008E7A2A"/>
    <w:rsid w:val="008E7E48"/>
    <w:rsid w:val="008F02E9"/>
    <w:rsid w:val="008F0CE4"/>
    <w:rsid w:val="008F0EFC"/>
    <w:rsid w:val="008F125E"/>
    <w:rsid w:val="008F1CC5"/>
    <w:rsid w:val="008F2B54"/>
    <w:rsid w:val="008F2CC5"/>
    <w:rsid w:val="008F2F3B"/>
    <w:rsid w:val="008F3098"/>
    <w:rsid w:val="008F4C1E"/>
    <w:rsid w:val="008F4D2F"/>
    <w:rsid w:val="008F510A"/>
    <w:rsid w:val="008F55A2"/>
    <w:rsid w:val="008F64E2"/>
    <w:rsid w:val="00900078"/>
    <w:rsid w:val="00900235"/>
    <w:rsid w:val="00900D3C"/>
    <w:rsid w:val="009038F2"/>
    <w:rsid w:val="00906292"/>
    <w:rsid w:val="00910EBE"/>
    <w:rsid w:val="00914B5B"/>
    <w:rsid w:val="00916732"/>
    <w:rsid w:val="00917162"/>
    <w:rsid w:val="009172B9"/>
    <w:rsid w:val="009178AA"/>
    <w:rsid w:val="00923001"/>
    <w:rsid w:val="0092358D"/>
    <w:rsid w:val="009238BF"/>
    <w:rsid w:val="009251CC"/>
    <w:rsid w:val="0092714E"/>
    <w:rsid w:val="00927661"/>
    <w:rsid w:val="00931E24"/>
    <w:rsid w:val="009324F0"/>
    <w:rsid w:val="0093478F"/>
    <w:rsid w:val="00936826"/>
    <w:rsid w:val="00940B3D"/>
    <w:rsid w:val="00942002"/>
    <w:rsid w:val="00942359"/>
    <w:rsid w:val="009446D6"/>
    <w:rsid w:val="0094623A"/>
    <w:rsid w:val="00946FC5"/>
    <w:rsid w:val="00947885"/>
    <w:rsid w:val="009504AB"/>
    <w:rsid w:val="00951212"/>
    <w:rsid w:val="00951818"/>
    <w:rsid w:val="00952168"/>
    <w:rsid w:val="009527FE"/>
    <w:rsid w:val="009529B2"/>
    <w:rsid w:val="009535A6"/>
    <w:rsid w:val="009538D0"/>
    <w:rsid w:val="0095421F"/>
    <w:rsid w:val="009555CA"/>
    <w:rsid w:val="00955D69"/>
    <w:rsid w:val="00960539"/>
    <w:rsid w:val="009605B1"/>
    <w:rsid w:val="00960C9A"/>
    <w:rsid w:val="00960CBC"/>
    <w:rsid w:val="00963A06"/>
    <w:rsid w:val="00965192"/>
    <w:rsid w:val="00965286"/>
    <w:rsid w:val="00967DD4"/>
    <w:rsid w:val="009700B1"/>
    <w:rsid w:val="00970ECF"/>
    <w:rsid w:val="00971261"/>
    <w:rsid w:val="00971FD4"/>
    <w:rsid w:val="009722CB"/>
    <w:rsid w:val="009739A0"/>
    <w:rsid w:val="00974EE4"/>
    <w:rsid w:val="00974F84"/>
    <w:rsid w:val="00975193"/>
    <w:rsid w:val="00975D5B"/>
    <w:rsid w:val="00976216"/>
    <w:rsid w:val="009767C7"/>
    <w:rsid w:val="00977D30"/>
    <w:rsid w:val="00980AAE"/>
    <w:rsid w:val="00980E69"/>
    <w:rsid w:val="0098334C"/>
    <w:rsid w:val="009839AE"/>
    <w:rsid w:val="00984643"/>
    <w:rsid w:val="0098576C"/>
    <w:rsid w:val="0098579A"/>
    <w:rsid w:val="00986885"/>
    <w:rsid w:val="00991475"/>
    <w:rsid w:val="009918DD"/>
    <w:rsid w:val="0099195A"/>
    <w:rsid w:val="00991BD2"/>
    <w:rsid w:val="00992407"/>
    <w:rsid w:val="00992A11"/>
    <w:rsid w:val="00994681"/>
    <w:rsid w:val="0099486A"/>
    <w:rsid w:val="0099492D"/>
    <w:rsid w:val="00995FCE"/>
    <w:rsid w:val="009A06FC"/>
    <w:rsid w:val="009A0B33"/>
    <w:rsid w:val="009A0E26"/>
    <w:rsid w:val="009A16EC"/>
    <w:rsid w:val="009A22C2"/>
    <w:rsid w:val="009A4222"/>
    <w:rsid w:val="009A743E"/>
    <w:rsid w:val="009A7CF6"/>
    <w:rsid w:val="009B0D38"/>
    <w:rsid w:val="009B1B55"/>
    <w:rsid w:val="009B29B7"/>
    <w:rsid w:val="009B3199"/>
    <w:rsid w:val="009B3B37"/>
    <w:rsid w:val="009B63F4"/>
    <w:rsid w:val="009B7D1F"/>
    <w:rsid w:val="009C088E"/>
    <w:rsid w:val="009C17DC"/>
    <w:rsid w:val="009C37AB"/>
    <w:rsid w:val="009C4584"/>
    <w:rsid w:val="009C4C7A"/>
    <w:rsid w:val="009C4D35"/>
    <w:rsid w:val="009C5E51"/>
    <w:rsid w:val="009C7B68"/>
    <w:rsid w:val="009D1522"/>
    <w:rsid w:val="009D51F0"/>
    <w:rsid w:val="009D7252"/>
    <w:rsid w:val="009E1FF6"/>
    <w:rsid w:val="009E3CAF"/>
    <w:rsid w:val="009E3F48"/>
    <w:rsid w:val="009E434F"/>
    <w:rsid w:val="009E53A5"/>
    <w:rsid w:val="009E5B95"/>
    <w:rsid w:val="009E5CCE"/>
    <w:rsid w:val="009E5EB4"/>
    <w:rsid w:val="009E6BA8"/>
    <w:rsid w:val="009F563C"/>
    <w:rsid w:val="009F610E"/>
    <w:rsid w:val="00A00DA9"/>
    <w:rsid w:val="00A00E4B"/>
    <w:rsid w:val="00A00F7E"/>
    <w:rsid w:val="00A044D6"/>
    <w:rsid w:val="00A04ADB"/>
    <w:rsid w:val="00A04F89"/>
    <w:rsid w:val="00A05F11"/>
    <w:rsid w:val="00A1190C"/>
    <w:rsid w:val="00A11E0F"/>
    <w:rsid w:val="00A12378"/>
    <w:rsid w:val="00A141E9"/>
    <w:rsid w:val="00A15D78"/>
    <w:rsid w:val="00A15EBE"/>
    <w:rsid w:val="00A163C3"/>
    <w:rsid w:val="00A17F5B"/>
    <w:rsid w:val="00A20196"/>
    <w:rsid w:val="00A216E5"/>
    <w:rsid w:val="00A24752"/>
    <w:rsid w:val="00A26744"/>
    <w:rsid w:val="00A26CB6"/>
    <w:rsid w:val="00A30A00"/>
    <w:rsid w:val="00A32F82"/>
    <w:rsid w:val="00A32F8B"/>
    <w:rsid w:val="00A3431E"/>
    <w:rsid w:val="00A34F9F"/>
    <w:rsid w:val="00A352FB"/>
    <w:rsid w:val="00A36481"/>
    <w:rsid w:val="00A36675"/>
    <w:rsid w:val="00A3756F"/>
    <w:rsid w:val="00A41CC3"/>
    <w:rsid w:val="00A41DBE"/>
    <w:rsid w:val="00A42D6F"/>
    <w:rsid w:val="00A43870"/>
    <w:rsid w:val="00A44642"/>
    <w:rsid w:val="00A4474B"/>
    <w:rsid w:val="00A45A62"/>
    <w:rsid w:val="00A462DC"/>
    <w:rsid w:val="00A4657C"/>
    <w:rsid w:val="00A46C7E"/>
    <w:rsid w:val="00A51DB8"/>
    <w:rsid w:val="00A52E0B"/>
    <w:rsid w:val="00A52FA1"/>
    <w:rsid w:val="00A54AC5"/>
    <w:rsid w:val="00A54C2A"/>
    <w:rsid w:val="00A55DC3"/>
    <w:rsid w:val="00A566EC"/>
    <w:rsid w:val="00A56D41"/>
    <w:rsid w:val="00A56DEC"/>
    <w:rsid w:val="00A60529"/>
    <w:rsid w:val="00A60899"/>
    <w:rsid w:val="00A608D3"/>
    <w:rsid w:val="00A60F91"/>
    <w:rsid w:val="00A611D0"/>
    <w:rsid w:val="00A61353"/>
    <w:rsid w:val="00A61481"/>
    <w:rsid w:val="00A616F1"/>
    <w:rsid w:val="00A61A48"/>
    <w:rsid w:val="00A629D6"/>
    <w:rsid w:val="00A6364F"/>
    <w:rsid w:val="00A637C9"/>
    <w:rsid w:val="00A64E2B"/>
    <w:rsid w:val="00A65490"/>
    <w:rsid w:val="00A66361"/>
    <w:rsid w:val="00A66D5A"/>
    <w:rsid w:val="00A66DB1"/>
    <w:rsid w:val="00A67A92"/>
    <w:rsid w:val="00A70DC6"/>
    <w:rsid w:val="00A74FDC"/>
    <w:rsid w:val="00A77192"/>
    <w:rsid w:val="00A8089F"/>
    <w:rsid w:val="00A821BE"/>
    <w:rsid w:val="00A842D5"/>
    <w:rsid w:val="00A85A62"/>
    <w:rsid w:val="00A87870"/>
    <w:rsid w:val="00A903F3"/>
    <w:rsid w:val="00A90F18"/>
    <w:rsid w:val="00A90FFB"/>
    <w:rsid w:val="00A9149D"/>
    <w:rsid w:val="00A91A70"/>
    <w:rsid w:val="00A9302F"/>
    <w:rsid w:val="00A940AF"/>
    <w:rsid w:val="00A957F6"/>
    <w:rsid w:val="00A959CF"/>
    <w:rsid w:val="00A96801"/>
    <w:rsid w:val="00A97316"/>
    <w:rsid w:val="00A979DC"/>
    <w:rsid w:val="00AA010B"/>
    <w:rsid w:val="00AA0D54"/>
    <w:rsid w:val="00AA1B85"/>
    <w:rsid w:val="00AA3013"/>
    <w:rsid w:val="00AA3290"/>
    <w:rsid w:val="00AA46F0"/>
    <w:rsid w:val="00AA4CA2"/>
    <w:rsid w:val="00AA6481"/>
    <w:rsid w:val="00AA6E4F"/>
    <w:rsid w:val="00AA7270"/>
    <w:rsid w:val="00AB0C08"/>
    <w:rsid w:val="00AB12AC"/>
    <w:rsid w:val="00AB1CB6"/>
    <w:rsid w:val="00AB1D9A"/>
    <w:rsid w:val="00AB4A1F"/>
    <w:rsid w:val="00AB5C61"/>
    <w:rsid w:val="00AC3540"/>
    <w:rsid w:val="00AC3D15"/>
    <w:rsid w:val="00AC5055"/>
    <w:rsid w:val="00AD0C22"/>
    <w:rsid w:val="00AD1AD7"/>
    <w:rsid w:val="00AD1AE2"/>
    <w:rsid w:val="00AD1DC6"/>
    <w:rsid w:val="00AD3290"/>
    <w:rsid w:val="00AD442C"/>
    <w:rsid w:val="00AD44FE"/>
    <w:rsid w:val="00AD5A37"/>
    <w:rsid w:val="00AD73BF"/>
    <w:rsid w:val="00AE05A4"/>
    <w:rsid w:val="00AE177E"/>
    <w:rsid w:val="00AE25FC"/>
    <w:rsid w:val="00AE400C"/>
    <w:rsid w:val="00AE49F1"/>
    <w:rsid w:val="00AE4A1C"/>
    <w:rsid w:val="00AE4B7A"/>
    <w:rsid w:val="00AE4DA4"/>
    <w:rsid w:val="00AE5532"/>
    <w:rsid w:val="00AE74D8"/>
    <w:rsid w:val="00AE796C"/>
    <w:rsid w:val="00AF0B6F"/>
    <w:rsid w:val="00AF1D69"/>
    <w:rsid w:val="00AF30D0"/>
    <w:rsid w:val="00AF41FA"/>
    <w:rsid w:val="00AF71EB"/>
    <w:rsid w:val="00B00988"/>
    <w:rsid w:val="00B01405"/>
    <w:rsid w:val="00B03639"/>
    <w:rsid w:val="00B052E8"/>
    <w:rsid w:val="00B05CCA"/>
    <w:rsid w:val="00B077D3"/>
    <w:rsid w:val="00B100C9"/>
    <w:rsid w:val="00B10AC8"/>
    <w:rsid w:val="00B10E8A"/>
    <w:rsid w:val="00B11099"/>
    <w:rsid w:val="00B1118A"/>
    <w:rsid w:val="00B13CE1"/>
    <w:rsid w:val="00B14271"/>
    <w:rsid w:val="00B16270"/>
    <w:rsid w:val="00B22578"/>
    <w:rsid w:val="00B23C16"/>
    <w:rsid w:val="00B23C52"/>
    <w:rsid w:val="00B247C7"/>
    <w:rsid w:val="00B259E1"/>
    <w:rsid w:val="00B2685D"/>
    <w:rsid w:val="00B26D1E"/>
    <w:rsid w:val="00B27573"/>
    <w:rsid w:val="00B30295"/>
    <w:rsid w:val="00B30351"/>
    <w:rsid w:val="00B31D62"/>
    <w:rsid w:val="00B33837"/>
    <w:rsid w:val="00B33C2A"/>
    <w:rsid w:val="00B34A14"/>
    <w:rsid w:val="00B35967"/>
    <w:rsid w:val="00B363D9"/>
    <w:rsid w:val="00B372CC"/>
    <w:rsid w:val="00B400FD"/>
    <w:rsid w:val="00B403AF"/>
    <w:rsid w:val="00B422EC"/>
    <w:rsid w:val="00B44875"/>
    <w:rsid w:val="00B44C07"/>
    <w:rsid w:val="00B46320"/>
    <w:rsid w:val="00B4657A"/>
    <w:rsid w:val="00B471F4"/>
    <w:rsid w:val="00B47F0A"/>
    <w:rsid w:val="00B50B6B"/>
    <w:rsid w:val="00B53E7E"/>
    <w:rsid w:val="00B54329"/>
    <w:rsid w:val="00B54885"/>
    <w:rsid w:val="00B54BFF"/>
    <w:rsid w:val="00B554C9"/>
    <w:rsid w:val="00B56AD9"/>
    <w:rsid w:val="00B56EE3"/>
    <w:rsid w:val="00B57158"/>
    <w:rsid w:val="00B5778D"/>
    <w:rsid w:val="00B614C0"/>
    <w:rsid w:val="00B61D0B"/>
    <w:rsid w:val="00B63235"/>
    <w:rsid w:val="00B634AB"/>
    <w:rsid w:val="00B63624"/>
    <w:rsid w:val="00B64763"/>
    <w:rsid w:val="00B6678B"/>
    <w:rsid w:val="00B7037B"/>
    <w:rsid w:val="00B71295"/>
    <w:rsid w:val="00B719F6"/>
    <w:rsid w:val="00B726D4"/>
    <w:rsid w:val="00B72969"/>
    <w:rsid w:val="00B758FD"/>
    <w:rsid w:val="00B76807"/>
    <w:rsid w:val="00B77D24"/>
    <w:rsid w:val="00B8214F"/>
    <w:rsid w:val="00B82B43"/>
    <w:rsid w:val="00B82B48"/>
    <w:rsid w:val="00B84B3D"/>
    <w:rsid w:val="00B85133"/>
    <w:rsid w:val="00B8643A"/>
    <w:rsid w:val="00B86A4F"/>
    <w:rsid w:val="00B93035"/>
    <w:rsid w:val="00B940EB"/>
    <w:rsid w:val="00B9431C"/>
    <w:rsid w:val="00B94F52"/>
    <w:rsid w:val="00B951FF"/>
    <w:rsid w:val="00B95798"/>
    <w:rsid w:val="00B958E8"/>
    <w:rsid w:val="00B97637"/>
    <w:rsid w:val="00B97E4A"/>
    <w:rsid w:val="00BA09B2"/>
    <w:rsid w:val="00BA0F35"/>
    <w:rsid w:val="00BA12BC"/>
    <w:rsid w:val="00BA465D"/>
    <w:rsid w:val="00BA52C0"/>
    <w:rsid w:val="00BA5B46"/>
    <w:rsid w:val="00BA63D4"/>
    <w:rsid w:val="00BA6409"/>
    <w:rsid w:val="00BB10E9"/>
    <w:rsid w:val="00BB2D73"/>
    <w:rsid w:val="00BB400D"/>
    <w:rsid w:val="00BB45BA"/>
    <w:rsid w:val="00BB48B2"/>
    <w:rsid w:val="00BB4A3A"/>
    <w:rsid w:val="00BB4D6A"/>
    <w:rsid w:val="00BB5D0B"/>
    <w:rsid w:val="00BB629C"/>
    <w:rsid w:val="00BC0995"/>
    <w:rsid w:val="00BC1761"/>
    <w:rsid w:val="00BC19ED"/>
    <w:rsid w:val="00BC513A"/>
    <w:rsid w:val="00BC6C56"/>
    <w:rsid w:val="00BC6DE2"/>
    <w:rsid w:val="00BC6E62"/>
    <w:rsid w:val="00BD013A"/>
    <w:rsid w:val="00BD2510"/>
    <w:rsid w:val="00BD3A53"/>
    <w:rsid w:val="00BD5A19"/>
    <w:rsid w:val="00BD656A"/>
    <w:rsid w:val="00BD6D1B"/>
    <w:rsid w:val="00BE13AB"/>
    <w:rsid w:val="00BE2403"/>
    <w:rsid w:val="00BE2D0A"/>
    <w:rsid w:val="00BE47D4"/>
    <w:rsid w:val="00BE793A"/>
    <w:rsid w:val="00BE7A0B"/>
    <w:rsid w:val="00BF114D"/>
    <w:rsid w:val="00BF2B82"/>
    <w:rsid w:val="00BF2CEB"/>
    <w:rsid w:val="00BF3F53"/>
    <w:rsid w:val="00BF432A"/>
    <w:rsid w:val="00BF477F"/>
    <w:rsid w:val="00BF5D70"/>
    <w:rsid w:val="00BF6E82"/>
    <w:rsid w:val="00BF6F27"/>
    <w:rsid w:val="00C019F1"/>
    <w:rsid w:val="00C060C7"/>
    <w:rsid w:val="00C06DCC"/>
    <w:rsid w:val="00C07F92"/>
    <w:rsid w:val="00C10EA4"/>
    <w:rsid w:val="00C11D25"/>
    <w:rsid w:val="00C122C4"/>
    <w:rsid w:val="00C13217"/>
    <w:rsid w:val="00C15BEC"/>
    <w:rsid w:val="00C15DB5"/>
    <w:rsid w:val="00C16D26"/>
    <w:rsid w:val="00C208E2"/>
    <w:rsid w:val="00C20D11"/>
    <w:rsid w:val="00C21897"/>
    <w:rsid w:val="00C2288E"/>
    <w:rsid w:val="00C22B54"/>
    <w:rsid w:val="00C24279"/>
    <w:rsid w:val="00C24C17"/>
    <w:rsid w:val="00C31595"/>
    <w:rsid w:val="00C31B25"/>
    <w:rsid w:val="00C3309D"/>
    <w:rsid w:val="00C3411D"/>
    <w:rsid w:val="00C34357"/>
    <w:rsid w:val="00C34829"/>
    <w:rsid w:val="00C363B8"/>
    <w:rsid w:val="00C3758F"/>
    <w:rsid w:val="00C407CA"/>
    <w:rsid w:val="00C40B88"/>
    <w:rsid w:val="00C42DE4"/>
    <w:rsid w:val="00C430A4"/>
    <w:rsid w:val="00C431FE"/>
    <w:rsid w:val="00C44489"/>
    <w:rsid w:val="00C44FC2"/>
    <w:rsid w:val="00C479FE"/>
    <w:rsid w:val="00C47D87"/>
    <w:rsid w:val="00C47FCD"/>
    <w:rsid w:val="00C50FA6"/>
    <w:rsid w:val="00C5376E"/>
    <w:rsid w:val="00C554C1"/>
    <w:rsid w:val="00C55AEE"/>
    <w:rsid w:val="00C564EB"/>
    <w:rsid w:val="00C5701B"/>
    <w:rsid w:val="00C60387"/>
    <w:rsid w:val="00C6069A"/>
    <w:rsid w:val="00C61BDC"/>
    <w:rsid w:val="00C64D40"/>
    <w:rsid w:val="00C65957"/>
    <w:rsid w:val="00C66218"/>
    <w:rsid w:val="00C677C9"/>
    <w:rsid w:val="00C70DBC"/>
    <w:rsid w:val="00C71E80"/>
    <w:rsid w:val="00C74994"/>
    <w:rsid w:val="00C7750A"/>
    <w:rsid w:val="00C80467"/>
    <w:rsid w:val="00C808A6"/>
    <w:rsid w:val="00C84AC6"/>
    <w:rsid w:val="00C855DB"/>
    <w:rsid w:val="00C855F3"/>
    <w:rsid w:val="00C86270"/>
    <w:rsid w:val="00C86C49"/>
    <w:rsid w:val="00C87307"/>
    <w:rsid w:val="00C90C20"/>
    <w:rsid w:val="00C948CF"/>
    <w:rsid w:val="00C94D1A"/>
    <w:rsid w:val="00C94F6F"/>
    <w:rsid w:val="00C95798"/>
    <w:rsid w:val="00C95A74"/>
    <w:rsid w:val="00C97091"/>
    <w:rsid w:val="00C97260"/>
    <w:rsid w:val="00C97391"/>
    <w:rsid w:val="00CA14A5"/>
    <w:rsid w:val="00CA1A7C"/>
    <w:rsid w:val="00CA1AB8"/>
    <w:rsid w:val="00CA2001"/>
    <w:rsid w:val="00CA2B10"/>
    <w:rsid w:val="00CA3F11"/>
    <w:rsid w:val="00CA5256"/>
    <w:rsid w:val="00CA5564"/>
    <w:rsid w:val="00CA6B0D"/>
    <w:rsid w:val="00CB078E"/>
    <w:rsid w:val="00CB3782"/>
    <w:rsid w:val="00CB4D20"/>
    <w:rsid w:val="00CB5B6C"/>
    <w:rsid w:val="00CB74E3"/>
    <w:rsid w:val="00CB7970"/>
    <w:rsid w:val="00CC02BF"/>
    <w:rsid w:val="00CC052E"/>
    <w:rsid w:val="00CC067A"/>
    <w:rsid w:val="00CC06E5"/>
    <w:rsid w:val="00CC07E4"/>
    <w:rsid w:val="00CC0B14"/>
    <w:rsid w:val="00CC1079"/>
    <w:rsid w:val="00CC5B9C"/>
    <w:rsid w:val="00CD02DF"/>
    <w:rsid w:val="00CD0E0B"/>
    <w:rsid w:val="00CD10A5"/>
    <w:rsid w:val="00CD16BE"/>
    <w:rsid w:val="00CD179F"/>
    <w:rsid w:val="00CD1F32"/>
    <w:rsid w:val="00CD2268"/>
    <w:rsid w:val="00CD44C3"/>
    <w:rsid w:val="00CD4616"/>
    <w:rsid w:val="00CD56AF"/>
    <w:rsid w:val="00CD5FFA"/>
    <w:rsid w:val="00CD608B"/>
    <w:rsid w:val="00CD61BB"/>
    <w:rsid w:val="00CE33D5"/>
    <w:rsid w:val="00CE4712"/>
    <w:rsid w:val="00CE6073"/>
    <w:rsid w:val="00CE761C"/>
    <w:rsid w:val="00CF5D37"/>
    <w:rsid w:val="00CF6353"/>
    <w:rsid w:val="00CF6F33"/>
    <w:rsid w:val="00CF7C7B"/>
    <w:rsid w:val="00D02248"/>
    <w:rsid w:val="00D04429"/>
    <w:rsid w:val="00D04B47"/>
    <w:rsid w:val="00D04E37"/>
    <w:rsid w:val="00D063B8"/>
    <w:rsid w:val="00D06825"/>
    <w:rsid w:val="00D0695F"/>
    <w:rsid w:val="00D07467"/>
    <w:rsid w:val="00D076E6"/>
    <w:rsid w:val="00D10594"/>
    <w:rsid w:val="00D11CB8"/>
    <w:rsid w:val="00D15CDD"/>
    <w:rsid w:val="00D17185"/>
    <w:rsid w:val="00D17E3B"/>
    <w:rsid w:val="00D20EB9"/>
    <w:rsid w:val="00D2306F"/>
    <w:rsid w:val="00D233A1"/>
    <w:rsid w:val="00D23C09"/>
    <w:rsid w:val="00D23CED"/>
    <w:rsid w:val="00D241D1"/>
    <w:rsid w:val="00D24BD2"/>
    <w:rsid w:val="00D254F7"/>
    <w:rsid w:val="00D2573D"/>
    <w:rsid w:val="00D260A2"/>
    <w:rsid w:val="00D30CC6"/>
    <w:rsid w:val="00D30DA4"/>
    <w:rsid w:val="00D31722"/>
    <w:rsid w:val="00D3260C"/>
    <w:rsid w:val="00D33DB5"/>
    <w:rsid w:val="00D35790"/>
    <w:rsid w:val="00D41971"/>
    <w:rsid w:val="00D442D5"/>
    <w:rsid w:val="00D45043"/>
    <w:rsid w:val="00D4757A"/>
    <w:rsid w:val="00D51576"/>
    <w:rsid w:val="00D519AF"/>
    <w:rsid w:val="00D532A9"/>
    <w:rsid w:val="00D5437A"/>
    <w:rsid w:val="00D5611E"/>
    <w:rsid w:val="00D5653B"/>
    <w:rsid w:val="00D56C30"/>
    <w:rsid w:val="00D56DF7"/>
    <w:rsid w:val="00D5726D"/>
    <w:rsid w:val="00D572AC"/>
    <w:rsid w:val="00D6071F"/>
    <w:rsid w:val="00D60AA4"/>
    <w:rsid w:val="00D61D6E"/>
    <w:rsid w:val="00D623E1"/>
    <w:rsid w:val="00D62A31"/>
    <w:rsid w:val="00D62EF1"/>
    <w:rsid w:val="00D6309D"/>
    <w:rsid w:val="00D6389F"/>
    <w:rsid w:val="00D644CA"/>
    <w:rsid w:val="00D64EA0"/>
    <w:rsid w:val="00D66327"/>
    <w:rsid w:val="00D66FC2"/>
    <w:rsid w:val="00D7044E"/>
    <w:rsid w:val="00D704A8"/>
    <w:rsid w:val="00D76C7E"/>
    <w:rsid w:val="00D771DE"/>
    <w:rsid w:val="00D77337"/>
    <w:rsid w:val="00D7776D"/>
    <w:rsid w:val="00D77E35"/>
    <w:rsid w:val="00D80C6C"/>
    <w:rsid w:val="00D81971"/>
    <w:rsid w:val="00D81AEF"/>
    <w:rsid w:val="00D82A42"/>
    <w:rsid w:val="00D834F1"/>
    <w:rsid w:val="00D83609"/>
    <w:rsid w:val="00D83AA6"/>
    <w:rsid w:val="00D85C0D"/>
    <w:rsid w:val="00D866CB"/>
    <w:rsid w:val="00D86909"/>
    <w:rsid w:val="00D86D4F"/>
    <w:rsid w:val="00D87A9A"/>
    <w:rsid w:val="00D90625"/>
    <w:rsid w:val="00D909F8"/>
    <w:rsid w:val="00D9152C"/>
    <w:rsid w:val="00D92179"/>
    <w:rsid w:val="00D922C6"/>
    <w:rsid w:val="00D9293F"/>
    <w:rsid w:val="00D92DE7"/>
    <w:rsid w:val="00D93598"/>
    <w:rsid w:val="00D93FDD"/>
    <w:rsid w:val="00D942F8"/>
    <w:rsid w:val="00D977F4"/>
    <w:rsid w:val="00D97A5B"/>
    <w:rsid w:val="00DA1E18"/>
    <w:rsid w:val="00DA2009"/>
    <w:rsid w:val="00DA3F79"/>
    <w:rsid w:val="00DA585A"/>
    <w:rsid w:val="00DA62A8"/>
    <w:rsid w:val="00DA7741"/>
    <w:rsid w:val="00DA7769"/>
    <w:rsid w:val="00DB05B1"/>
    <w:rsid w:val="00DB2823"/>
    <w:rsid w:val="00DB2D6B"/>
    <w:rsid w:val="00DB2D74"/>
    <w:rsid w:val="00DB3786"/>
    <w:rsid w:val="00DB3E9B"/>
    <w:rsid w:val="00DB4784"/>
    <w:rsid w:val="00DB59E8"/>
    <w:rsid w:val="00DB5A79"/>
    <w:rsid w:val="00DC19D6"/>
    <w:rsid w:val="00DC2465"/>
    <w:rsid w:val="00DC3F66"/>
    <w:rsid w:val="00DC4BCA"/>
    <w:rsid w:val="00DC5E2C"/>
    <w:rsid w:val="00DC7D48"/>
    <w:rsid w:val="00DD0253"/>
    <w:rsid w:val="00DD145A"/>
    <w:rsid w:val="00DD512E"/>
    <w:rsid w:val="00DD5EC8"/>
    <w:rsid w:val="00DD7BEC"/>
    <w:rsid w:val="00DE083E"/>
    <w:rsid w:val="00DE0C22"/>
    <w:rsid w:val="00DE1177"/>
    <w:rsid w:val="00DE28DD"/>
    <w:rsid w:val="00DE291E"/>
    <w:rsid w:val="00DE2C94"/>
    <w:rsid w:val="00DE2CEA"/>
    <w:rsid w:val="00DE3CFE"/>
    <w:rsid w:val="00DE567C"/>
    <w:rsid w:val="00DE6154"/>
    <w:rsid w:val="00DE634D"/>
    <w:rsid w:val="00DE6A3C"/>
    <w:rsid w:val="00DE74F4"/>
    <w:rsid w:val="00DE7C8B"/>
    <w:rsid w:val="00DE7F97"/>
    <w:rsid w:val="00DF0AAF"/>
    <w:rsid w:val="00DF1010"/>
    <w:rsid w:val="00DF2244"/>
    <w:rsid w:val="00DF334D"/>
    <w:rsid w:val="00DF53D9"/>
    <w:rsid w:val="00DF5AEA"/>
    <w:rsid w:val="00DF5D49"/>
    <w:rsid w:val="00DF63F6"/>
    <w:rsid w:val="00DF772E"/>
    <w:rsid w:val="00DF7992"/>
    <w:rsid w:val="00DF7BD0"/>
    <w:rsid w:val="00E00C8E"/>
    <w:rsid w:val="00E0198A"/>
    <w:rsid w:val="00E0219D"/>
    <w:rsid w:val="00E0276A"/>
    <w:rsid w:val="00E0374B"/>
    <w:rsid w:val="00E0632F"/>
    <w:rsid w:val="00E06C36"/>
    <w:rsid w:val="00E071A9"/>
    <w:rsid w:val="00E07D26"/>
    <w:rsid w:val="00E10B28"/>
    <w:rsid w:val="00E117FD"/>
    <w:rsid w:val="00E12672"/>
    <w:rsid w:val="00E13747"/>
    <w:rsid w:val="00E14758"/>
    <w:rsid w:val="00E1484A"/>
    <w:rsid w:val="00E15D0E"/>
    <w:rsid w:val="00E21088"/>
    <w:rsid w:val="00E2180F"/>
    <w:rsid w:val="00E23C5E"/>
    <w:rsid w:val="00E23E29"/>
    <w:rsid w:val="00E24632"/>
    <w:rsid w:val="00E25155"/>
    <w:rsid w:val="00E25AEA"/>
    <w:rsid w:val="00E27C2C"/>
    <w:rsid w:val="00E27DBA"/>
    <w:rsid w:val="00E30D26"/>
    <w:rsid w:val="00E30DEF"/>
    <w:rsid w:val="00E30ED2"/>
    <w:rsid w:val="00E31276"/>
    <w:rsid w:val="00E3155D"/>
    <w:rsid w:val="00E32102"/>
    <w:rsid w:val="00E34666"/>
    <w:rsid w:val="00E36A66"/>
    <w:rsid w:val="00E375B9"/>
    <w:rsid w:val="00E37F70"/>
    <w:rsid w:val="00E41377"/>
    <w:rsid w:val="00E41985"/>
    <w:rsid w:val="00E42B89"/>
    <w:rsid w:val="00E43E33"/>
    <w:rsid w:val="00E446C1"/>
    <w:rsid w:val="00E46BCD"/>
    <w:rsid w:val="00E500F9"/>
    <w:rsid w:val="00E51414"/>
    <w:rsid w:val="00E51CCC"/>
    <w:rsid w:val="00E52079"/>
    <w:rsid w:val="00E52E5F"/>
    <w:rsid w:val="00E545D7"/>
    <w:rsid w:val="00E547FE"/>
    <w:rsid w:val="00E54960"/>
    <w:rsid w:val="00E55927"/>
    <w:rsid w:val="00E5669C"/>
    <w:rsid w:val="00E57819"/>
    <w:rsid w:val="00E60ECA"/>
    <w:rsid w:val="00E613AB"/>
    <w:rsid w:val="00E637B6"/>
    <w:rsid w:val="00E63FE2"/>
    <w:rsid w:val="00E663B6"/>
    <w:rsid w:val="00E66BBE"/>
    <w:rsid w:val="00E670B5"/>
    <w:rsid w:val="00E6780D"/>
    <w:rsid w:val="00E71DFE"/>
    <w:rsid w:val="00E73083"/>
    <w:rsid w:val="00E756E4"/>
    <w:rsid w:val="00E758B9"/>
    <w:rsid w:val="00E76025"/>
    <w:rsid w:val="00E76B45"/>
    <w:rsid w:val="00E779F7"/>
    <w:rsid w:val="00E80341"/>
    <w:rsid w:val="00E81BC1"/>
    <w:rsid w:val="00E82FE5"/>
    <w:rsid w:val="00E83724"/>
    <w:rsid w:val="00E84236"/>
    <w:rsid w:val="00E84C02"/>
    <w:rsid w:val="00E85569"/>
    <w:rsid w:val="00E856AF"/>
    <w:rsid w:val="00E859D9"/>
    <w:rsid w:val="00E86B83"/>
    <w:rsid w:val="00E86D6E"/>
    <w:rsid w:val="00E878FB"/>
    <w:rsid w:val="00E87C64"/>
    <w:rsid w:val="00E912E1"/>
    <w:rsid w:val="00E919C3"/>
    <w:rsid w:val="00E93A01"/>
    <w:rsid w:val="00E93FF8"/>
    <w:rsid w:val="00E948D8"/>
    <w:rsid w:val="00E94EB6"/>
    <w:rsid w:val="00E94F16"/>
    <w:rsid w:val="00E950CA"/>
    <w:rsid w:val="00E95CA8"/>
    <w:rsid w:val="00E96643"/>
    <w:rsid w:val="00E96CAF"/>
    <w:rsid w:val="00E96CE0"/>
    <w:rsid w:val="00E96EAF"/>
    <w:rsid w:val="00EA044C"/>
    <w:rsid w:val="00EA1752"/>
    <w:rsid w:val="00EA1911"/>
    <w:rsid w:val="00EA539B"/>
    <w:rsid w:val="00EA5A89"/>
    <w:rsid w:val="00EA5BDB"/>
    <w:rsid w:val="00EA63FA"/>
    <w:rsid w:val="00EB0A73"/>
    <w:rsid w:val="00EB0A9C"/>
    <w:rsid w:val="00EB0B55"/>
    <w:rsid w:val="00EB30AD"/>
    <w:rsid w:val="00EB3A98"/>
    <w:rsid w:val="00EB46D9"/>
    <w:rsid w:val="00EB6EF6"/>
    <w:rsid w:val="00EC0199"/>
    <w:rsid w:val="00EC0E64"/>
    <w:rsid w:val="00EC142D"/>
    <w:rsid w:val="00EC1E16"/>
    <w:rsid w:val="00EC2DD1"/>
    <w:rsid w:val="00EC32C6"/>
    <w:rsid w:val="00EC4B8E"/>
    <w:rsid w:val="00EC4BA5"/>
    <w:rsid w:val="00EC52DA"/>
    <w:rsid w:val="00EC6F28"/>
    <w:rsid w:val="00ED0024"/>
    <w:rsid w:val="00ED0EA0"/>
    <w:rsid w:val="00ED0F85"/>
    <w:rsid w:val="00ED2B5C"/>
    <w:rsid w:val="00ED3269"/>
    <w:rsid w:val="00ED3A18"/>
    <w:rsid w:val="00ED3AB7"/>
    <w:rsid w:val="00ED3C57"/>
    <w:rsid w:val="00ED5C4A"/>
    <w:rsid w:val="00ED72F6"/>
    <w:rsid w:val="00EE1A8C"/>
    <w:rsid w:val="00EE3FED"/>
    <w:rsid w:val="00EE4643"/>
    <w:rsid w:val="00EE529F"/>
    <w:rsid w:val="00EE65B6"/>
    <w:rsid w:val="00EE7C86"/>
    <w:rsid w:val="00EF1330"/>
    <w:rsid w:val="00EF15FF"/>
    <w:rsid w:val="00EF2FEE"/>
    <w:rsid w:val="00EF31D8"/>
    <w:rsid w:val="00EF55E6"/>
    <w:rsid w:val="00EF5707"/>
    <w:rsid w:val="00EF6F1F"/>
    <w:rsid w:val="00EF70EC"/>
    <w:rsid w:val="00EF7111"/>
    <w:rsid w:val="00EF7D1A"/>
    <w:rsid w:val="00F02759"/>
    <w:rsid w:val="00F03B49"/>
    <w:rsid w:val="00F0448F"/>
    <w:rsid w:val="00F065C3"/>
    <w:rsid w:val="00F0716C"/>
    <w:rsid w:val="00F105AE"/>
    <w:rsid w:val="00F108A8"/>
    <w:rsid w:val="00F10A90"/>
    <w:rsid w:val="00F13319"/>
    <w:rsid w:val="00F14353"/>
    <w:rsid w:val="00F1628B"/>
    <w:rsid w:val="00F22E81"/>
    <w:rsid w:val="00F270E9"/>
    <w:rsid w:val="00F273EF"/>
    <w:rsid w:val="00F27440"/>
    <w:rsid w:val="00F275C0"/>
    <w:rsid w:val="00F317B5"/>
    <w:rsid w:val="00F33348"/>
    <w:rsid w:val="00F346B6"/>
    <w:rsid w:val="00F35DA1"/>
    <w:rsid w:val="00F3608D"/>
    <w:rsid w:val="00F36145"/>
    <w:rsid w:val="00F37BDD"/>
    <w:rsid w:val="00F40716"/>
    <w:rsid w:val="00F41503"/>
    <w:rsid w:val="00F417D4"/>
    <w:rsid w:val="00F41883"/>
    <w:rsid w:val="00F432CF"/>
    <w:rsid w:val="00F437FD"/>
    <w:rsid w:val="00F43B69"/>
    <w:rsid w:val="00F4479A"/>
    <w:rsid w:val="00F44D82"/>
    <w:rsid w:val="00F45589"/>
    <w:rsid w:val="00F46207"/>
    <w:rsid w:val="00F466C8"/>
    <w:rsid w:val="00F469A9"/>
    <w:rsid w:val="00F469C4"/>
    <w:rsid w:val="00F46B50"/>
    <w:rsid w:val="00F47C20"/>
    <w:rsid w:val="00F509B7"/>
    <w:rsid w:val="00F50A44"/>
    <w:rsid w:val="00F50B46"/>
    <w:rsid w:val="00F50D1F"/>
    <w:rsid w:val="00F51545"/>
    <w:rsid w:val="00F521DE"/>
    <w:rsid w:val="00F541D4"/>
    <w:rsid w:val="00F55295"/>
    <w:rsid w:val="00F553CE"/>
    <w:rsid w:val="00F55A00"/>
    <w:rsid w:val="00F56043"/>
    <w:rsid w:val="00F5664E"/>
    <w:rsid w:val="00F56BD8"/>
    <w:rsid w:val="00F56FA9"/>
    <w:rsid w:val="00F6171A"/>
    <w:rsid w:val="00F62306"/>
    <w:rsid w:val="00F635FC"/>
    <w:rsid w:val="00F63D03"/>
    <w:rsid w:val="00F65E2F"/>
    <w:rsid w:val="00F66520"/>
    <w:rsid w:val="00F67385"/>
    <w:rsid w:val="00F67DF1"/>
    <w:rsid w:val="00F7054E"/>
    <w:rsid w:val="00F7137C"/>
    <w:rsid w:val="00F72A09"/>
    <w:rsid w:val="00F73EDC"/>
    <w:rsid w:val="00F74E67"/>
    <w:rsid w:val="00F80154"/>
    <w:rsid w:val="00F8309B"/>
    <w:rsid w:val="00F833C9"/>
    <w:rsid w:val="00F90064"/>
    <w:rsid w:val="00F9022A"/>
    <w:rsid w:val="00F91107"/>
    <w:rsid w:val="00F94217"/>
    <w:rsid w:val="00F9586C"/>
    <w:rsid w:val="00F96AFD"/>
    <w:rsid w:val="00F96F4C"/>
    <w:rsid w:val="00FA07F4"/>
    <w:rsid w:val="00FA1398"/>
    <w:rsid w:val="00FA1515"/>
    <w:rsid w:val="00FA2E19"/>
    <w:rsid w:val="00FA43C8"/>
    <w:rsid w:val="00FA697F"/>
    <w:rsid w:val="00FB0147"/>
    <w:rsid w:val="00FB0F92"/>
    <w:rsid w:val="00FB2FB3"/>
    <w:rsid w:val="00FB3846"/>
    <w:rsid w:val="00FB5000"/>
    <w:rsid w:val="00FB5059"/>
    <w:rsid w:val="00FB5521"/>
    <w:rsid w:val="00FB610D"/>
    <w:rsid w:val="00FB626E"/>
    <w:rsid w:val="00FB784A"/>
    <w:rsid w:val="00FC27D1"/>
    <w:rsid w:val="00FC4477"/>
    <w:rsid w:val="00FC46FB"/>
    <w:rsid w:val="00FC6630"/>
    <w:rsid w:val="00FC7B66"/>
    <w:rsid w:val="00FD0D94"/>
    <w:rsid w:val="00FD106C"/>
    <w:rsid w:val="00FD26CE"/>
    <w:rsid w:val="00FD2BD3"/>
    <w:rsid w:val="00FD3DEF"/>
    <w:rsid w:val="00FD4CCA"/>
    <w:rsid w:val="00FD58B1"/>
    <w:rsid w:val="00FD7002"/>
    <w:rsid w:val="00FD7420"/>
    <w:rsid w:val="00FD7610"/>
    <w:rsid w:val="00FE04BA"/>
    <w:rsid w:val="00FE234B"/>
    <w:rsid w:val="00FE2A9E"/>
    <w:rsid w:val="00FE34B3"/>
    <w:rsid w:val="00FE46B7"/>
    <w:rsid w:val="00FE4CEC"/>
    <w:rsid w:val="00FF0420"/>
    <w:rsid w:val="00FF41B8"/>
    <w:rsid w:val="00FF5237"/>
    <w:rsid w:val="00FF5B79"/>
    <w:rsid w:val="06763376"/>
    <w:rsid w:val="06D79157"/>
    <w:rsid w:val="0DD79F36"/>
    <w:rsid w:val="11E43BAB"/>
    <w:rsid w:val="121534C5"/>
    <w:rsid w:val="161E678D"/>
    <w:rsid w:val="19090967"/>
    <w:rsid w:val="1B3C24C5"/>
    <w:rsid w:val="210B7837"/>
    <w:rsid w:val="23B4E6BE"/>
    <w:rsid w:val="24F18C83"/>
    <w:rsid w:val="25653D02"/>
    <w:rsid w:val="27AA7305"/>
    <w:rsid w:val="3310C0BE"/>
    <w:rsid w:val="38EF0D05"/>
    <w:rsid w:val="39A07357"/>
    <w:rsid w:val="42088138"/>
    <w:rsid w:val="511D528A"/>
    <w:rsid w:val="588ADAF6"/>
    <w:rsid w:val="5CE173DD"/>
    <w:rsid w:val="66EB6E8A"/>
    <w:rsid w:val="69981A89"/>
    <w:rsid w:val="7629CDD5"/>
    <w:rsid w:val="772E53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D8A9B98D-733D-4FF4-9BF4-D50BB21B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A2975"/>
    <w:pPr>
      <w:spacing w:line="276" w:lineRule="auto"/>
      <w:jc w:val="both"/>
    </w:pPr>
    <w:rPr>
      <w:sz w:val="22"/>
    </w:rPr>
  </w:style>
  <w:style w:type="paragraph" w:styleId="Titolo1">
    <w:name w:val="heading 1"/>
    <w:basedOn w:val="Normale"/>
    <w:next w:val="Normale"/>
    <w:link w:val="Titolo1Carattere"/>
    <w:uiPriority w:val="99"/>
    <w:qFormat/>
    <w:rsid w:val="00097261"/>
    <w:pPr>
      <w:keepNext/>
      <w:spacing w:line="420" w:lineRule="atLeast"/>
      <w:outlineLvl w:val="0"/>
    </w:pPr>
    <w:rPr>
      <w:rFonts w:cs="Arial"/>
      <w:b/>
      <w:bCs/>
      <w:kern w:val="32"/>
      <w:sz w:val="36"/>
      <w:szCs w:val="32"/>
    </w:rPr>
  </w:style>
  <w:style w:type="paragraph" w:styleId="Titolo2">
    <w:name w:val="heading 2"/>
    <w:basedOn w:val="Normale"/>
    <w:next w:val="Normale"/>
    <w:qFormat/>
    <w:rsid w:val="003F46B0"/>
    <w:pPr>
      <w:keepNext/>
      <w:outlineLvl w:val="1"/>
    </w:pPr>
    <w:rPr>
      <w:rFonts w:cs="Arial"/>
      <w:bCs/>
      <w:iCs/>
      <w:color w:val="E1000F"/>
      <w:szCs w:val="28"/>
    </w:rPr>
  </w:style>
  <w:style w:type="paragraph" w:styleId="Titolo3">
    <w:name w:val="heading 3"/>
    <w:basedOn w:val="Titolo2"/>
    <w:next w:val="Normale"/>
    <w:qFormat/>
    <w:rsid w:val="006F1596"/>
    <w:pPr>
      <w:outlineLvl w:val="2"/>
    </w:pPr>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dipagina">
    <w:name w:val="footer"/>
    <w:basedOn w:val="Normale"/>
    <w:link w:val="PidipaginaCarattere"/>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e"/>
    <w:rsid w:val="006F1596"/>
    <w:pPr>
      <w:spacing w:after="300"/>
    </w:pPr>
    <w:rPr>
      <w:color w:val="415055"/>
      <w:sz w:val="24"/>
    </w:rPr>
  </w:style>
  <w:style w:type="paragraph" w:customStyle="1" w:styleId="NumBullet">
    <w:name w:val="Num_Bullet"/>
    <w:basedOn w:val="Normale"/>
    <w:rsid w:val="00576BC8"/>
    <w:pPr>
      <w:numPr>
        <w:numId w:val="1"/>
      </w:numPr>
      <w:tabs>
        <w:tab w:val="clear" w:pos="567"/>
        <w:tab w:val="left" w:pos="357"/>
      </w:tabs>
      <w:ind w:left="357" w:hanging="357"/>
    </w:pPr>
  </w:style>
  <w:style w:type="paragraph" w:customStyle="1" w:styleId="Page1Name">
    <w:name w:val="Page1_Name"/>
    <w:basedOn w:val="Normale"/>
    <w:rsid w:val="004F237B"/>
    <w:pPr>
      <w:spacing w:after="420" w:line="360" w:lineRule="atLeast"/>
    </w:pPr>
    <w:rPr>
      <w:b/>
      <w:sz w:val="30"/>
    </w:rPr>
  </w:style>
  <w:style w:type="paragraph" w:customStyle="1" w:styleId="Page1Title">
    <w:name w:val="Page1_Title"/>
    <w:basedOn w:val="Normale"/>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gliatabella">
    <w:name w:val="Table Grid"/>
    <w:basedOn w:val="Tabellanorma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e"/>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e"/>
    <w:rsid w:val="0048435F"/>
    <w:pPr>
      <w:spacing w:line="300" w:lineRule="atLeast"/>
    </w:pPr>
    <w:rPr>
      <w:sz w:val="24"/>
    </w:rPr>
  </w:style>
  <w:style w:type="character" w:customStyle="1" w:styleId="Titolo1Carattere">
    <w:name w:val="Titolo 1 Carattere"/>
    <w:link w:val="Titolo1"/>
    <w:uiPriority w:val="99"/>
    <w:locked/>
    <w:rsid w:val="00B422EC"/>
    <w:rPr>
      <w:rFonts w:ascii="Arial" w:hAnsi="Arial" w:cs="Arial"/>
      <w:b/>
      <w:bCs/>
      <w:kern w:val="32"/>
      <w:sz w:val="36"/>
      <w:szCs w:val="32"/>
      <w:lang w:val="de-DE"/>
    </w:rPr>
  </w:style>
  <w:style w:type="character" w:styleId="Collegamentoipertestual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e"/>
    <w:uiPriority w:val="34"/>
    <w:qFormat/>
    <w:rsid w:val="00B422EC"/>
    <w:pPr>
      <w:ind w:left="720"/>
    </w:pPr>
  </w:style>
  <w:style w:type="paragraph" w:styleId="Testofumetto">
    <w:name w:val="Balloon Text"/>
    <w:basedOn w:val="Normale"/>
    <w:link w:val="TestofumettoCarattere"/>
    <w:rsid w:val="00336854"/>
    <w:pPr>
      <w:spacing w:line="240" w:lineRule="auto"/>
    </w:pPr>
    <w:rPr>
      <w:sz w:val="18"/>
      <w:szCs w:val="18"/>
    </w:rPr>
  </w:style>
  <w:style w:type="character" w:customStyle="1" w:styleId="TestofumettoCarattere">
    <w:name w:val="Testo fumetto Carattere"/>
    <w:link w:val="Testofumetto"/>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dipaginaCarattere">
    <w:name w:val="Piè di pagina Carattere"/>
    <w:link w:val="Pidipagina"/>
    <w:uiPriority w:val="99"/>
    <w:rsid w:val="00992A11"/>
    <w:rPr>
      <w:rFonts w:ascii="Segoe UI" w:hAnsi="Segoe UI"/>
      <w:bCs/>
      <w:noProof/>
      <w:sz w:val="12"/>
      <w:szCs w:val="24"/>
      <w:lang w:val="de-DE"/>
    </w:rPr>
  </w:style>
  <w:style w:type="character" w:styleId="Menzionenonrisolt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e"/>
    <w:rsid w:val="00974F84"/>
    <w:rPr>
      <w:szCs w:val="20"/>
    </w:rPr>
  </w:style>
  <w:style w:type="paragraph" w:customStyle="1" w:styleId="Style12ptJustifiedLinespacing15lines1">
    <w:name w:val="Style 12 pt Justified Line spacing:  1.5 lines1"/>
    <w:basedOn w:val="Normale"/>
    <w:rsid w:val="00974F84"/>
    <w:pPr>
      <w:spacing w:before="120"/>
    </w:pPr>
    <w:rPr>
      <w:szCs w:val="20"/>
    </w:rPr>
  </w:style>
  <w:style w:type="character" w:customStyle="1" w:styleId="Headline">
    <w:name w:val="Headline"/>
    <w:basedOn w:val="Carpredefinitoparagrafo"/>
    <w:rsid w:val="00A3756F"/>
    <w:rPr>
      <w:b/>
      <w:bCs/>
      <w:sz w:val="32"/>
    </w:rPr>
  </w:style>
  <w:style w:type="paragraph" w:customStyle="1" w:styleId="MonthDayYear">
    <w:name w:val="Month Day Year"/>
    <w:basedOn w:val="Normale"/>
    <w:rsid w:val="00643D8A"/>
    <w:pPr>
      <w:spacing w:before="120"/>
      <w:ind w:right="-1"/>
      <w:jc w:val="right"/>
    </w:pPr>
    <w:rPr>
      <w:szCs w:val="20"/>
    </w:rPr>
  </w:style>
  <w:style w:type="paragraph" w:customStyle="1" w:styleId="Topline">
    <w:name w:val="Topline"/>
    <w:basedOn w:val="Normale"/>
    <w:qFormat/>
    <w:rsid w:val="00472FEC"/>
    <w:pPr>
      <w:spacing w:before="560" w:after="560"/>
    </w:pPr>
    <w:rPr>
      <w:rFonts w:cs="Segoe UI"/>
      <w:szCs w:val="22"/>
    </w:rPr>
  </w:style>
  <w:style w:type="character" w:customStyle="1" w:styleId="AboutandContactBody">
    <w:name w:val="About and Contact Body"/>
    <w:basedOn w:val="Carpredefinitoparagrafo"/>
    <w:rsid w:val="00336854"/>
    <w:rPr>
      <w:rFonts w:ascii="Segoe UI" w:hAnsi="Segoe UI"/>
      <w:sz w:val="18"/>
    </w:rPr>
  </w:style>
  <w:style w:type="character" w:customStyle="1" w:styleId="AboutandContactHeadline">
    <w:name w:val="About and Contact Headline"/>
    <w:basedOn w:val="Carpredefinitoparagrafo"/>
    <w:rsid w:val="00336854"/>
    <w:rPr>
      <w:rFonts w:ascii="Segoe UI" w:hAnsi="Segoe UI"/>
      <w:b/>
      <w:bCs/>
      <w:sz w:val="18"/>
    </w:rPr>
  </w:style>
  <w:style w:type="paragraph" w:styleId="Paragrafoelenco">
    <w:name w:val="List Paragraph"/>
    <w:basedOn w:val="Normale"/>
    <w:uiPriority w:val="34"/>
    <w:qFormat/>
    <w:rsid w:val="00635616"/>
    <w:pPr>
      <w:ind w:left="720"/>
      <w:contextualSpacing/>
    </w:pPr>
  </w:style>
  <w:style w:type="character" w:styleId="Rimandocommento">
    <w:name w:val="annotation reference"/>
    <w:rsid w:val="00846017"/>
    <w:rPr>
      <w:sz w:val="16"/>
      <w:szCs w:val="16"/>
    </w:rPr>
  </w:style>
  <w:style w:type="paragraph" w:styleId="Testocommento">
    <w:name w:val="annotation text"/>
    <w:basedOn w:val="Normale"/>
    <w:link w:val="TestocommentoCarattere"/>
    <w:rsid w:val="00846017"/>
    <w:pPr>
      <w:spacing w:line="260" w:lineRule="atLeast"/>
      <w:jc w:val="left"/>
    </w:pPr>
    <w:rPr>
      <w:rFonts w:ascii="Arial" w:hAnsi="Arial"/>
      <w:sz w:val="20"/>
      <w:szCs w:val="20"/>
      <w:lang w:val="de-DE"/>
    </w:rPr>
  </w:style>
  <w:style w:type="character" w:customStyle="1" w:styleId="TestocommentoCarattere">
    <w:name w:val="Testo commento Carattere"/>
    <w:basedOn w:val="Carpredefinitoparagrafo"/>
    <w:link w:val="Testocommento"/>
    <w:rsid w:val="00846017"/>
    <w:rPr>
      <w:rFonts w:ascii="Arial" w:hAnsi="Arial"/>
      <w:sz w:val="20"/>
      <w:szCs w:val="20"/>
      <w:lang w:val="de-DE"/>
    </w:rPr>
  </w:style>
  <w:style w:type="paragraph" w:styleId="Soggettocommento">
    <w:name w:val="annotation subject"/>
    <w:basedOn w:val="Testocommento"/>
    <w:next w:val="Testocommento"/>
    <w:link w:val="SoggettocommentoCarattere"/>
    <w:rsid w:val="0020528D"/>
    <w:pPr>
      <w:spacing w:line="240" w:lineRule="auto"/>
      <w:jc w:val="both"/>
    </w:pPr>
    <w:rPr>
      <w:rFonts w:ascii="Segoe UI" w:hAnsi="Segoe UI"/>
      <w:b/>
      <w:bCs/>
      <w:lang w:val="en-US"/>
    </w:rPr>
  </w:style>
  <w:style w:type="character" w:customStyle="1" w:styleId="SoggettocommentoCarattere">
    <w:name w:val="Soggetto commento Carattere"/>
    <w:basedOn w:val="TestocommentoCarattere"/>
    <w:link w:val="Soggettocommento"/>
    <w:rsid w:val="0020528D"/>
    <w:rPr>
      <w:rFonts w:ascii="Arial" w:hAnsi="Arial"/>
      <w:b/>
      <w:bCs/>
      <w:sz w:val="20"/>
      <w:szCs w:val="20"/>
      <w:lang w:val="de-DE"/>
    </w:rPr>
  </w:style>
  <w:style w:type="paragraph" w:styleId="Revisione">
    <w:name w:val="Revision"/>
    <w:hidden/>
    <w:uiPriority w:val="62"/>
    <w:unhideWhenUsed/>
    <w:rsid w:val="006E2D24"/>
    <w:rPr>
      <w:sz w:val="22"/>
    </w:rPr>
  </w:style>
  <w:style w:type="paragraph" w:customStyle="1" w:styleId="He04Funote">
    <w:name w:val="_He_04_Fußnote"/>
    <w:next w:val="Normale"/>
    <w:qFormat/>
    <w:rsid w:val="00A90F18"/>
    <w:pPr>
      <w:tabs>
        <w:tab w:val="left" w:pos="85"/>
      </w:tabs>
      <w:spacing w:line="256" w:lineRule="auto"/>
      <w:ind w:left="85" w:hanging="85"/>
    </w:pPr>
    <w:rPr>
      <w:rFonts w:eastAsiaTheme="minorHAnsi" w:cstheme="minorBidi"/>
      <w:sz w:val="15"/>
      <w:szCs w:val="22"/>
      <w:lang w:val="de-DE"/>
      <w14:numForm w14:val="lining"/>
    </w:rPr>
  </w:style>
  <w:style w:type="character" w:styleId="Rimandonotaapidipagina">
    <w:name w:val="footnote reference"/>
    <w:basedOn w:val="Carpredefinitoparagrafo"/>
    <w:uiPriority w:val="99"/>
    <w:unhideWhenUsed/>
    <w:rsid w:val="00A90F18"/>
    <w:rPr>
      <w:vertAlign w:val="superscript"/>
    </w:rPr>
  </w:style>
  <w:style w:type="character" w:styleId="Collegamentovisitato">
    <w:name w:val="FollowedHyperlink"/>
    <w:basedOn w:val="Carpredefinitoparagrafo"/>
    <w:rsid w:val="00B1118A"/>
    <w:rPr>
      <w:color w:val="954F72" w:themeColor="followedHyperlink"/>
      <w:u w:val="single"/>
    </w:rPr>
  </w:style>
  <w:style w:type="paragraph" w:customStyle="1" w:styleId="He01FlietextAufzhlung1Ebene">
    <w:name w:val="_He_01_Fließtext Aufzählung 1. Ebene"/>
    <w:next w:val="Normale"/>
    <w:qFormat/>
    <w:rsid w:val="00B471F4"/>
    <w:pPr>
      <w:numPr>
        <w:numId w:val="9"/>
      </w:numPr>
      <w:spacing w:after="113"/>
    </w:pPr>
    <w:rPr>
      <w:rFonts w:eastAsiaTheme="minorHAnsi" w:cstheme="minorBidi"/>
      <w:sz w:val="22"/>
      <w:szCs w:val="22"/>
      <w:lang w:val="de-DE"/>
    </w:rPr>
  </w:style>
  <w:style w:type="character" w:customStyle="1" w:styleId="ui-provider">
    <w:name w:val="ui-provider"/>
    <w:basedOn w:val="Carpredefinitoparagrafo"/>
    <w:rsid w:val="00C86C49"/>
  </w:style>
  <w:style w:type="paragraph" w:customStyle="1" w:styleId="He01Flietext">
    <w:name w:val="_He_01_Fließtext"/>
    <w:qFormat/>
    <w:rsid w:val="007558B1"/>
    <w:pPr>
      <w:spacing w:after="160"/>
    </w:pPr>
    <w:rPr>
      <w:rFonts w:eastAsiaTheme="minorHAnsi" w:cstheme="minorBidi"/>
      <w:sz w:val="22"/>
      <w:szCs w:val="22"/>
      <w:lang w:val="de-DE"/>
    </w:rPr>
  </w:style>
  <w:style w:type="paragraph" w:styleId="Testonotaapidipagina">
    <w:name w:val="footnote text"/>
    <w:basedOn w:val="Normale"/>
    <w:link w:val="TestonotaapidipaginaCarattere"/>
    <w:uiPriority w:val="99"/>
    <w:unhideWhenUsed/>
    <w:rsid w:val="00F9022A"/>
    <w:pPr>
      <w:spacing w:line="240" w:lineRule="auto"/>
      <w:jc w:val="left"/>
    </w:pPr>
    <w:rPr>
      <w:rFonts w:eastAsiaTheme="minorHAnsi" w:cstheme="minorBidi"/>
      <w:szCs w:val="20"/>
      <w:lang w:val="de-DE"/>
    </w:rPr>
  </w:style>
  <w:style w:type="character" w:customStyle="1" w:styleId="TestonotaapidipaginaCarattere">
    <w:name w:val="Testo nota a piè di pagina Carattere"/>
    <w:basedOn w:val="Carpredefinitoparagrafo"/>
    <w:link w:val="Testonotaapidipagina"/>
    <w:uiPriority w:val="99"/>
    <w:rsid w:val="00F9022A"/>
    <w:rPr>
      <w:rFonts w:eastAsiaTheme="minorHAnsi" w:cstheme="minorBidi"/>
      <w:sz w:val="22"/>
      <w:szCs w:val="20"/>
      <w:lang w:val="de-DE"/>
    </w:rPr>
  </w:style>
  <w:style w:type="paragraph" w:customStyle="1" w:styleId="He01FlietextAufzhlung2Ebene">
    <w:name w:val="_He_01_Fließtext Aufzählung 2. Ebene"/>
    <w:next w:val="He01Flietext"/>
    <w:qFormat/>
    <w:rsid w:val="00607DCD"/>
    <w:pPr>
      <w:numPr>
        <w:numId w:val="22"/>
      </w:numPr>
      <w:spacing w:after="160"/>
    </w:pPr>
    <w:rPr>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901274">
      <w:bodyDiv w:val="1"/>
      <w:marLeft w:val="0"/>
      <w:marRight w:val="0"/>
      <w:marTop w:val="0"/>
      <w:marBottom w:val="0"/>
      <w:divBdr>
        <w:top w:val="none" w:sz="0" w:space="0" w:color="auto"/>
        <w:left w:val="none" w:sz="0" w:space="0" w:color="auto"/>
        <w:bottom w:val="none" w:sz="0" w:space="0" w:color="auto"/>
        <w:right w:val="none" w:sz="0" w:space="0" w:color="auto"/>
      </w:divBdr>
    </w:div>
    <w:div w:id="331758879">
      <w:bodyDiv w:val="1"/>
      <w:marLeft w:val="0"/>
      <w:marRight w:val="0"/>
      <w:marTop w:val="0"/>
      <w:marBottom w:val="0"/>
      <w:divBdr>
        <w:top w:val="none" w:sz="0" w:space="0" w:color="auto"/>
        <w:left w:val="none" w:sz="0" w:space="0" w:color="auto"/>
        <w:bottom w:val="none" w:sz="0" w:space="0" w:color="auto"/>
        <w:right w:val="none" w:sz="0" w:space="0" w:color="auto"/>
      </w:divBdr>
    </w:div>
    <w:div w:id="475221331">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97167881">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0689247">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641376655">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237326346">
          <w:marLeft w:val="0"/>
          <w:marRight w:val="0"/>
          <w:marTop w:val="0"/>
          <w:marBottom w:val="0"/>
          <w:divBdr>
            <w:top w:val="none" w:sz="0" w:space="0" w:color="auto"/>
            <w:left w:val="none" w:sz="0" w:space="0" w:color="auto"/>
            <w:bottom w:val="none" w:sz="0" w:space="0" w:color="auto"/>
            <w:right w:val="none" w:sz="0" w:space="0" w:color="auto"/>
          </w:divBdr>
        </w:div>
        <w:div w:id="331104911">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nkel.com/press-and-media/press-releases-and-kits/2024-08-13-henkel-delivers-good-organic-sales-growth-and-very-strong-earnings-improvement-in-first-half-of-2024-1976878"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henkel.it/press-and-media/comunicati-stampa/2024-07-17-henkel-rivede-al-rialzo-le-previsioni-2024-dopo-gli-ottimi-risultati-del-primo-semestre-197372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ilvia.vergani@henke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giusi.viani@henkel.com"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2923908787E94CBDC839863F2DE2A1" ma:contentTypeVersion="20" ma:contentTypeDescription="Create a new document." ma:contentTypeScope="" ma:versionID="e48bf589cf936ae8d5463b9aea26c563">
  <xsd:schema xmlns:xsd="http://www.w3.org/2001/XMLSchema" xmlns:xs="http://www.w3.org/2001/XMLSchema" xmlns:p="http://schemas.microsoft.com/office/2006/metadata/properties" xmlns:ns2="b83455a2-3eff-41a9-b0ca-e6a97a362aea" xmlns:ns3="c205cc2e-211e-4b61-9cb4-e8f2b9401052" xmlns:ns4="ef406d6b-70e0-427c-b08d-4edfc77771aa" targetNamespace="http://schemas.microsoft.com/office/2006/metadata/properties" ma:root="true" ma:fieldsID="9d5e21d75ae6ad0672b0074947839f30" ns2:_="" ns3:_="" ns4:_="">
    <xsd:import namespace="b83455a2-3eff-41a9-b0ca-e6a97a362aea"/>
    <xsd:import namespace="c205cc2e-211e-4b61-9cb4-e8f2b940105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455a2-3eff-41a9-b0ca-e6a97a362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5cc2e-211e-4b61-9cb4-e8f2b94010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cb4ad-07a8-49a1-b4f0-fc8f58e85a2e}" ma:internalName="TaxCatchAll" ma:showField="CatchAllData" ma:web="c205cc2e-211e-4b61-9cb4-e8f2b9401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2f792e8-4dad-42c1-ad63-44982727bf4d"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b83455a2-3eff-41a9-b0ca-e6a97a362aea">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367E2A-F0F6-405A-B359-25E9BCE44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455a2-3eff-41a9-b0ca-e6a97a362aea"/>
    <ds:schemaRef ds:uri="c205cc2e-211e-4b61-9cb4-e8f2b940105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F5E823-FD9A-4CF5-8C4B-A2151B3E8DB5}">
  <ds:schemaRefs>
    <ds:schemaRef ds:uri="http://schemas.openxmlformats.org/officeDocument/2006/bibliography"/>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b83455a2-3eff-41a9-b0ca-e6a97a362aea"/>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5</Pages>
  <Words>1729</Words>
  <Characters>9857</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11563</CharactersWithSpaces>
  <SharedDoc>false</SharedDoc>
  <HLinks>
    <vt:vector size="66" baseType="variant">
      <vt:variant>
        <vt:i4>6946937</vt:i4>
      </vt:variant>
      <vt:variant>
        <vt:i4>30</vt:i4>
      </vt:variant>
      <vt:variant>
        <vt:i4>0</vt:i4>
      </vt:variant>
      <vt:variant>
        <vt:i4>5</vt:i4>
      </vt:variant>
      <vt:variant>
        <vt:lpwstr>http://www.henkel.de/ir</vt:lpwstr>
      </vt:variant>
      <vt:variant>
        <vt:lpwstr/>
      </vt:variant>
      <vt:variant>
        <vt:i4>6619256</vt:i4>
      </vt:variant>
      <vt:variant>
        <vt:i4>27</vt:i4>
      </vt:variant>
      <vt:variant>
        <vt:i4>0</vt:i4>
      </vt:variant>
      <vt:variant>
        <vt:i4>5</vt:i4>
      </vt:variant>
      <vt:variant>
        <vt:lpwstr>http://www.henkel.de/presse</vt:lpwstr>
      </vt:variant>
      <vt:variant>
        <vt:lpwstr/>
      </vt:variant>
      <vt:variant>
        <vt:i4>2228305</vt:i4>
      </vt:variant>
      <vt:variant>
        <vt:i4>24</vt:i4>
      </vt:variant>
      <vt:variant>
        <vt:i4>0</vt:i4>
      </vt:variant>
      <vt:variant>
        <vt:i4>5</vt:i4>
      </vt:variant>
      <vt:variant>
        <vt:lpwstr>mailto:linda.gehring@henkel.com</vt:lpwstr>
      </vt:variant>
      <vt:variant>
        <vt:lpwstr/>
      </vt:variant>
      <vt:variant>
        <vt:i4>7208970</vt:i4>
      </vt:variant>
      <vt:variant>
        <vt:i4>21</vt:i4>
      </vt:variant>
      <vt:variant>
        <vt:i4>0</vt:i4>
      </vt:variant>
      <vt:variant>
        <vt:i4>5</vt:i4>
      </vt:variant>
      <vt:variant>
        <vt:lpwstr>mailto:dennis.starke@henkel.com</vt:lpwstr>
      </vt:variant>
      <vt:variant>
        <vt:lpwstr/>
      </vt:variant>
      <vt:variant>
        <vt:i4>2687054</vt:i4>
      </vt:variant>
      <vt:variant>
        <vt:i4>18</vt:i4>
      </vt:variant>
      <vt:variant>
        <vt:i4>0</vt:i4>
      </vt:variant>
      <vt:variant>
        <vt:i4>5</vt:i4>
      </vt:variant>
      <vt:variant>
        <vt:lpwstr>mailto:hanna.philipps@henkel.com</vt:lpwstr>
      </vt:variant>
      <vt:variant>
        <vt:lpwstr/>
      </vt:variant>
      <vt:variant>
        <vt:i4>1835116</vt:i4>
      </vt:variant>
      <vt:variant>
        <vt:i4>15</vt:i4>
      </vt:variant>
      <vt:variant>
        <vt:i4>0</vt:i4>
      </vt:variant>
      <vt:variant>
        <vt:i4>5</vt:i4>
      </vt:variant>
      <vt:variant>
        <vt:lpwstr>mailto:jennifer.ott@henkel.com</vt:lpwstr>
      </vt:variant>
      <vt:variant>
        <vt:lpwstr/>
      </vt:variant>
      <vt:variant>
        <vt:i4>7667735</vt:i4>
      </vt:variant>
      <vt:variant>
        <vt:i4>12</vt:i4>
      </vt:variant>
      <vt:variant>
        <vt:i4>0</vt:i4>
      </vt:variant>
      <vt:variant>
        <vt:i4>5</vt:i4>
      </vt:variant>
      <vt:variant>
        <vt:lpwstr>mailto:wulf.klueppelholz@henkel.com</vt:lpwstr>
      </vt:variant>
      <vt:variant>
        <vt:lpwstr/>
      </vt:variant>
      <vt:variant>
        <vt:i4>7602201</vt:i4>
      </vt:variant>
      <vt:variant>
        <vt:i4>9</vt:i4>
      </vt:variant>
      <vt:variant>
        <vt:i4>0</vt:i4>
      </vt:variant>
      <vt:variant>
        <vt:i4>5</vt:i4>
      </vt:variant>
      <vt:variant>
        <vt:lpwstr>mailto:manuel.boesing@henkel.com</vt:lpwstr>
      </vt:variant>
      <vt:variant>
        <vt:lpwstr/>
      </vt:variant>
      <vt:variant>
        <vt:i4>119</vt:i4>
      </vt:variant>
      <vt:variant>
        <vt:i4>6</vt:i4>
      </vt:variant>
      <vt:variant>
        <vt:i4>0</vt:i4>
      </vt:variant>
      <vt:variant>
        <vt:i4>5</vt:i4>
      </vt:variant>
      <vt:variant>
        <vt:lpwstr>mailto:lars.witteck@henkel.com</vt:lpwstr>
      </vt:variant>
      <vt:variant>
        <vt:lpwstr/>
      </vt:variant>
      <vt:variant>
        <vt:i4>786533</vt:i4>
      </vt:variant>
      <vt:variant>
        <vt:i4>3</vt:i4>
      </vt:variant>
      <vt:variant>
        <vt:i4>0</vt:i4>
      </vt:variant>
      <vt:variant>
        <vt:i4>5</vt:i4>
      </vt:variant>
      <vt:variant>
        <vt:lpwstr>mailto:lars.korinth@henkel.com</vt:lpwstr>
      </vt:variant>
      <vt:variant>
        <vt:lpwstr/>
      </vt:variant>
      <vt:variant>
        <vt:i4>196694</vt:i4>
      </vt:variant>
      <vt:variant>
        <vt:i4>0</vt:i4>
      </vt:variant>
      <vt:variant>
        <vt:i4>0</vt:i4>
      </vt:variant>
      <vt:variant>
        <vt:i4>5</vt:i4>
      </vt:variant>
      <vt:variant>
        <vt:lpwstr>http://www.henkel.de/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Silvia Vergani (ext)</cp:lastModifiedBy>
  <cp:revision>196</cp:revision>
  <cp:lastPrinted>2024-05-03T08:49:00Z</cp:lastPrinted>
  <dcterms:created xsi:type="dcterms:W3CDTF">2024-07-18T06:21:00Z</dcterms:created>
  <dcterms:modified xsi:type="dcterms:W3CDTF">2024-08-26T15:15:00Z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0x010100242923908787E94CBDC839863F2DE2A1</vt:lpwstr>
  </property>
  <property fmtid="{D5CDD505-2E9C-101B-9397-08002B2CF9AE}" pid="3" name="MediaServiceImageTags">
    <vt:lpwstr/>
  </property>
</Properties>
</file>