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24ED" w14:textId="0AA63771" w:rsidR="005742B4" w:rsidRPr="00A110E3" w:rsidRDefault="00B349C2">
      <w:pPr>
        <w:pStyle w:val="MonthDayYear"/>
        <w:rPr>
          <w:lang w:val="cs-CZ"/>
        </w:rPr>
      </w:pPr>
      <w:r>
        <w:rPr>
          <w:lang w:val="cs-CZ"/>
        </w:rPr>
        <w:t>13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srpen</w:t>
      </w:r>
      <w:r w:rsidR="007D354B" w:rsidRPr="00A110E3">
        <w:rPr>
          <w:lang w:val="cs-CZ"/>
        </w:rPr>
        <w:t xml:space="preserve"> 202</w:t>
      </w:r>
      <w:r w:rsidR="002D2EB4">
        <w:rPr>
          <w:lang w:val="cs-CZ"/>
        </w:rPr>
        <w:t>4</w:t>
      </w:r>
    </w:p>
    <w:p w14:paraId="25615184" w14:textId="77777777" w:rsidR="003E32B3" w:rsidRPr="00092B43" w:rsidRDefault="003E32B3" w:rsidP="003E32B3">
      <w:pPr>
        <w:pStyle w:val="Predvolen"/>
        <w:spacing w:before="560" w:after="36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092B43">
        <w:rPr>
          <w:rFonts w:ascii="Segoe UI" w:hAnsi="Segoe UI" w:cs="Segoe UI"/>
          <w:sz w:val="22"/>
          <w:szCs w:val="22"/>
          <w:lang w:val="cs-CZ"/>
        </w:rPr>
        <w:t>Silné pololetní výsledky přispívají k úspěšné implementaci agendy růstu</w:t>
      </w:r>
    </w:p>
    <w:p w14:paraId="61680770" w14:textId="47D4F967" w:rsidR="003B0A2B" w:rsidRPr="00092B43" w:rsidRDefault="00E01008" w:rsidP="003F597B">
      <w:pPr>
        <w:pStyle w:val="Predvolen"/>
        <w:spacing w:before="0" w:line="276" w:lineRule="auto"/>
        <w:ind w:right="553"/>
        <w:rPr>
          <w:rFonts w:ascii="Segoe UI" w:hAnsi="Segoe UI" w:cs="Segoe UI"/>
          <w:b/>
          <w:bCs/>
          <w:sz w:val="32"/>
          <w:szCs w:val="32"/>
          <w:lang w:val="cs-CZ"/>
        </w:rPr>
      </w:pPr>
      <w:r w:rsidRPr="00092B43">
        <w:rPr>
          <w:rFonts w:ascii="Segoe UI" w:hAnsi="Segoe UI" w:cs="Segoe UI"/>
          <w:b/>
          <w:bCs/>
          <w:sz w:val="32"/>
          <w:szCs w:val="32"/>
          <w:lang w:val="cs-CZ"/>
        </w:rPr>
        <w:t xml:space="preserve">Společnost </w:t>
      </w:r>
      <w:proofErr w:type="spellStart"/>
      <w:r w:rsidRPr="00092B43">
        <w:rPr>
          <w:rFonts w:ascii="Segoe UI" w:hAnsi="Segoe UI" w:cs="Segoe UI"/>
          <w:b/>
          <w:bCs/>
          <w:sz w:val="32"/>
          <w:szCs w:val="32"/>
          <w:lang w:val="cs-CZ"/>
        </w:rPr>
        <w:t>Henkel</w:t>
      </w:r>
      <w:proofErr w:type="spellEnd"/>
      <w:r w:rsidRPr="00092B43">
        <w:rPr>
          <w:rFonts w:ascii="Segoe UI" w:hAnsi="Segoe UI" w:cs="Segoe UI"/>
          <w:b/>
          <w:bCs/>
          <w:sz w:val="32"/>
          <w:szCs w:val="32"/>
          <w:lang w:val="cs-CZ"/>
        </w:rPr>
        <w:t xml:space="preserve"> zaznamenala dobrý organický růst obratu a velmi silné zlepšení výnosů v prvním pololetí 2024</w:t>
      </w:r>
    </w:p>
    <w:p w14:paraId="0DCD17D8" w14:textId="77777777" w:rsidR="003F597B" w:rsidRPr="00092B43" w:rsidRDefault="003F597B" w:rsidP="003F597B">
      <w:pPr>
        <w:pStyle w:val="Predvolen"/>
        <w:spacing w:before="0" w:line="276" w:lineRule="auto"/>
        <w:ind w:right="553"/>
        <w:rPr>
          <w:rStyle w:val="Headline"/>
          <w:rFonts w:eastAsia="Arial Unicode MS"/>
          <w:lang w:val="cs-CZ"/>
        </w:rPr>
      </w:pPr>
    </w:p>
    <w:p w14:paraId="30718E34" w14:textId="18326C0E" w:rsidR="006E3411" w:rsidRPr="00092B43" w:rsidRDefault="006E3411" w:rsidP="003F597B">
      <w:pPr>
        <w:pStyle w:val="Predvolen"/>
        <w:numPr>
          <w:ilvl w:val="0"/>
          <w:numId w:val="5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Obrat na úrovni skupiny se v prvním pololetí organicky zvýšil o 2,9 procenta na přibližně 10,8 miliardy eur (nominálně -1,0 procento) – růst zaznamenaly obě obchodní divize</w:t>
      </w:r>
    </w:p>
    <w:p w14:paraId="0F692E25" w14:textId="77777777" w:rsidR="006E3411" w:rsidRPr="00092B43" w:rsidRDefault="006E3411" w:rsidP="00572FEB">
      <w:pPr>
        <w:pStyle w:val="Predvolen"/>
        <w:numPr>
          <w:ilvl w:val="0"/>
          <w:numId w:val="5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Provozní zisk (EBIT)*: velmi výrazné zvýšení na 1 610 milionů eur (+28,4 procenta)</w:t>
      </w:r>
    </w:p>
    <w:p w14:paraId="511BFF55" w14:textId="77777777" w:rsidR="006E3411" w:rsidRPr="00092B43" w:rsidRDefault="006E3411" w:rsidP="00572FEB">
      <w:pPr>
        <w:pStyle w:val="Predvolen"/>
        <w:numPr>
          <w:ilvl w:val="0"/>
          <w:numId w:val="7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Marže EBIT * se také výrazně zvýšila na 14,9 procenta (+340 bazických bodů)</w:t>
      </w:r>
    </w:p>
    <w:p w14:paraId="3A1F3B11" w14:textId="77777777" w:rsidR="006E3411" w:rsidRPr="00092B43" w:rsidRDefault="006E3411" w:rsidP="00572FEB">
      <w:pPr>
        <w:pStyle w:val="Predvolen"/>
        <w:numPr>
          <w:ilvl w:val="0"/>
          <w:numId w:val="5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Výnosy na prioritní akcii (EPS)* se zvýšily přibližně o jednu třetinu na 2,78 eura, +32,9 procenta při konstantních kurzových sazbách</w:t>
      </w:r>
    </w:p>
    <w:p w14:paraId="5B29D730" w14:textId="77777777" w:rsidR="006E3411" w:rsidRPr="00092B43" w:rsidRDefault="006E3411" w:rsidP="00572FEB">
      <w:pPr>
        <w:pStyle w:val="Predvolen"/>
        <w:numPr>
          <w:ilvl w:val="0"/>
          <w:numId w:val="5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 xml:space="preserve">Velmi dobrý volný cash </w:t>
      </w:r>
      <w:proofErr w:type="spellStart"/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flow</w:t>
      </w:r>
      <w:proofErr w:type="spellEnd"/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 xml:space="preserve"> ve výši přibližně 800 milionů eur</w:t>
      </w:r>
    </w:p>
    <w:p w14:paraId="6F31285F" w14:textId="77777777" w:rsidR="006E3411" w:rsidRPr="00092B43" w:rsidRDefault="006E3411" w:rsidP="00572FEB">
      <w:pPr>
        <w:pStyle w:val="Predvolen"/>
        <w:numPr>
          <w:ilvl w:val="0"/>
          <w:numId w:val="5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Další pokrok v implementaci strategické agendy růstu</w:t>
      </w:r>
    </w:p>
    <w:p w14:paraId="4BE6BFD8" w14:textId="77777777" w:rsidR="006E3411" w:rsidRPr="00092B43" w:rsidRDefault="006E3411" w:rsidP="00572FEB">
      <w:pPr>
        <w:pStyle w:val="Predvolen"/>
        <w:numPr>
          <w:ilvl w:val="0"/>
          <w:numId w:val="5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Výhled výnosů na finanční rok 2024 zvýšen již v polovině července:</w:t>
      </w:r>
    </w:p>
    <w:p w14:paraId="6E5A9AB5" w14:textId="3FB83684" w:rsidR="006E3411" w:rsidRPr="00092B43" w:rsidRDefault="006E3411" w:rsidP="00092B43">
      <w:pPr>
        <w:pStyle w:val="Predvolen"/>
        <w:numPr>
          <w:ilvl w:val="0"/>
          <w:numId w:val="8"/>
        </w:numPr>
        <w:spacing w:before="0" w:after="160"/>
        <w:ind w:right="553"/>
        <w:rPr>
          <w:rFonts w:ascii="Segoe UI" w:hAnsi="Segoe UI" w:cs="Segoe UI"/>
          <w:sz w:val="22"/>
          <w:szCs w:val="22"/>
          <w:lang w:val="cs-CZ"/>
        </w:rPr>
      </w:pPr>
      <w:r w:rsidRPr="00092B43">
        <w:rPr>
          <w:rFonts w:ascii="Segoe UI" w:hAnsi="Segoe UI" w:cs="Segoe UI"/>
          <w:sz w:val="22"/>
          <w:szCs w:val="22"/>
          <w:lang w:val="cs-CZ"/>
        </w:rPr>
        <w:t>Organický růst obratu: 2,5 až 4,5 procenta (nezměněn)</w:t>
      </w:r>
    </w:p>
    <w:p w14:paraId="24EDF868" w14:textId="77777777" w:rsidR="006E3411" w:rsidRPr="00092B43" w:rsidRDefault="006E3411" w:rsidP="00092B43">
      <w:pPr>
        <w:pStyle w:val="Predvolen"/>
        <w:numPr>
          <w:ilvl w:val="0"/>
          <w:numId w:val="8"/>
        </w:numPr>
        <w:spacing w:before="0" w:after="160"/>
        <w:ind w:right="553"/>
        <w:rPr>
          <w:rFonts w:ascii="Segoe UI" w:hAnsi="Segoe UI" w:cs="Segoe UI"/>
          <w:sz w:val="22"/>
          <w:szCs w:val="22"/>
          <w:lang w:val="cs-CZ"/>
        </w:rPr>
      </w:pPr>
      <w:r w:rsidRPr="00092B43">
        <w:rPr>
          <w:rFonts w:ascii="Segoe UI" w:hAnsi="Segoe UI" w:cs="Segoe UI"/>
          <w:sz w:val="22"/>
          <w:szCs w:val="22"/>
          <w:lang w:val="cs-CZ"/>
        </w:rPr>
        <w:t>Upravená výnosnost prodeje: 13,5 až 14,5 procenta (původně: 13,0 až 14,0 procenta)</w:t>
      </w:r>
    </w:p>
    <w:p w14:paraId="585F81ED" w14:textId="77777777" w:rsidR="006E3411" w:rsidRPr="00092B43" w:rsidRDefault="006E3411" w:rsidP="00092B43">
      <w:pPr>
        <w:pStyle w:val="Predvolen"/>
        <w:numPr>
          <w:ilvl w:val="0"/>
          <w:numId w:val="8"/>
        </w:numPr>
        <w:spacing w:before="0" w:after="160"/>
        <w:ind w:right="553"/>
        <w:rPr>
          <w:rFonts w:ascii="Segoe UI" w:hAnsi="Segoe UI" w:cs="Segoe UI"/>
          <w:sz w:val="22"/>
          <w:szCs w:val="22"/>
          <w:lang w:val="cs-CZ"/>
        </w:rPr>
      </w:pPr>
      <w:r w:rsidRPr="00092B43">
        <w:rPr>
          <w:rFonts w:ascii="Segoe UI" w:hAnsi="Segoe UI" w:cs="Segoe UI"/>
          <w:sz w:val="22"/>
          <w:szCs w:val="22"/>
          <w:lang w:val="cs-CZ"/>
        </w:rPr>
        <w:t>Upravené výnosy na prioritní akcii (EPS): zvýšení v rozpětí od 20 do 30 procent při konstantních kurzových sazbách (původně: +15 až +25 procent)</w:t>
      </w:r>
    </w:p>
    <w:p w14:paraId="63083A43" w14:textId="77777777" w:rsidR="006E3411" w:rsidRPr="00092B43" w:rsidRDefault="006E3411" w:rsidP="00572FEB">
      <w:pPr>
        <w:pStyle w:val="Predvolen"/>
        <w:numPr>
          <w:ilvl w:val="0"/>
          <w:numId w:val="6"/>
        </w:numPr>
        <w:spacing w:before="0" w:after="80" w:line="276" w:lineRule="auto"/>
        <w:ind w:right="445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092B43">
        <w:rPr>
          <w:rFonts w:ascii="Segoe UI" w:hAnsi="Segoe UI" w:cs="Segoe UI"/>
          <w:b/>
          <w:bCs/>
          <w:sz w:val="22"/>
          <w:szCs w:val="22"/>
          <w:lang w:val="cs-CZ"/>
        </w:rPr>
        <w:t>Středně až dlouhodobý finanční cíl bude splněn již v střednědobém horizontu</w:t>
      </w:r>
    </w:p>
    <w:p w14:paraId="4DAFFC06" w14:textId="77777777" w:rsidR="006E3411" w:rsidRPr="00092B43" w:rsidRDefault="006E3411" w:rsidP="006E3411">
      <w:pPr>
        <w:pStyle w:val="Predvolen"/>
        <w:spacing w:before="0" w:after="80" w:line="276" w:lineRule="auto"/>
        <w:ind w:right="445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73644A4B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Düsseldorf – Společnosti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se v prvním pololetí 2024 podařilo zaznamenat výrazný organický růst obratu doprovázený velmi výrazným zvýšením výnosů i přes přetrvávající náročné ekonomické podmínky. Společnost tedy úspěšně pokračuje vpřed na své cestě k profitabilnímu růstu. </w:t>
      </w:r>
      <w:r w:rsidRPr="007E35E1">
        <w:rPr>
          <w:i/>
          <w:iCs/>
          <w:lang w:val="cs-CZ"/>
        </w:rPr>
        <w:t xml:space="preserve">„Celkově se nám v prvním pololetí podařilo dosáhnout velmi dobrých obchodních a ekonomických výsledků. Je to důkaz, že naše strategie je na správné cestě a že důraz na smysluplný růst přináší viditelné úspěchy,“ </w:t>
      </w:r>
      <w:r w:rsidRPr="00092B43">
        <w:rPr>
          <w:lang w:val="cs-CZ"/>
        </w:rPr>
        <w:t xml:space="preserve">řekl předseda představenstva společnosti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Carsten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Knobel</w:t>
      </w:r>
      <w:proofErr w:type="spellEnd"/>
      <w:r w:rsidRPr="00092B43">
        <w:rPr>
          <w:lang w:val="cs-CZ"/>
        </w:rPr>
        <w:t xml:space="preserve">. </w:t>
      </w:r>
    </w:p>
    <w:p w14:paraId="69831076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 </w:t>
      </w:r>
      <w:r w:rsidRPr="009D135C">
        <w:rPr>
          <w:i/>
          <w:iCs/>
          <w:lang w:val="cs-CZ"/>
        </w:rPr>
        <w:t xml:space="preserve">„K organickému růstu obratu a zvýšení výnosů přispěly v prvním pololetí obě obchodní divize. Sloučení našich spotřebitelských divizí přináší úspěchy a implementace strategických opatření a iniciativ má velmi pozitivní vliv na vývoj obratu, hrubé marže i výnosů. Také divize lepících a spojovacích technologií, jejíž organizační strukturu jsme upravili tak, aby lépe zohledňovala očekávání našich zákazníků, přispěla díky změnám, které jsme iniciovali, k pozitivnímu ekonomickému vývoji společnosti </w:t>
      </w:r>
      <w:proofErr w:type="spellStart"/>
      <w:r w:rsidRPr="009D135C">
        <w:rPr>
          <w:i/>
          <w:iCs/>
          <w:lang w:val="cs-CZ"/>
        </w:rPr>
        <w:t>Henkel</w:t>
      </w:r>
      <w:proofErr w:type="spellEnd"/>
      <w:r w:rsidRPr="009D135C">
        <w:rPr>
          <w:i/>
          <w:iCs/>
          <w:lang w:val="cs-CZ"/>
        </w:rPr>
        <w:t xml:space="preserve">. Měli jsme také velmi silný volný cash </w:t>
      </w:r>
      <w:proofErr w:type="spellStart"/>
      <w:r w:rsidRPr="009D135C">
        <w:rPr>
          <w:i/>
          <w:iCs/>
          <w:lang w:val="cs-CZ"/>
        </w:rPr>
        <w:t>flow</w:t>
      </w:r>
      <w:proofErr w:type="spellEnd"/>
      <w:r w:rsidRPr="009D135C">
        <w:rPr>
          <w:i/>
          <w:iCs/>
          <w:lang w:val="cs-CZ"/>
        </w:rPr>
        <w:t>, jež převýšil již beztak vysokou úroveň z prvního pololetí 2023. To vše nám umožňuje i nadále cíleně investovat do rozvoje našeho podnikání a do budoucnosti: do značek, technologií a inovací. Kromě toho úspěšně pokračujeme také v realizaci dalších důležitých iniciativ v oblastech trvalé udržitelnosti a digitalizace, jež přispívají k zvyšování naší konkurenceschopnosti,“</w:t>
      </w:r>
      <w:r w:rsidRPr="00092B43">
        <w:rPr>
          <w:lang w:val="cs-CZ"/>
        </w:rPr>
        <w:t xml:space="preserve"> dodal </w:t>
      </w:r>
      <w:proofErr w:type="spellStart"/>
      <w:r w:rsidRPr="00092B43">
        <w:rPr>
          <w:lang w:val="cs-CZ"/>
        </w:rPr>
        <w:t>Carsten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Knobel</w:t>
      </w:r>
      <w:proofErr w:type="spellEnd"/>
      <w:r w:rsidRPr="00092B43">
        <w:rPr>
          <w:lang w:val="cs-CZ"/>
        </w:rPr>
        <w:t>.</w:t>
      </w:r>
    </w:p>
    <w:p w14:paraId="641B6A63" w14:textId="77777777" w:rsidR="006E3411" w:rsidRPr="00092B43" w:rsidRDefault="006E3411" w:rsidP="00092B43">
      <w:pPr>
        <w:rPr>
          <w:lang w:val="cs-CZ"/>
        </w:rPr>
      </w:pPr>
    </w:p>
    <w:p w14:paraId="0ACD4AE9" w14:textId="77777777" w:rsidR="006E3411" w:rsidRPr="000C2938" w:rsidRDefault="006E3411" w:rsidP="00092B43">
      <w:pPr>
        <w:rPr>
          <w:i/>
          <w:iCs/>
          <w:lang w:val="cs-CZ"/>
        </w:rPr>
      </w:pPr>
      <w:r w:rsidRPr="00092B43">
        <w:rPr>
          <w:lang w:val="cs-CZ"/>
        </w:rPr>
        <w:t xml:space="preserve"> </w:t>
      </w:r>
      <w:r w:rsidRPr="000C2938">
        <w:rPr>
          <w:i/>
          <w:iCs/>
          <w:lang w:val="cs-CZ"/>
        </w:rPr>
        <w:t>„V návaznosti na silné obchodní výsledky v prvním pololetí se díváme s velkou sebedůvěrou i na zbytek roku, a proto jsme v polovině července zvýšili výhled našich výnosů za finanční rok 2024. Daří se nám plnit, co jsme si předsevzali, a jsme na správné cestě k dalšímu profitabilnímu růstu. Tento vývoj se odráží také v úpravě našeho středně až dlouhodobého finančního cíle: jsme přesvědčeni, že cíle v oblasti prodeje a výnosů se nám podaří splnit již v střednědobém horizontu.</w:t>
      </w:r>
      <w:r w:rsidRPr="000C2938">
        <w:rPr>
          <w:i/>
          <w:iCs/>
          <w:rtl/>
          <w:lang w:val="cs-CZ"/>
        </w:rPr>
        <w:t>“</w:t>
      </w:r>
    </w:p>
    <w:p w14:paraId="00BF7230" w14:textId="77777777" w:rsidR="006E3411" w:rsidRPr="00092B43" w:rsidRDefault="006E3411" w:rsidP="00092B43">
      <w:pPr>
        <w:rPr>
          <w:lang w:val="cs-CZ"/>
        </w:rPr>
      </w:pPr>
    </w:p>
    <w:p w14:paraId="4B8C4EFD" w14:textId="77777777" w:rsidR="006E3411" w:rsidRPr="002C418A" w:rsidRDefault="006E3411" w:rsidP="00092B43">
      <w:pPr>
        <w:rPr>
          <w:b/>
          <w:bCs/>
          <w:lang w:val="cs-CZ"/>
        </w:rPr>
      </w:pPr>
      <w:r w:rsidRPr="002C418A">
        <w:rPr>
          <w:b/>
          <w:bCs/>
          <w:lang w:val="cs-CZ"/>
        </w:rPr>
        <w:t>Výhled na finanční rok 2024</w:t>
      </w:r>
    </w:p>
    <w:p w14:paraId="60BF188D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Výhled na aktuální finanční rok, aktualizován 3. května 2024, byl opět zvýšen 17. července, co se týče výše očekávaných výnosů. Hlavním důvodem jsou zlepšená očekávání týkající se zisku obchodní divize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 xml:space="preserve">, přičemž společnost zároveň zvyšuje investice do marketingu na podporu inovací. Aktualizovaný výhled zohledňuje také očekávané vyšší ceny přímých surovin ve druhé polovině roku.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nyní očekává níže uvedený vývoj obratu a výnosů za finanční rok 2024:</w:t>
      </w:r>
    </w:p>
    <w:p w14:paraId="1E1DB9F5" w14:textId="77777777" w:rsidR="006E3411" w:rsidRPr="00092B43" w:rsidRDefault="006E3411" w:rsidP="00092B43">
      <w:pPr>
        <w:rPr>
          <w:lang w:val="cs-CZ"/>
        </w:rPr>
      </w:pPr>
    </w:p>
    <w:p w14:paraId="7573B295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Na úrovni skupiny se i nadále očekává </w:t>
      </w:r>
      <w:r w:rsidRPr="00C230B0">
        <w:rPr>
          <w:b/>
          <w:bCs/>
          <w:lang w:val="cs-CZ"/>
        </w:rPr>
        <w:t xml:space="preserve">organický růst obratu </w:t>
      </w:r>
      <w:r w:rsidRPr="00092B43">
        <w:rPr>
          <w:lang w:val="cs-CZ"/>
        </w:rPr>
        <w:t xml:space="preserve">v rozsahu od 2,5 do 4,5 procenta za celý finanční rok 2024. V případě obchodní divize </w:t>
      </w:r>
      <w:proofErr w:type="spellStart"/>
      <w:r w:rsidRPr="00092B43">
        <w:rPr>
          <w:lang w:val="cs-CZ"/>
        </w:rPr>
        <w:t>Adhesive</w:t>
      </w:r>
      <w:proofErr w:type="spellEnd"/>
      <w:r w:rsidRPr="00092B43">
        <w:rPr>
          <w:lang w:val="cs-CZ"/>
        </w:rPr>
        <w:t xml:space="preserve"> Technologies se nadále očekává organický růst obratu na úrovni 2 až 4 procent, v případě divize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 xml:space="preserve"> jsou očekávání v rozpětí od 3 do 5 procent. </w:t>
      </w:r>
      <w:r w:rsidRPr="00586C4A">
        <w:rPr>
          <w:b/>
          <w:bCs/>
          <w:lang w:val="cs-CZ"/>
        </w:rPr>
        <w:t>Upravená výnosnost prodeje</w:t>
      </w:r>
      <w:r w:rsidRPr="00092B43">
        <w:rPr>
          <w:lang w:val="cs-CZ"/>
        </w:rPr>
        <w:t xml:space="preserve"> (marže EBIT) na úrovni </w:t>
      </w:r>
      <w:r w:rsidRPr="00092B43">
        <w:rPr>
          <w:lang w:val="cs-CZ"/>
        </w:rPr>
        <w:lastRenderedPageBreak/>
        <w:t xml:space="preserve">skupiny se v současnosti odhaduje v rozsahu 13,5 až 14,5 procenta (původně: 13 až 14 procent). V případě obchodní divize </w:t>
      </w:r>
      <w:proofErr w:type="spellStart"/>
      <w:r w:rsidRPr="00092B43">
        <w:rPr>
          <w:lang w:val="cs-CZ"/>
        </w:rPr>
        <w:t>Adhesive</w:t>
      </w:r>
      <w:proofErr w:type="spellEnd"/>
      <w:r w:rsidRPr="00092B43">
        <w:rPr>
          <w:lang w:val="cs-CZ"/>
        </w:rPr>
        <w:t xml:space="preserve"> Technologies zůstává očekávaná upravená výnosnost prodeje nezměněná na úrovni 16 až 17 procent. U obchodní divize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 xml:space="preserve"> se očekává zvýšení upravené výnosnosti prodeje na 13 až 14 procent (původně: 12 až 13 procent). Co se týče vývoje </w:t>
      </w:r>
      <w:r w:rsidRPr="00586C4A">
        <w:rPr>
          <w:b/>
          <w:bCs/>
          <w:lang w:val="cs-CZ"/>
        </w:rPr>
        <w:t>upravených výnosů na prioritní akcii</w:t>
      </w:r>
      <w:r w:rsidRPr="00092B43">
        <w:rPr>
          <w:lang w:val="cs-CZ"/>
        </w:rPr>
        <w:t xml:space="preserve"> (EPS) při konstantních kurzových sazbách,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v současnosti očekává zvýšení v rozsahu od 20 do 30 procent (původně: 15 až 25 procent).</w:t>
      </w:r>
    </w:p>
    <w:p w14:paraId="72970260" w14:textId="77777777" w:rsidR="006E3411" w:rsidRPr="00092B43" w:rsidRDefault="006E3411" w:rsidP="00092B43">
      <w:pPr>
        <w:rPr>
          <w:lang w:val="cs-CZ"/>
        </w:rPr>
      </w:pPr>
    </w:p>
    <w:p w14:paraId="26430DA5" w14:textId="77777777" w:rsidR="006E3411" w:rsidRPr="00BC638D" w:rsidRDefault="006E3411" w:rsidP="00092B43">
      <w:pPr>
        <w:rPr>
          <w:b/>
          <w:bCs/>
          <w:lang w:val="cs-CZ"/>
        </w:rPr>
      </w:pPr>
      <w:r w:rsidRPr="00BC638D">
        <w:rPr>
          <w:b/>
          <w:bCs/>
          <w:lang w:val="cs-CZ"/>
        </w:rPr>
        <w:t>Vývoj obratu a výnosů v prvním pololetí 2024</w:t>
      </w:r>
    </w:p>
    <w:p w14:paraId="756F34A7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V neustále náročném trhovém prostředí dosáhla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v prvním pololetí 2024 </w:t>
      </w:r>
      <w:r w:rsidRPr="003B0DDD">
        <w:rPr>
          <w:b/>
          <w:bCs/>
          <w:lang w:val="cs-CZ"/>
        </w:rPr>
        <w:t>obratu na úrovni skupiny</w:t>
      </w:r>
      <w:r w:rsidRPr="00092B43">
        <w:rPr>
          <w:lang w:val="cs-CZ"/>
        </w:rPr>
        <w:t xml:space="preserve"> ve výši 10 813 milionů eur, což nominálně představuje pokles o jedno procento. Po negativním vývoji nominálního obratu v předchozích čtvrtletích, jež byl negativně ovlivněn odprodejem a ukončením podnikatelských aktivit v Ruské federaci, se společnosti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v druhém čtvrtletí 2024 podařilo opět vrátit k růstu nominálního obratu (2. čtvrtletí: 5 496 milionů eur; +3,4 procenta). Negativní vliv kurzového vývoje přispěl ke snížení obratu o 1,9 procenta (2. čtvrtletí: +0,2 procenta), zatímco akvizice a odprodeje jej snížily o dalších 2,1 procenta (2. čtvrtletí: +0,3 procenta). Ale zatímco odprodej našich podnikatelských aktivit v Ruské federaci v dubnu 2023 měl negativní vliv, nedávno ukončené akvizice v obou obchodních divizích – </w:t>
      </w:r>
      <w:proofErr w:type="spellStart"/>
      <w:r w:rsidRPr="00092B43">
        <w:rPr>
          <w:lang w:val="cs-CZ"/>
        </w:rPr>
        <w:t>Seal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for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Life</w:t>
      </w:r>
      <w:proofErr w:type="spellEnd"/>
      <w:r w:rsidRPr="00092B43">
        <w:rPr>
          <w:lang w:val="cs-CZ"/>
        </w:rPr>
        <w:t xml:space="preserve"> a </w:t>
      </w:r>
      <w:proofErr w:type="spellStart"/>
      <w:r w:rsidRPr="00092B43">
        <w:rPr>
          <w:lang w:val="cs-CZ"/>
        </w:rPr>
        <w:t>Vidal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Sassoon</w:t>
      </w:r>
      <w:proofErr w:type="spellEnd"/>
      <w:r w:rsidRPr="00092B43">
        <w:rPr>
          <w:lang w:val="cs-CZ"/>
        </w:rPr>
        <w:t xml:space="preserve"> – přinesly pozitivní příspěvek. V </w:t>
      </w:r>
      <w:r w:rsidRPr="003B0DDD">
        <w:rPr>
          <w:b/>
          <w:bCs/>
          <w:lang w:val="cs-CZ"/>
        </w:rPr>
        <w:t>organickém</w:t>
      </w:r>
      <w:r w:rsidRPr="00092B43">
        <w:rPr>
          <w:lang w:val="cs-CZ"/>
        </w:rPr>
        <w:t xml:space="preserve"> vyjádření – tj. po úpravě o kurzové vlivy a vliv akvizic a odprodejů – dosáhla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růstu obratu ve výši 2,9 procenta (2. čtvrtletí: +2,8 procenta).</w:t>
      </w:r>
    </w:p>
    <w:p w14:paraId="4643CFF9" w14:textId="77777777" w:rsidR="006E3411" w:rsidRPr="00092B43" w:rsidRDefault="006E3411" w:rsidP="00092B43">
      <w:pPr>
        <w:rPr>
          <w:lang w:val="cs-CZ"/>
        </w:rPr>
      </w:pPr>
    </w:p>
    <w:p w14:paraId="328E4D1D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Obchodní divize </w:t>
      </w:r>
      <w:proofErr w:type="spellStart"/>
      <w:r w:rsidRPr="003328F5">
        <w:rPr>
          <w:b/>
          <w:bCs/>
          <w:lang w:val="cs-CZ"/>
        </w:rPr>
        <w:t>Adhesive</w:t>
      </w:r>
      <w:proofErr w:type="spellEnd"/>
      <w:r w:rsidRPr="003328F5">
        <w:rPr>
          <w:b/>
          <w:bCs/>
          <w:lang w:val="cs-CZ"/>
        </w:rPr>
        <w:t xml:space="preserve"> Technologies</w:t>
      </w:r>
      <w:r w:rsidRPr="00092B43">
        <w:rPr>
          <w:lang w:val="cs-CZ"/>
        </w:rPr>
        <w:t xml:space="preserve"> zaznamenala v prvním pololetí 2024 silný organický růst obratu ve výši 2 procent, k němuž přispěly trhové segmenty mobilita a elektronický průmysl i segment výrobků pro řemeslníky, stavebnictví a profesionály (2. čtvrtletí: +2,6 procenta). K velmi silnému organickému růstu obratu obchodní divize </w:t>
      </w:r>
      <w:proofErr w:type="spellStart"/>
      <w:r w:rsidRPr="003328F5">
        <w:rPr>
          <w:b/>
          <w:bCs/>
          <w:lang w:val="cs-CZ"/>
        </w:rPr>
        <w:t>Consumer</w:t>
      </w:r>
      <w:proofErr w:type="spellEnd"/>
      <w:r w:rsidRPr="003328F5">
        <w:rPr>
          <w:b/>
          <w:bCs/>
          <w:lang w:val="cs-CZ"/>
        </w:rPr>
        <w:t xml:space="preserve"> </w:t>
      </w:r>
      <w:proofErr w:type="spellStart"/>
      <w:r w:rsidRPr="003328F5">
        <w:rPr>
          <w:b/>
          <w:bCs/>
          <w:lang w:val="cs-CZ"/>
        </w:rPr>
        <w:t>Brands</w:t>
      </w:r>
      <w:proofErr w:type="spellEnd"/>
      <w:r w:rsidRPr="00092B43">
        <w:rPr>
          <w:lang w:val="cs-CZ"/>
        </w:rPr>
        <w:t xml:space="preserve"> na úrovni 4,3 procenta přispěly všechny trhové segmenty (2. čtvrtletí: +3,3 procenta). Hlavním důvodem růstu obratu obou obchodních divizí byl pozitivní cenový vývoj. Vývoj objemu prodaných výrobků, který je i nadále ovlivňován portfoliovými opatřeními v divizi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 xml:space="preserve">, zaznamenal mírně pozitivní trend, a to jak ve srovnaní s prvním pololetím 2024, tak s postupným zlepšováním v prvním čtvrtletí 2024. </w:t>
      </w:r>
    </w:p>
    <w:p w14:paraId="18311A38" w14:textId="77777777" w:rsidR="006E3411" w:rsidRPr="00092B43" w:rsidRDefault="006E3411" w:rsidP="00092B43">
      <w:pPr>
        <w:rPr>
          <w:lang w:val="cs-CZ"/>
        </w:rPr>
      </w:pPr>
    </w:p>
    <w:p w14:paraId="2EC7912A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Organický růst obratu </w:t>
      </w:r>
      <w:r w:rsidRPr="00160696">
        <w:rPr>
          <w:b/>
          <w:bCs/>
          <w:lang w:val="cs-CZ"/>
        </w:rPr>
        <w:t>v evropském</w:t>
      </w:r>
      <w:r w:rsidRPr="00092B43">
        <w:rPr>
          <w:lang w:val="cs-CZ"/>
        </w:rPr>
        <w:t xml:space="preserve"> regionu dosáhl v prvním pololetí úrovně 1,8 procenta (2. čtvrtletí: +1,2 procenta). V regionu </w:t>
      </w:r>
      <w:r w:rsidRPr="00160696">
        <w:rPr>
          <w:b/>
          <w:bCs/>
          <w:lang w:val="cs-CZ"/>
        </w:rPr>
        <w:t>IMEA</w:t>
      </w:r>
      <w:r w:rsidRPr="00092B43">
        <w:rPr>
          <w:lang w:val="cs-CZ"/>
        </w:rPr>
        <w:t xml:space="preserve"> (India, Blízky východ a Afrika) dosáhla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dvojciferného organického růstu obratu ve výši 21 procent (2. čtvrtletí: +13,7 procenta). Na </w:t>
      </w:r>
      <w:r w:rsidRPr="00DF3185">
        <w:rPr>
          <w:b/>
          <w:bCs/>
          <w:lang w:val="cs-CZ"/>
        </w:rPr>
        <w:t>severoamerických</w:t>
      </w:r>
      <w:r w:rsidRPr="00092B43">
        <w:rPr>
          <w:lang w:val="cs-CZ"/>
        </w:rPr>
        <w:t xml:space="preserve"> trzích se organický růst obratu naopak snížil o 1,6 procenta (2. čtvrtletí: -0,2 procenta), v </w:t>
      </w:r>
      <w:r w:rsidRPr="00DF3185">
        <w:rPr>
          <w:b/>
          <w:bCs/>
          <w:lang w:val="cs-CZ"/>
        </w:rPr>
        <w:t>Latinské Americe</w:t>
      </w:r>
      <w:r w:rsidRPr="00092B43">
        <w:rPr>
          <w:lang w:val="cs-CZ"/>
        </w:rPr>
        <w:t xml:space="preserve"> organický vývoj obratu v prvním pololetí stagnoval na </w:t>
      </w:r>
      <w:r w:rsidRPr="00092B43">
        <w:rPr>
          <w:lang w:val="cs-CZ"/>
        </w:rPr>
        <w:lastRenderedPageBreak/>
        <w:t>hodnotě 0,0 procenta (2. čtvrtletí: 2,7 procenta), zatímco v </w:t>
      </w:r>
      <w:r w:rsidRPr="00DF3185">
        <w:rPr>
          <w:b/>
          <w:bCs/>
          <w:lang w:val="cs-CZ"/>
        </w:rPr>
        <w:t>asijsko-pacifickém</w:t>
      </w:r>
      <w:r w:rsidRPr="00092B43">
        <w:rPr>
          <w:lang w:val="cs-CZ"/>
        </w:rPr>
        <w:t xml:space="preserve"> regionu se obrat organicky zlepšil o 5,5 procenta (2. čtvrtletí: +7,5 procenta). </w:t>
      </w:r>
    </w:p>
    <w:p w14:paraId="3918C24A" w14:textId="77777777" w:rsidR="006E3411" w:rsidRPr="00092B43" w:rsidRDefault="006E3411" w:rsidP="00092B43">
      <w:pPr>
        <w:rPr>
          <w:lang w:val="cs-CZ"/>
        </w:rPr>
      </w:pPr>
    </w:p>
    <w:p w14:paraId="05E2560C" w14:textId="77777777" w:rsidR="006E3411" w:rsidRPr="00092B43" w:rsidRDefault="006E3411" w:rsidP="00092B43">
      <w:pPr>
        <w:rPr>
          <w:lang w:val="cs-CZ"/>
        </w:rPr>
      </w:pPr>
      <w:r w:rsidRPr="00DF3185">
        <w:rPr>
          <w:b/>
          <w:bCs/>
          <w:lang w:val="cs-CZ"/>
        </w:rPr>
        <w:t>Upravený provozní zisk</w:t>
      </w:r>
      <w:r w:rsidRPr="00092B43">
        <w:rPr>
          <w:lang w:val="cs-CZ"/>
        </w:rPr>
        <w:t xml:space="preserve"> </w:t>
      </w:r>
      <w:r w:rsidRPr="00DF3185">
        <w:rPr>
          <w:b/>
          <w:bCs/>
          <w:lang w:val="cs-CZ"/>
        </w:rPr>
        <w:t>(upravený EBIT)</w:t>
      </w:r>
      <w:r w:rsidRPr="00092B43">
        <w:rPr>
          <w:lang w:val="cs-CZ"/>
        </w:rPr>
        <w:t xml:space="preserve"> zaznamenal výrazné zvýšení z 1 254 milionů eur v prvním pololetí 2023 na 1 610 milionů eur v prvním pololetí 2024, což představuje meziroční zlepšení o 28,4 procenta, především díky výraznému zvýšení hrubé marže.</w:t>
      </w:r>
    </w:p>
    <w:p w14:paraId="570BB092" w14:textId="77777777" w:rsidR="006E3411" w:rsidRPr="00092B43" w:rsidRDefault="006E3411" w:rsidP="00092B43">
      <w:pPr>
        <w:rPr>
          <w:lang w:val="cs-CZ"/>
        </w:rPr>
      </w:pPr>
    </w:p>
    <w:p w14:paraId="7681C34D" w14:textId="77777777" w:rsidR="006E3411" w:rsidRPr="00092B43" w:rsidRDefault="006E3411" w:rsidP="00092B43">
      <w:pPr>
        <w:rPr>
          <w:lang w:val="cs-CZ"/>
        </w:rPr>
      </w:pPr>
      <w:r w:rsidRPr="005E3384">
        <w:rPr>
          <w:b/>
          <w:bCs/>
          <w:lang w:val="cs-CZ"/>
        </w:rPr>
        <w:t>Upravená výnosnost prodeje (upravená marže EBIT)</w:t>
      </w:r>
      <w:r w:rsidRPr="00092B43">
        <w:rPr>
          <w:lang w:val="cs-CZ"/>
        </w:rPr>
        <w:t xml:space="preserve"> na úrovni skupiny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se v důsledku toho zvýšila až o 340 bazických bodů z 11,5 na 14,9 procenta.</w:t>
      </w:r>
    </w:p>
    <w:p w14:paraId="6B2E613F" w14:textId="77777777" w:rsidR="006E3411" w:rsidRPr="00092B43" w:rsidRDefault="006E3411" w:rsidP="00092B43">
      <w:pPr>
        <w:rPr>
          <w:lang w:val="cs-CZ"/>
        </w:rPr>
      </w:pPr>
    </w:p>
    <w:p w14:paraId="6D55ACE3" w14:textId="77777777" w:rsidR="006E3411" w:rsidRPr="00092B43" w:rsidRDefault="006E3411" w:rsidP="00092B43">
      <w:pPr>
        <w:rPr>
          <w:lang w:val="cs-CZ"/>
        </w:rPr>
      </w:pPr>
      <w:r w:rsidRPr="005E3384">
        <w:rPr>
          <w:b/>
          <w:bCs/>
          <w:lang w:val="cs-CZ"/>
        </w:rPr>
        <w:t>Výnos na prioritní akcii</w:t>
      </w:r>
      <w:r w:rsidRPr="00092B43">
        <w:rPr>
          <w:lang w:val="cs-CZ"/>
        </w:rPr>
        <w:t xml:space="preserve"> se výrazně zvýšil na hodnotu 2,46 eura (loňský rok: 1,35 eura). Upravený výnos na prioritní akcii se meziročně zvýšil o 30,5 procenta na 2,78 eura ve srovnaní s 2,13 eura ve stejném období loňského roku. K uvedenému výraznému zvýšení přispěl především růst upraveného provozního zisku. Při konstantních kurzových sazbách dosáhl upravený výnos na prioritní akcii jednoznačného dvojciferného zlepšení ve výši 32,9 procenta.</w:t>
      </w:r>
    </w:p>
    <w:p w14:paraId="0AD67C2D" w14:textId="77777777" w:rsidR="006E3411" w:rsidRPr="00092B43" w:rsidRDefault="006E3411" w:rsidP="00092B43">
      <w:pPr>
        <w:rPr>
          <w:lang w:val="cs-CZ"/>
        </w:rPr>
      </w:pPr>
    </w:p>
    <w:p w14:paraId="616679A0" w14:textId="77777777" w:rsidR="006E3411" w:rsidRPr="00092B43" w:rsidRDefault="006E3411" w:rsidP="00092B43">
      <w:pPr>
        <w:rPr>
          <w:lang w:val="cs-CZ"/>
        </w:rPr>
      </w:pPr>
      <w:r w:rsidRPr="005E3384">
        <w:rPr>
          <w:b/>
          <w:bCs/>
          <w:lang w:val="cs-CZ"/>
        </w:rPr>
        <w:t>Čistý provozní kapitál</w:t>
      </w:r>
      <w:r w:rsidRPr="00092B43">
        <w:rPr>
          <w:lang w:val="cs-CZ"/>
        </w:rPr>
        <w:t xml:space="preserve"> meziročně klesl o 0,9 procentuálního bodu ze 6,1 na 5,2 procenta.</w:t>
      </w:r>
    </w:p>
    <w:p w14:paraId="3354E091" w14:textId="77777777" w:rsidR="006E3411" w:rsidRPr="00092B43" w:rsidRDefault="006E3411" w:rsidP="00092B43">
      <w:pPr>
        <w:rPr>
          <w:lang w:val="cs-CZ"/>
        </w:rPr>
      </w:pPr>
    </w:p>
    <w:p w14:paraId="5A37F4AA" w14:textId="77777777" w:rsidR="006E3411" w:rsidRPr="00092B43" w:rsidRDefault="006E3411" w:rsidP="00092B43">
      <w:pPr>
        <w:rPr>
          <w:lang w:val="cs-CZ"/>
        </w:rPr>
      </w:pPr>
      <w:r w:rsidRPr="005E3384">
        <w:rPr>
          <w:b/>
          <w:bCs/>
          <w:lang w:val="cs-CZ"/>
        </w:rPr>
        <w:t xml:space="preserve">Volný cash </w:t>
      </w:r>
      <w:proofErr w:type="spellStart"/>
      <w:r w:rsidRPr="005E3384">
        <w:rPr>
          <w:b/>
          <w:bCs/>
          <w:lang w:val="cs-CZ"/>
        </w:rPr>
        <w:t>flow</w:t>
      </w:r>
      <w:proofErr w:type="spellEnd"/>
      <w:r w:rsidRPr="00092B43">
        <w:rPr>
          <w:lang w:val="cs-CZ"/>
        </w:rPr>
        <w:t xml:space="preserve"> dosáhl hodnoty 772 milionů a byl tedy vyšší než v prvním pololetí 2023 (749 milionů eur). Hlavním důvodem byl vyšší cash </w:t>
      </w:r>
      <w:proofErr w:type="spellStart"/>
      <w:r w:rsidRPr="00092B43">
        <w:rPr>
          <w:lang w:val="cs-CZ"/>
        </w:rPr>
        <w:t>flow</w:t>
      </w:r>
      <w:proofErr w:type="spellEnd"/>
      <w:r w:rsidRPr="00092B43">
        <w:rPr>
          <w:lang w:val="cs-CZ"/>
        </w:rPr>
        <w:t xml:space="preserve"> z provozních činností.</w:t>
      </w:r>
    </w:p>
    <w:p w14:paraId="2FB1FD5E" w14:textId="77777777" w:rsidR="006E3411" w:rsidRPr="00092B43" w:rsidRDefault="006E3411" w:rsidP="00092B43">
      <w:pPr>
        <w:rPr>
          <w:lang w:val="cs-CZ"/>
        </w:rPr>
      </w:pPr>
    </w:p>
    <w:p w14:paraId="5A51D04B" w14:textId="77777777" w:rsidR="006E3411" w:rsidRPr="00092B43" w:rsidRDefault="006E3411" w:rsidP="00092B43">
      <w:pPr>
        <w:rPr>
          <w:lang w:val="cs-CZ"/>
        </w:rPr>
      </w:pPr>
      <w:r w:rsidRPr="005E3384">
        <w:rPr>
          <w:b/>
          <w:bCs/>
          <w:lang w:val="cs-CZ"/>
        </w:rPr>
        <w:t>Čistá finanční pozice</w:t>
      </w:r>
      <w:r w:rsidRPr="00092B43">
        <w:rPr>
          <w:lang w:val="cs-CZ"/>
        </w:rPr>
        <w:t xml:space="preserve"> k 30. červnu 2024 představovala +1 440 milionů eur (31. prosinec 2023: 12 milionů eur).</w:t>
      </w:r>
    </w:p>
    <w:p w14:paraId="0FB0C296" w14:textId="77777777" w:rsidR="006E3411" w:rsidRPr="00092B43" w:rsidRDefault="006E3411" w:rsidP="00092B43">
      <w:pPr>
        <w:rPr>
          <w:lang w:val="cs-CZ"/>
        </w:rPr>
      </w:pPr>
    </w:p>
    <w:p w14:paraId="0B25B934" w14:textId="77777777" w:rsidR="006E3411" w:rsidRPr="005E3384" w:rsidRDefault="006E3411" w:rsidP="00092B43">
      <w:pPr>
        <w:rPr>
          <w:b/>
          <w:bCs/>
          <w:lang w:val="cs-CZ"/>
        </w:rPr>
      </w:pPr>
      <w:r w:rsidRPr="005E3384">
        <w:rPr>
          <w:b/>
          <w:bCs/>
          <w:lang w:val="cs-CZ"/>
        </w:rPr>
        <w:t>Výsledky obchodních divizí za prvý pololetí 2024</w:t>
      </w:r>
    </w:p>
    <w:p w14:paraId="413EC905" w14:textId="77777777" w:rsidR="006E3411" w:rsidRPr="00092B43" w:rsidRDefault="006E3411" w:rsidP="00092B43">
      <w:pPr>
        <w:rPr>
          <w:lang w:val="cs-CZ"/>
        </w:rPr>
      </w:pPr>
      <w:r w:rsidRPr="005E3384">
        <w:rPr>
          <w:b/>
          <w:bCs/>
          <w:lang w:val="cs-CZ"/>
        </w:rPr>
        <w:t>Obrat</w:t>
      </w:r>
      <w:r w:rsidRPr="00092B43">
        <w:rPr>
          <w:lang w:val="cs-CZ"/>
        </w:rPr>
        <w:t xml:space="preserve"> obchodní divize </w:t>
      </w:r>
      <w:proofErr w:type="spellStart"/>
      <w:r w:rsidRPr="005E3384">
        <w:rPr>
          <w:b/>
          <w:bCs/>
          <w:lang w:val="cs-CZ"/>
        </w:rPr>
        <w:t>Adhesive</w:t>
      </w:r>
      <w:proofErr w:type="spellEnd"/>
      <w:r w:rsidRPr="005E3384">
        <w:rPr>
          <w:b/>
          <w:bCs/>
          <w:lang w:val="cs-CZ"/>
        </w:rPr>
        <w:t xml:space="preserve"> Technologies</w:t>
      </w:r>
      <w:r w:rsidRPr="00092B43">
        <w:rPr>
          <w:lang w:val="cs-CZ"/>
        </w:rPr>
        <w:t xml:space="preserve">, jež dosáhl v prvním pololetí 2024 hodnoty 5 475 milionů eur, se v nominálním vyjádření meziročně nezměnil (2. čtvrtletí: 2 798 milionů eur). </w:t>
      </w:r>
      <w:r w:rsidRPr="005E3384">
        <w:rPr>
          <w:b/>
          <w:bCs/>
          <w:lang w:val="cs-CZ"/>
        </w:rPr>
        <w:t>Organicky</w:t>
      </w:r>
      <w:r w:rsidRPr="00092B43">
        <w:rPr>
          <w:lang w:val="cs-CZ"/>
        </w:rPr>
        <w:t xml:space="preserve"> se obrat zvýšil o 2 procenta (2. čtvrtletí: 2,6 procenta). Příspěvek cenového vývoje k uvedenému pozitivnímu výsledku představoval 0,2 procenta a růst objemu 1,8 procenta. Obchodní divize tedy v druhém čtvrtletí zaznamenala postupné zvyšování objemu prodaných výrobků ve srovnaní s prvním čtvrtletím 2024.</w:t>
      </w:r>
    </w:p>
    <w:p w14:paraId="20B2A973" w14:textId="77777777" w:rsidR="006E3411" w:rsidRPr="00092B43" w:rsidRDefault="006E3411" w:rsidP="00092B43">
      <w:pPr>
        <w:rPr>
          <w:lang w:val="cs-CZ"/>
        </w:rPr>
      </w:pPr>
    </w:p>
    <w:p w14:paraId="011B5216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Trhový segment produktů pro </w:t>
      </w:r>
      <w:r w:rsidRPr="005E3384">
        <w:rPr>
          <w:b/>
          <w:bCs/>
          <w:lang w:val="cs-CZ"/>
        </w:rPr>
        <w:t>mobilitu</w:t>
      </w:r>
      <w:r w:rsidRPr="00092B43">
        <w:rPr>
          <w:lang w:val="cs-CZ"/>
        </w:rPr>
        <w:t xml:space="preserve"> a </w:t>
      </w:r>
      <w:r w:rsidRPr="005E3384">
        <w:rPr>
          <w:b/>
          <w:bCs/>
          <w:lang w:val="cs-CZ"/>
        </w:rPr>
        <w:t>elektronický průmysl</w:t>
      </w:r>
      <w:r w:rsidRPr="00092B43">
        <w:rPr>
          <w:lang w:val="cs-CZ"/>
        </w:rPr>
        <w:t xml:space="preserve"> dosáhl velmi silného zvýšení organického obratu na úrovni 5,3 procenta (2. čtvrtletí: +6,8 procenta). K růstu přispěly všechny kategorie, ale zejména výrobky pro elektronický průmysl, jež dosáhly dvojciferného organického růstu obratu ve srovnaní se slabým stejným obdobím loňského roku. V segmentu </w:t>
      </w:r>
      <w:r w:rsidRPr="005E3384">
        <w:rPr>
          <w:b/>
          <w:bCs/>
          <w:lang w:val="cs-CZ"/>
        </w:rPr>
        <w:t>obalů a spotřebního zboží</w:t>
      </w:r>
      <w:r w:rsidRPr="00092B43">
        <w:rPr>
          <w:lang w:val="cs-CZ"/>
        </w:rPr>
        <w:t xml:space="preserve"> došlo k organickému poklesu obratu na úrovni 0,6 procenta (2. čtvrtletí: -1,0 procenta). Zvýšení objemu prodaných výrobků v segmentu obalů </w:t>
      </w:r>
      <w:r w:rsidRPr="00092B43">
        <w:rPr>
          <w:lang w:val="cs-CZ"/>
        </w:rPr>
        <w:lastRenderedPageBreak/>
        <w:t xml:space="preserve">vykompenzovalo negativní vývoj cen. Segment spotřebního zboží celkově zaznamenal mírný pokles ve srovnání se silnými výsledky za stejné období loňského roku. Trhový segment výrobků pro </w:t>
      </w:r>
      <w:r w:rsidRPr="00197E5C">
        <w:rPr>
          <w:b/>
          <w:bCs/>
          <w:lang w:val="cs-CZ"/>
        </w:rPr>
        <w:t>řemeslníky, stavebnictví a profesionály</w:t>
      </w:r>
      <w:r w:rsidRPr="00092B43">
        <w:rPr>
          <w:lang w:val="cs-CZ"/>
        </w:rPr>
        <w:t xml:space="preserve"> dosáhl organického růstu obratu na úrovni jednoho procenta (2. čtvrtletí: +1,7 procenta), k němuž přispělo stavebnictví i výrobky pro spotřebitele a řemeslníky. Naopak segment výrobků pro výrobu a údržbu zaznamenal v důsledku nižší poptávky mírný pokles.</w:t>
      </w:r>
    </w:p>
    <w:p w14:paraId="1028B70A" w14:textId="77777777" w:rsidR="006E3411" w:rsidRPr="00092B43" w:rsidRDefault="006E3411" w:rsidP="00092B43">
      <w:pPr>
        <w:rPr>
          <w:lang w:val="cs-CZ"/>
        </w:rPr>
      </w:pPr>
    </w:p>
    <w:p w14:paraId="0502B216" w14:textId="77777777" w:rsidR="006E3411" w:rsidRPr="00092B43" w:rsidRDefault="006E3411" w:rsidP="00092B43">
      <w:pPr>
        <w:rPr>
          <w:lang w:val="cs-CZ"/>
        </w:rPr>
      </w:pPr>
      <w:r w:rsidRPr="00197E5C">
        <w:rPr>
          <w:b/>
          <w:bCs/>
          <w:lang w:val="cs-CZ"/>
        </w:rPr>
        <w:t>Upravený provozní zisk</w:t>
      </w:r>
      <w:r w:rsidRPr="00092B43">
        <w:rPr>
          <w:lang w:val="cs-CZ"/>
        </w:rPr>
        <w:t xml:space="preserve"> divize </w:t>
      </w:r>
      <w:proofErr w:type="spellStart"/>
      <w:r w:rsidRPr="00092B43">
        <w:rPr>
          <w:lang w:val="cs-CZ"/>
        </w:rPr>
        <w:t>Adhesive</w:t>
      </w:r>
      <w:proofErr w:type="spellEnd"/>
      <w:r w:rsidRPr="00092B43">
        <w:rPr>
          <w:lang w:val="cs-CZ"/>
        </w:rPr>
        <w:t xml:space="preserve"> Technologies se v prvním pololetí 2024 meziročně zvýšil o 21,8 procenta na hodnotu 933 milionů eur ve srovnání se 766 miliony eur ve stejném období loňského roku. </w:t>
      </w:r>
      <w:r w:rsidRPr="00197E5C">
        <w:rPr>
          <w:b/>
          <w:bCs/>
          <w:lang w:val="cs-CZ"/>
        </w:rPr>
        <w:t>Upravená výnosnost prodeje</w:t>
      </w:r>
      <w:r w:rsidRPr="00092B43">
        <w:rPr>
          <w:lang w:val="cs-CZ"/>
        </w:rPr>
        <w:t xml:space="preserve"> se zvýšila až o 310 bazických bodů na úroveň 17 procent. Nižší náklady na vstupné suroviny, pozitivní efekty mixu a efektivnost dodavatelského řetězce měly mimořádně pozitivní vliv na hrubou marži.</w:t>
      </w:r>
    </w:p>
    <w:p w14:paraId="53769E7D" w14:textId="77777777" w:rsidR="006E3411" w:rsidRPr="00092B43" w:rsidRDefault="006E3411" w:rsidP="00092B43">
      <w:pPr>
        <w:rPr>
          <w:lang w:val="cs-CZ"/>
        </w:rPr>
      </w:pPr>
    </w:p>
    <w:p w14:paraId="08AB1537" w14:textId="77777777" w:rsidR="006E3411" w:rsidRPr="00092B43" w:rsidRDefault="006E3411" w:rsidP="00092B43">
      <w:pPr>
        <w:rPr>
          <w:lang w:val="cs-CZ"/>
        </w:rPr>
      </w:pPr>
      <w:r w:rsidRPr="00197E5C">
        <w:rPr>
          <w:b/>
          <w:bCs/>
          <w:lang w:val="cs-CZ"/>
        </w:rPr>
        <w:t>Obrat</w:t>
      </w:r>
      <w:r w:rsidRPr="00092B43">
        <w:rPr>
          <w:lang w:val="cs-CZ"/>
        </w:rPr>
        <w:t xml:space="preserve"> obchodní divize </w:t>
      </w:r>
      <w:proofErr w:type="spellStart"/>
      <w:r w:rsidRPr="00197E5C">
        <w:rPr>
          <w:b/>
          <w:bCs/>
          <w:lang w:val="cs-CZ"/>
        </w:rPr>
        <w:t>Consumer</w:t>
      </w:r>
      <w:proofErr w:type="spellEnd"/>
      <w:r w:rsidRPr="00197E5C">
        <w:rPr>
          <w:b/>
          <w:bCs/>
          <w:lang w:val="cs-CZ"/>
        </w:rPr>
        <w:t xml:space="preserve"> </w:t>
      </w:r>
      <w:proofErr w:type="spellStart"/>
      <w:r w:rsidRPr="00197E5C">
        <w:rPr>
          <w:b/>
          <w:bCs/>
          <w:lang w:val="cs-CZ"/>
        </w:rPr>
        <w:t>Brands</w:t>
      </w:r>
      <w:proofErr w:type="spellEnd"/>
      <w:r w:rsidRPr="00092B43">
        <w:rPr>
          <w:lang w:val="cs-CZ"/>
        </w:rPr>
        <w:t xml:space="preserve"> za prvních šest měsíců roku 2024 dosáhl hodnoty 5 266 milionů eur (2. čtvrtletí: 2 662 milionů eur), což nominálně představuje zhoršení o 1,8 procenta. </w:t>
      </w:r>
      <w:r w:rsidRPr="00197E5C">
        <w:rPr>
          <w:b/>
          <w:bCs/>
          <w:lang w:val="cs-CZ"/>
        </w:rPr>
        <w:t>Organicky</w:t>
      </w:r>
      <w:r w:rsidRPr="00092B43">
        <w:rPr>
          <w:lang w:val="cs-CZ"/>
        </w:rPr>
        <w:t xml:space="preserve"> se obrat zvýšil o 4,3 procenta (2. čtvrtletí: +3,3 procenta). Hlavním faktorem uvedeného zvýšení byl pozitivní cenový vývoj na úrovni 5,1 procenta. Objem prodeje se naopak mírně snížil, o 0,9 procenta, především v důsledku pokračujících opatření zaměřených na optimalizaci portfolia. Přesto se vývoj objemu v druhém čtvrtletí 2024 postupně zlepšoval ve srovnání s předchozím čtvrtletím.</w:t>
      </w:r>
    </w:p>
    <w:p w14:paraId="26599B13" w14:textId="77777777" w:rsidR="006E3411" w:rsidRPr="00092B43" w:rsidRDefault="006E3411" w:rsidP="00092B43">
      <w:pPr>
        <w:rPr>
          <w:lang w:val="cs-CZ"/>
        </w:rPr>
      </w:pPr>
    </w:p>
    <w:p w14:paraId="569EF54D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Segment </w:t>
      </w:r>
      <w:r w:rsidRPr="00197E5C">
        <w:rPr>
          <w:b/>
          <w:bCs/>
          <w:lang w:val="cs-CZ"/>
        </w:rPr>
        <w:t>pracích a čistících prostředků pro domácnost</w:t>
      </w:r>
      <w:r w:rsidRPr="00092B43">
        <w:rPr>
          <w:lang w:val="cs-CZ"/>
        </w:rPr>
        <w:t xml:space="preserve"> zaznamenal silný organický růst obratu na úrovni 3,1 procenta (2. čtvrtletí: +1,5 procenta). Organický růst obratu v segmentu pracích prostředků byl způsoben zejména dvojciferným růstem v kategorii aviváží a silným růstem obratu v kategorii pracích přípravků. Výrazný růst v segmentu čistících prostředků pro domácnost byl zejména výsledkem dvojciferného zvýšení obratu v kategoriích přípravků na mytí nádobí a čistících přípravků na WC. Trhový segment </w:t>
      </w:r>
      <w:r w:rsidRPr="00D64875">
        <w:rPr>
          <w:b/>
          <w:bCs/>
          <w:lang w:val="cs-CZ"/>
        </w:rPr>
        <w:t>vlasové kosmetiky</w:t>
      </w:r>
      <w:r w:rsidRPr="00092B43">
        <w:rPr>
          <w:lang w:val="cs-CZ"/>
        </w:rPr>
        <w:t xml:space="preserve"> dosáhl za prvních šest měsíců roku výrazného organického růstu obratu na úrovni 7,3 procenta (2. čtvrtletí: +7,7 procenta). Výrobky pro spotřebitele zaznamenaly dvojciferný růst zejména díky kategorii stylingových přípravků, jež vykazovala dvojciferné zvýšení organického obratu ve stejném období i v předchozích letech. Silný organický růst obratu zaznamenal také segment profesionální vlasové kosmetiky a kategorie </w:t>
      </w:r>
      <w:r w:rsidRPr="00D64875">
        <w:rPr>
          <w:b/>
          <w:bCs/>
          <w:lang w:val="cs-CZ"/>
        </w:rPr>
        <w:t>ostatního spotřebního zboží</w:t>
      </w:r>
      <w:r w:rsidRPr="00092B43">
        <w:rPr>
          <w:lang w:val="cs-CZ"/>
        </w:rPr>
        <w:t xml:space="preserve"> dosáhla organického růstu obratu na úrovni 2,3 procenta (2. čtvrtletí: +0,7 procenta).</w:t>
      </w:r>
    </w:p>
    <w:p w14:paraId="2B357D2A" w14:textId="77777777" w:rsidR="006E3411" w:rsidRPr="00092B43" w:rsidRDefault="006E3411" w:rsidP="00092B43">
      <w:pPr>
        <w:rPr>
          <w:lang w:val="cs-CZ"/>
        </w:rPr>
      </w:pPr>
    </w:p>
    <w:p w14:paraId="3E0F8734" w14:textId="77777777" w:rsidR="006E3411" w:rsidRPr="00092B43" w:rsidRDefault="006E3411" w:rsidP="00092B43">
      <w:pPr>
        <w:rPr>
          <w:lang w:val="cs-CZ"/>
        </w:rPr>
      </w:pPr>
      <w:r w:rsidRPr="007627BD">
        <w:rPr>
          <w:b/>
          <w:bCs/>
          <w:lang w:val="cs-CZ"/>
        </w:rPr>
        <w:t>Upravený provozní zisk</w:t>
      </w:r>
      <w:r w:rsidRPr="00092B43">
        <w:rPr>
          <w:lang w:val="cs-CZ"/>
        </w:rPr>
        <w:t xml:space="preserve"> dosáhl hodnoty 753 milionů eur, což představuje meziroční zvýšení o 34,8 procenta. K uvedenému zvýšení přispěl vývoj prodejných cen produktů a úspory, jež přineslo vytvoření integrované obchodní divize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 xml:space="preserve">, jakož i související </w:t>
      </w:r>
      <w:r w:rsidRPr="00092B43">
        <w:rPr>
          <w:lang w:val="cs-CZ"/>
        </w:rPr>
        <w:lastRenderedPageBreak/>
        <w:t xml:space="preserve">optimalizace produktového portfolia a valorizační opatření. </w:t>
      </w:r>
      <w:r w:rsidRPr="007627BD">
        <w:rPr>
          <w:b/>
          <w:bCs/>
          <w:lang w:val="cs-CZ"/>
        </w:rPr>
        <w:t>Upravená výnosnost prodeje</w:t>
      </w:r>
      <w:r w:rsidRPr="00092B43">
        <w:rPr>
          <w:lang w:val="cs-CZ"/>
        </w:rPr>
        <w:t xml:space="preserve"> se výrazně zvýšila o 390 bazických bodů na úroveň 14,3 procenta.</w:t>
      </w:r>
    </w:p>
    <w:p w14:paraId="74C2B2A6" w14:textId="77777777" w:rsidR="006E3411" w:rsidRPr="00092B43" w:rsidRDefault="006E3411" w:rsidP="00092B43">
      <w:pPr>
        <w:rPr>
          <w:lang w:val="cs-CZ"/>
        </w:rPr>
      </w:pPr>
    </w:p>
    <w:p w14:paraId="6C4C858F" w14:textId="77777777" w:rsidR="006E3411" w:rsidRPr="007627BD" w:rsidRDefault="006E3411" w:rsidP="00092B43">
      <w:pPr>
        <w:rPr>
          <w:b/>
          <w:bCs/>
          <w:lang w:val="cs-CZ"/>
        </w:rPr>
      </w:pPr>
      <w:r w:rsidRPr="007627BD">
        <w:rPr>
          <w:b/>
          <w:bCs/>
          <w:lang w:val="cs-CZ"/>
        </w:rPr>
        <w:t>Implementace agendy růstu pokračuje kupředu stálým tempem</w:t>
      </w:r>
    </w:p>
    <w:p w14:paraId="4EACB782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V prvním pololetí 2024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pokračovala v konzistentním plnění strategických priorit v rámci své agendy pro smysluplný růst a dosáhla výrazného pokroku ve všech jejích oblastech.</w:t>
      </w:r>
    </w:p>
    <w:p w14:paraId="5308DA1B" w14:textId="77777777" w:rsidR="006E3411" w:rsidRPr="00092B43" w:rsidRDefault="006E3411" w:rsidP="00092B43">
      <w:pPr>
        <w:rPr>
          <w:lang w:val="cs-CZ"/>
        </w:rPr>
      </w:pPr>
      <w:r w:rsidRPr="007627BD">
        <w:rPr>
          <w:b/>
          <w:bCs/>
          <w:lang w:val="cs-CZ"/>
        </w:rPr>
        <w:t>Slučování</w:t>
      </w:r>
      <w:r w:rsidRPr="00092B43">
        <w:rPr>
          <w:lang w:val="cs-CZ"/>
        </w:rPr>
        <w:t xml:space="preserve"> bývalých dvou obchodních divizí </w:t>
      </w:r>
      <w:proofErr w:type="spellStart"/>
      <w:r w:rsidRPr="00092B43">
        <w:rPr>
          <w:lang w:val="cs-CZ"/>
        </w:rPr>
        <w:t>Laundry</w:t>
      </w:r>
      <w:proofErr w:type="spellEnd"/>
      <w:r w:rsidRPr="00092B43">
        <w:rPr>
          <w:lang w:val="cs-CZ"/>
        </w:rPr>
        <w:t xml:space="preserve"> &amp; </w:t>
      </w:r>
      <w:proofErr w:type="spellStart"/>
      <w:r w:rsidRPr="00092B43">
        <w:rPr>
          <w:lang w:val="cs-CZ"/>
        </w:rPr>
        <w:t>Home</w:t>
      </w:r>
      <w:proofErr w:type="spellEnd"/>
      <w:r w:rsidRPr="00092B43">
        <w:rPr>
          <w:lang w:val="cs-CZ"/>
        </w:rPr>
        <w:t xml:space="preserve"> Care a </w:t>
      </w:r>
      <w:proofErr w:type="spellStart"/>
      <w:r w:rsidRPr="00092B43">
        <w:rPr>
          <w:lang w:val="cs-CZ"/>
        </w:rPr>
        <w:t>Beauty</w:t>
      </w:r>
      <w:proofErr w:type="spellEnd"/>
      <w:r w:rsidRPr="00092B43">
        <w:rPr>
          <w:lang w:val="cs-CZ"/>
        </w:rPr>
        <w:t xml:space="preserve"> Care do jedné divize </w:t>
      </w:r>
      <w:proofErr w:type="spellStart"/>
      <w:r w:rsidRPr="007627BD">
        <w:rPr>
          <w:b/>
          <w:bCs/>
          <w:lang w:val="cs-CZ"/>
        </w:rPr>
        <w:t>Consumer</w:t>
      </w:r>
      <w:proofErr w:type="spellEnd"/>
      <w:r w:rsidRPr="007627BD">
        <w:rPr>
          <w:b/>
          <w:bCs/>
          <w:lang w:val="cs-CZ"/>
        </w:rPr>
        <w:t xml:space="preserve"> </w:t>
      </w:r>
      <w:proofErr w:type="spellStart"/>
      <w:r w:rsidRPr="007627BD">
        <w:rPr>
          <w:b/>
          <w:bCs/>
          <w:lang w:val="cs-CZ"/>
        </w:rPr>
        <w:t>Brands</w:t>
      </w:r>
      <w:proofErr w:type="spellEnd"/>
      <w:r w:rsidRPr="007627BD">
        <w:rPr>
          <w:b/>
          <w:bCs/>
          <w:lang w:val="cs-CZ"/>
        </w:rPr>
        <w:t>,</w:t>
      </w:r>
      <w:r w:rsidRPr="00092B43">
        <w:rPr>
          <w:lang w:val="cs-CZ"/>
        </w:rPr>
        <w:t xml:space="preserve"> jež probíhá ve dvou fázích, úspěšně pokračovalo také v prvním pololetí 2024 a společnosti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přineslo další provozní úspory. Společnost plánuje v rámci obou fází integračního procesu ušetřit celkově 525 milionů eur, což by se mělo v plném rozsahu projevit do konce roku 2026.</w:t>
      </w:r>
    </w:p>
    <w:p w14:paraId="15A41C85" w14:textId="77777777" w:rsidR="006E3411" w:rsidRPr="00092B43" w:rsidRDefault="006E3411" w:rsidP="00092B43">
      <w:pPr>
        <w:rPr>
          <w:lang w:val="cs-CZ"/>
        </w:rPr>
      </w:pPr>
    </w:p>
    <w:p w14:paraId="53E6E492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V rámci druhé fáze integrace, jež se zaměřuje na excelentnost dodavatelského řetězce obchodní divize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>, byl již v téměř 30 zemích zaveden takzvaný princip 1-1-1. Jeho součástí je integrace obchodních činností s podporou optimalizovaných logistických procesů v souladu s principem „jedna tvář pro zákazníka</w:t>
      </w:r>
      <w:r w:rsidRPr="00092B43">
        <w:rPr>
          <w:rtl/>
          <w:lang w:val="cs-CZ"/>
        </w:rPr>
        <w:t>“</w:t>
      </w:r>
      <w:r w:rsidRPr="00092B43">
        <w:rPr>
          <w:lang w:val="cs-CZ"/>
        </w:rPr>
        <w:t>, tedy jedna objednávka, jedna dodávka, jedna faktura. Kromě toho pokračovala optimalizace a konsolidace výrobní a logistické sítě v trhovém segmentu pracích a čistících prostředků pro domácnost například v USA a zemích východní Evropy. Uvedená opatření již celkově pomohla snížit komplexnost celého procesu o přibližně 16 procent.</w:t>
      </w:r>
    </w:p>
    <w:p w14:paraId="5BDB8F1A" w14:textId="77777777" w:rsidR="006E3411" w:rsidRPr="00092B43" w:rsidRDefault="006E3411" w:rsidP="00092B43">
      <w:pPr>
        <w:rPr>
          <w:lang w:val="cs-CZ"/>
        </w:rPr>
      </w:pPr>
    </w:p>
    <w:p w14:paraId="110DBF06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Společnost zároveň pokračovala v optimalizaci portfolia divize </w:t>
      </w:r>
      <w:proofErr w:type="spellStart"/>
      <w:r w:rsidRPr="00092B43">
        <w:rPr>
          <w:lang w:val="cs-CZ"/>
        </w:rPr>
        <w:t>Consumer</w:t>
      </w:r>
      <w:proofErr w:type="spellEnd"/>
      <w:r w:rsidRPr="00092B43">
        <w:rPr>
          <w:lang w:val="cs-CZ"/>
        </w:rPr>
        <w:t xml:space="preserve"> </w:t>
      </w:r>
      <w:proofErr w:type="spellStart"/>
      <w:r w:rsidRPr="00092B43">
        <w:rPr>
          <w:lang w:val="cs-CZ"/>
        </w:rPr>
        <w:t>Brands</w:t>
      </w:r>
      <w:proofErr w:type="spellEnd"/>
      <w:r w:rsidRPr="00092B43">
        <w:rPr>
          <w:lang w:val="cs-CZ"/>
        </w:rPr>
        <w:t>, v rámci níž se nyní zaměřila na segment pracích a čistících prostředků pro domácnost na severoamerických trzích.</w:t>
      </w:r>
    </w:p>
    <w:p w14:paraId="57661634" w14:textId="77777777" w:rsidR="006E3411" w:rsidRPr="00092B43" w:rsidRDefault="006E3411" w:rsidP="00092B43">
      <w:pPr>
        <w:rPr>
          <w:lang w:val="cs-CZ"/>
        </w:rPr>
      </w:pPr>
    </w:p>
    <w:p w14:paraId="026EBE9B" w14:textId="77777777" w:rsidR="006E3411" w:rsidRPr="00092B43" w:rsidRDefault="006E3411" w:rsidP="00092B43">
      <w:pPr>
        <w:rPr>
          <w:lang w:val="cs-CZ"/>
        </w:rPr>
      </w:pPr>
      <w:r w:rsidRPr="00092B43">
        <w:rPr>
          <w:lang w:val="cs-CZ"/>
        </w:rPr>
        <w:t xml:space="preserve">S cílem dále posilovat svoji </w:t>
      </w:r>
      <w:r w:rsidRPr="007627BD">
        <w:rPr>
          <w:b/>
          <w:bCs/>
          <w:lang w:val="cs-CZ"/>
        </w:rPr>
        <w:t xml:space="preserve">konkurenceschopnost </w:t>
      </w:r>
      <w:r w:rsidRPr="00092B43">
        <w:rPr>
          <w:lang w:val="cs-CZ"/>
        </w:rPr>
        <w:t xml:space="preserve">se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zaměřuje na inovace v atraktivních trhových a podnikatelských segmentech, které i v prvním pololetí 2024 přispívaly k růstu obou jejích obchodních divizí. V rámci obchodní divize </w:t>
      </w:r>
      <w:proofErr w:type="spellStart"/>
      <w:r w:rsidRPr="007627BD">
        <w:rPr>
          <w:b/>
          <w:bCs/>
          <w:lang w:val="cs-CZ"/>
        </w:rPr>
        <w:t>Adhesive</w:t>
      </w:r>
      <w:proofErr w:type="spellEnd"/>
      <w:r w:rsidRPr="007627BD">
        <w:rPr>
          <w:b/>
          <w:bCs/>
          <w:lang w:val="cs-CZ"/>
        </w:rPr>
        <w:t xml:space="preserve"> Technologies</w:t>
      </w:r>
      <w:r w:rsidRPr="00092B43">
        <w:rPr>
          <w:lang w:val="cs-CZ"/>
        </w:rPr>
        <w:t xml:space="preserve"> společnost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pozorně sleduje trend vývoje směrem k integrovanějším komponentům pro automobilový průmysl, který zvyšuje poptávku po inovativních lepících a spojovacích řešeních. Příkladem je integrace elektronických komponentů, jež přináší vysoký užitek pro automobily bez ohledu na typ pohonné jednotky. Zároveň jde o vysoce komplexní oblast s velmi specifickými požadavky na tepelný management použitých lepících a spojovacích technologií. </w:t>
      </w:r>
      <w:proofErr w:type="spellStart"/>
      <w:r w:rsidRPr="00092B43">
        <w:rPr>
          <w:lang w:val="cs-CZ"/>
        </w:rPr>
        <w:t>Henkel</w:t>
      </w:r>
      <w:proofErr w:type="spellEnd"/>
      <w:r w:rsidRPr="00092B43">
        <w:rPr>
          <w:lang w:val="cs-CZ"/>
        </w:rPr>
        <w:t xml:space="preserve"> je jedna z mála společností, které tento trend zachytily hned na začátku, a společně s předními výrobci OEM a klíčovými dodavateli pneumatik spolupracuje na vývoji inovativních řešení. Očekává se, že růstový potenciál trhu s těmito integrovanými komponenty dosáhne v nejbližších letech více než 20 procent. Za velmi silným organickým růstem obratu ve výši přes </w:t>
      </w:r>
      <w:r w:rsidRPr="00092B43">
        <w:rPr>
          <w:lang w:val="cs-CZ"/>
        </w:rPr>
        <w:lastRenderedPageBreak/>
        <w:t xml:space="preserve">7 procent v segmentu vlasové kosmetiky v rámci obchodní divize </w:t>
      </w:r>
      <w:proofErr w:type="spellStart"/>
      <w:r w:rsidRPr="00DA4C91">
        <w:rPr>
          <w:b/>
          <w:bCs/>
          <w:lang w:val="cs-CZ"/>
        </w:rPr>
        <w:t>Consumer</w:t>
      </w:r>
      <w:proofErr w:type="spellEnd"/>
      <w:r w:rsidRPr="00DA4C91">
        <w:rPr>
          <w:b/>
          <w:bCs/>
          <w:lang w:val="cs-CZ"/>
        </w:rPr>
        <w:t xml:space="preserve"> </w:t>
      </w:r>
      <w:proofErr w:type="spellStart"/>
      <w:r w:rsidRPr="00DA4C91">
        <w:rPr>
          <w:b/>
          <w:bCs/>
          <w:lang w:val="cs-CZ"/>
        </w:rPr>
        <w:t>Brands</w:t>
      </w:r>
      <w:proofErr w:type="spellEnd"/>
      <w:r w:rsidRPr="00092B43">
        <w:rPr>
          <w:lang w:val="cs-CZ"/>
        </w:rPr>
        <w:t xml:space="preserve"> stála zejména její vlajková značka </w:t>
      </w:r>
      <w:proofErr w:type="spellStart"/>
      <w:r w:rsidRPr="00092B43">
        <w:rPr>
          <w:lang w:val="cs-CZ"/>
        </w:rPr>
        <w:t>Schwarzkopf</w:t>
      </w:r>
      <w:proofErr w:type="spellEnd"/>
      <w:r w:rsidRPr="00092B43">
        <w:rPr>
          <w:lang w:val="cs-CZ"/>
        </w:rPr>
        <w:t xml:space="preserve"> – a to jak v kategorii spotřebitelských, tak i profesionálních vlasových přípravků. V tomto segmentu se jí podařilo dosáhnout pozitivního vývoje objemu prodeje již čtvrté čtvrtletí v řadě. Zároveň zvýšila svůj trhový podíl o 40 bazických bodů v segmentu stylingových přípravků a barev na vlasy. Kromě toho trhový restart produktů </w:t>
      </w:r>
      <w:proofErr w:type="spellStart"/>
      <w:r w:rsidRPr="00092B43">
        <w:rPr>
          <w:lang w:val="cs-CZ"/>
        </w:rPr>
        <w:t>Gliss</w:t>
      </w:r>
      <w:proofErr w:type="spellEnd"/>
      <w:r w:rsidRPr="00092B43">
        <w:rPr>
          <w:lang w:val="cs-CZ"/>
        </w:rPr>
        <w:t xml:space="preserve"> s novým složením pro 100 % silnější vlasy vedl k dvojcifernému organickému růstu obratu značky v prvním pololetí.</w:t>
      </w:r>
    </w:p>
    <w:p w14:paraId="6D93017E" w14:textId="77777777" w:rsidR="006E3411" w:rsidRPr="00092B43" w:rsidRDefault="006E3411" w:rsidP="00092B43">
      <w:pPr>
        <w:rPr>
          <w:lang w:val="cs-CZ"/>
        </w:rPr>
      </w:pPr>
    </w:p>
    <w:p w14:paraId="3BAD4007" w14:textId="77777777" w:rsidR="006E3411" w:rsidRPr="00DA4C91" w:rsidRDefault="006E3411" w:rsidP="00092B43">
      <w:pPr>
        <w:rPr>
          <w:i/>
          <w:iCs/>
          <w:lang w:val="cs-CZ"/>
        </w:rPr>
      </w:pPr>
      <w:r w:rsidRPr="00DA4C91">
        <w:rPr>
          <w:i/>
          <w:iCs/>
          <w:lang w:val="cs-CZ"/>
        </w:rPr>
        <w:t xml:space="preserve"> „Z celkového pohledu jsme velmi spokojeni s trhovými výsledky společnosti </w:t>
      </w:r>
      <w:proofErr w:type="spellStart"/>
      <w:r w:rsidRPr="00DA4C91">
        <w:rPr>
          <w:i/>
          <w:iCs/>
          <w:lang w:val="cs-CZ"/>
        </w:rPr>
        <w:t>Henkel</w:t>
      </w:r>
      <w:proofErr w:type="spellEnd"/>
      <w:r w:rsidRPr="00DA4C91">
        <w:rPr>
          <w:i/>
          <w:iCs/>
          <w:lang w:val="cs-CZ"/>
        </w:rPr>
        <w:t xml:space="preserve"> za první pololetí a jsme hrdí na pokrok, kterého jsme dosáhli při implementaci naší agendy strategického růstu,“ zhodnotil </w:t>
      </w:r>
      <w:proofErr w:type="spellStart"/>
      <w:r w:rsidRPr="00DA4C91">
        <w:rPr>
          <w:i/>
          <w:iCs/>
          <w:lang w:val="cs-CZ"/>
        </w:rPr>
        <w:t>Carsten</w:t>
      </w:r>
      <w:proofErr w:type="spellEnd"/>
      <w:r w:rsidRPr="00DA4C91">
        <w:rPr>
          <w:i/>
          <w:iCs/>
          <w:lang w:val="cs-CZ"/>
        </w:rPr>
        <w:t xml:space="preserve"> </w:t>
      </w:r>
      <w:proofErr w:type="spellStart"/>
      <w:r w:rsidRPr="00DA4C91">
        <w:rPr>
          <w:i/>
          <w:iCs/>
          <w:lang w:val="cs-CZ"/>
        </w:rPr>
        <w:t>Knobel</w:t>
      </w:r>
      <w:proofErr w:type="spellEnd"/>
      <w:r w:rsidRPr="00DA4C91">
        <w:rPr>
          <w:i/>
          <w:iCs/>
          <w:lang w:val="cs-CZ"/>
        </w:rPr>
        <w:t xml:space="preserve">. „Plníme to, k čemu jsme se zavázali a co jsme oznámili. A pokrok je hmatatelný: v našem podnikání, v obratu i ve výnosech. Měníme </w:t>
      </w:r>
      <w:proofErr w:type="spellStart"/>
      <w:r w:rsidRPr="00DA4C91">
        <w:rPr>
          <w:i/>
          <w:iCs/>
          <w:lang w:val="cs-CZ"/>
        </w:rPr>
        <w:t>Henkel</w:t>
      </w:r>
      <w:proofErr w:type="spellEnd"/>
      <w:r w:rsidRPr="00DA4C91">
        <w:rPr>
          <w:i/>
          <w:iCs/>
          <w:lang w:val="cs-CZ"/>
        </w:rPr>
        <w:t xml:space="preserve"> odvážnými rozhodnutími pro úspěšnou budoucnost. S jasnou strategií jsme na správné cestě k dalšímu profitabilnímu růstu.</w:t>
      </w:r>
      <w:r w:rsidRPr="00DA4C91">
        <w:rPr>
          <w:i/>
          <w:iCs/>
          <w:rtl/>
          <w:lang w:val="cs-CZ"/>
        </w:rPr>
        <w:t>“</w:t>
      </w:r>
    </w:p>
    <w:p w14:paraId="51AA24F2" w14:textId="77777777" w:rsidR="005742B4" w:rsidRPr="00092B43" w:rsidRDefault="005742B4" w:rsidP="00092B43">
      <w:pPr>
        <w:rPr>
          <w:lang w:val="cs-CZ"/>
        </w:rPr>
      </w:pPr>
    </w:p>
    <w:p w14:paraId="77DA05B7" w14:textId="77777777" w:rsidR="00BB2539" w:rsidRPr="00092B43" w:rsidRDefault="00BB2539" w:rsidP="00BB2539">
      <w:pPr>
        <w:pStyle w:val="He01Flietext"/>
        <w:suppressAutoHyphens/>
        <w:rPr>
          <w:b/>
          <w:bCs/>
          <w:sz w:val="18"/>
          <w:szCs w:val="18"/>
          <w:lang w:val="cs-CZ"/>
        </w:rPr>
      </w:pPr>
      <w:r w:rsidRPr="00092B43">
        <w:rPr>
          <w:b/>
          <w:bCs/>
          <w:sz w:val="18"/>
          <w:szCs w:val="18"/>
          <w:lang w:val="cs-CZ"/>
        </w:rPr>
        <w:t xml:space="preserve">O společnosti </w:t>
      </w:r>
      <w:proofErr w:type="spellStart"/>
      <w:r w:rsidRPr="00092B43">
        <w:rPr>
          <w:b/>
          <w:bCs/>
          <w:sz w:val="18"/>
          <w:szCs w:val="18"/>
          <w:lang w:val="cs-CZ"/>
        </w:rPr>
        <w:t>Henkel</w:t>
      </w:r>
      <w:proofErr w:type="spellEnd"/>
    </w:p>
    <w:p w14:paraId="021A269C" w14:textId="77777777" w:rsidR="00BB2539" w:rsidRPr="00092B43" w:rsidRDefault="00BB2539" w:rsidP="00BB2539">
      <w:pPr>
        <w:pStyle w:val="He01Flietext"/>
        <w:suppressAutoHyphens/>
        <w:jc w:val="both"/>
        <w:rPr>
          <w:sz w:val="18"/>
          <w:szCs w:val="18"/>
          <w:lang w:val="cs-CZ"/>
        </w:rPr>
      </w:pPr>
      <w:r w:rsidRPr="00092B43">
        <w:rPr>
          <w:sz w:val="18"/>
          <w:szCs w:val="18"/>
          <w:lang w:val="cs-CZ"/>
        </w:rPr>
        <w:t xml:space="preserve">Díky svým značkám, inovacím a technologiím je společnost </w:t>
      </w:r>
      <w:proofErr w:type="spellStart"/>
      <w:r w:rsidRPr="00092B43">
        <w:rPr>
          <w:sz w:val="18"/>
          <w:szCs w:val="18"/>
          <w:lang w:val="cs-CZ"/>
        </w:rPr>
        <w:t>Henkel</w:t>
      </w:r>
      <w:proofErr w:type="spellEnd"/>
      <w:r w:rsidRPr="00092B43">
        <w:rPr>
          <w:sz w:val="18"/>
          <w:szCs w:val="18"/>
          <w:lang w:val="cs-CZ"/>
        </w:rPr>
        <w:t xml:space="preserve"> světovým lídrem na trzích s průmyslovým a spotřebním zbožím. Obchodní divize </w:t>
      </w:r>
      <w:proofErr w:type="spellStart"/>
      <w:r w:rsidRPr="00092B43">
        <w:rPr>
          <w:sz w:val="18"/>
          <w:szCs w:val="18"/>
          <w:lang w:val="cs-CZ"/>
        </w:rPr>
        <w:t>Adhesive</w:t>
      </w:r>
      <w:proofErr w:type="spellEnd"/>
      <w:r w:rsidRPr="00092B43">
        <w:rPr>
          <w:sz w:val="18"/>
          <w:szCs w:val="18"/>
          <w:lang w:val="cs-CZ"/>
        </w:rPr>
        <w:t xml:space="preserve"> Technologies je globálním lídrem na trhu se spojovacími a lepícími materiály, tmely a funkčními nátěry. Obchodní divize </w:t>
      </w:r>
      <w:proofErr w:type="spellStart"/>
      <w:r w:rsidRPr="00092B43">
        <w:rPr>
          <w:sz w:val="18"/>
          <w:szCs w:val="18"/>
          <w:lang w:val="cs-CZ"/>
        </w:rPr>
        <w:t>Consumer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Brands</w:t>
      </w:r>
      <w:proofErr w:type="spellEnd"/>
      <w:r w:rsidRPr="00092B43">
        <w:rPr>
          <w:sz w:val="18"/>
          <w:szCs w:val="18"/>
          <w:lang w:val="cs-CZ"/>
        </w:rPr>
        <w:t xml:space="preserve"> je lídrem na mnoha globálních trzích a v mnoha kategoriích, především v segmentech pracích a čistících prostředků a vlasové kosmetiky. Mezi tři největší značky společnosti </w:t>
      </w:r>
      <w:proofErr w:type="spellStart"/>
      <w:r w:rsidRPr="00092B43">
        <w:rPr>
          <w:sz w:val="18"/>
          <w:szCs w:val="18"/>
          <w:lang w:val="cs-CZ"/>
        </w:rPr>
        <w:t>Henkel</w:t>
      </w:r>
      <w:proofErr w:type="spellEnd"/>
      <w:r w:rsidRPr="00092B43">
        <w:rPr>
          <w:sz w:val="18"/>
          <w:szCs w:val="18"/>
          <w:lang w:val="cs-CZ"/>
        </w:rPr>
        <w:t xml:space="preserve"> patří </w:t>
      </w:r>
      <w:proofErr w:type="spellStart"/>
      <w:r w:rsidRPr="00092B43">
        <w:rPr>
          <w:sz w:val="18"/>
          <w:szCs w:val="18"/>
          <w:lang w:val="cs-CZ"/>
        </w:rPr>
        <w:t>Loctite</w:t>
      </w:r>
      <w:proofErr w:type="spellEnd"/>
      <w:r w:rsidRPr="00092B43">
        <w:rPr>
          <w:sz w:val="18"/>
          <w:szCs w:val="18"/>
          <w:lang w:val="cs-CZ"/>
        </w:rPr>
        <w:t xml:space="preserve">, </w:t>
      </w:r>
      <w:proofErr w:type="spellStart"/>
      <w:r w:rsidRPr="00092B43">
        <w:rPr>
          <w:sz w:val="18"/>
          <w:szCs w:val="18"/>
          <w:lang w:val="cs-CZ"/>
        </w:rPr>
        <w:t>Persil</w:t>
      </w:r>
      <w:proofErr w:type="spellEnd"/>
      <w:r w:rsidRPr="00092B43">
        <w:rPr>
          <w:sz w:val="18"/>
          <w:szCs w:val="18"/>
          <w:lang w:val="cs-CZ"/>
        </w:rPr>
        <w:t xml:space="preserve"> a </w:t>
      </w:r>
      <w:proofErr w:type="spellStart"/>
      <w:r w:rsidRPr="00092B43">
        <w:rPr>
          <w:sz w:val="18"/>
          <w:szCs w:val="18"/>
          <w:lang w:val="cs-CZ"/>
        </w:rPr>
        <w:t>Schwarzkopf</w:t>
      </w:r>
      <w:proofErr w:type="spellEnd"/>
      <w:r w:rsidRPr="00092B43">
        <w:rPr>
          <w:sz w:val="18"/>
          <w:szCs w:val="18"/>
          <w:lang w:val="cs-CZ"/>
        </w:rPr>
        <w:t xml:space="preserve">. Ve finančním roce 2023 vykázala společnost </w:t>
      </w:r>
      <w:proofErr w:type="spellStart"/>
      <w:r w:rsidRPr="00092B43">
        <w:rPr>
          <w:sz w:val="18"/>
          <w:szCs w:val="18"/>
          <w:lang w:val="cs-CZ"/>
        </w:rPr>
        <w:t>Henkel</w:t>
      </w:r>
      <w:proofErr w:type="spellEnd"/>
      <w:r w:rsidRPr="00092B43">
        <w:rPr>
          <w:sz w:val="18"/>
          <w:szCs w:val="18"/>
          <w:lang w:val="cs-CZ"/>
        </w:rPr>
        <w:t xml:space="preserve"> obrat ve výši přes 21,5 miliardy eur a upravený provozní zisk přibližně ve výši 2,6 miliardy eur. Prioritní akcie společnosti </w:t>
      </w:r>
      <w:proofErr w:type="spellStart"/>
      <w:r w:rsidRPr="00092B43">
        <w:rPr>
          <w:sz w:val="18"/>
          <w:szCs w:val="18"/>
          <w:lang w:val="cs-CZ"/>
        </w:rPr>
        <w:t>Henkel</w:t>
      </w:r>
      <w:proofErr w:type="spellEnd"/>
      <w:r w:rsidRPr="00092B43">
        <w:rPr>
          <w:sz w:val="18"/>
          <w:szCs w:val="18"/>
          <w:lang w:val="cs-CZ"/>
        </w:rPr>
        <w:t xml:space="preserve"> jsou kótované na německém akciovém indexu DAX. Udržitelnost již dlouhodobě patří mezi tradiční priority společnosti </w:t>
      </w:r>
      <w:proofErr w:type="spellStart"/>
      <w:r w:rsidRPr="00092B43">
        <w:rPr>
          <w:sz w:val="18"/>
          <w:szCs w:val="18"/>
          <w:lang w:val="cs-CZ"/>
        </w:rPr>
        <w:t>Henkel</w:t>
      </w:r>
      <w:proofErr w:type="spellEnd"/>
      <w:r w:rsidRPr="00092B43">
        <w:rPr>
          <w:sz w:val="18"/>
          <w:szCs w:val="18"/>
          <w:lang w:val="cs-CZ"/>
        </w:rPr>
        <w:t xml:space="preserve">, přičemž na plnění konkrétních cílů má společnost vypracovanou jasnou strategii dlouhodobé udržitelnosti. Společnost </w:t>
      </w:r>
      <w:proofErr w:type="spellStart"/>
      <w:r w:rsidRPr="00092B43">
        <w:rPr>
          <w:sz w:val="18"/>
          <w:szCs w:val="18"/>
          <w:lang w:val="cs-CZ"/>
        </w:rPr>
        <w:t>Henkel</w:t>
      </w:r>
      <w:proofErr w:type="spellEnd"/>
      <w:r w:rsidRPr="00092B43">
        <w:rPr>
          <w:sz w:val="18"/>
          <w:szCs w:val="18"/>
          <w:lang w:val="cs-CZ"/>
        </w:rPr>
        <w:t xml:space="preserve"> byla založena v roce 1876 a dnes celosvětově zaměstnává přes 50 000 zaměstnanců, které spojuje silná firemní kultura, společné hodnoty a společné poslání: „</w:t>
      </w:r>
      <w:proofErr w:type="spellStart"/>
      <w:r w:rsidRPr="00092B43">
        <w:rPr>
          <w:sz w:val="18"/>
          <w:szCs w:val="18"/>
          <w:lang w:val="cs-CZ"/>
        </w:rPr>
        <w:t>Pioneers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at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heart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for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the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good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of</w:t>
      </w:r>
      <w:proofErr w:type="spellEnd"/>
      <w:r w:rsidRPr="00092B43">
        <w:rPr>
          <w:sz w:val="18"/>
          <w:szCs w:val="18"/>
          <w:lang w:val="cs-CZ"/>
        </w:rPr>
        <w:t xml:space="preserve"> </w:t>
      </w:r>
      <w:proofErr w:type="spellStart"/>
      <w:r w:rsidRPr="00092B43">
        <w:rPr>
          <w:sz w:val="18"/>
          <w:szCs w:val="18"/>
          <w:lang w:val="cs-CZ"/>
        </w:rPr>
        <w:t>generations</w:t>
      </w:r>
      <w:proofErr w:type="spellEnd"/>
      <w:r w:rsidRPr="00092B43">
        <w:rPr>
          <w:sz w:val="18"/>
          <w:szCs w:val="18"/>
          <w:lang w:val="cs-CZ"/>
        </w:rPr>
        <w:t xml:space="preserve">.“ Více informací naleznete na stránkách </w:t>
      </w:r>
      <w:hyperlink r:id="rId10" w:history="1">
        <w:r w:rsidRPr="005A1C0C">
          <w:rPr>
            <w:rStyle w:val="Hyperlink0"/>
            <w:lang w:val="cs-CZ"/>
          </w:rPr>
          <w:t>www.henkel.com</w:t>
        </w:r>
      </w:hyperlink>
      <w:r w:rsidRPr="005A1C0C">
        <w:rPr>
          <w:sz w:val="18"/>
          <w:szCs w:val="18"/>
          <w:lang w:val="cs-CZ"/>
        </w:rPr>
        <w:t>.</w:t>
      </w:r>
    </w:p>
    <w:p w14:paraId="4047DC27" w14:textId="77777777" w:rsidR="00BB2539" w:rsidRPr="00092B43" w:rsidRDefault="00BB2539" w:rsidP="00BB2539">
      <w:pPr>
        <w:pStyle w:val="He01Flietext"/>
        <w:suppressAutoHyphens/>
        <w:jc w:val="both"/>
        <w:rPr>
          <w:sz w:val="18"/>
          <w:szCs w:val="18"/>
          <w:lang w:val="cs-CZ"/>
        </w:rPr>
      </w:pPr>
    </w:p>
    <w:p w14:paraId="1FD5A7D4" w14:textId="77777777" w:rsidR="00BB2539" w:rsidRPr="00092B43" w:rsidRDefault="00BB2539" w:rsidP="00BB2539">
      <w:pPr>
        <w:pStyle w:val="Normlnywebov"/>
        <w:shd w:val="clear" w:color="auto" w:fill="FFFFFF"/>
        <w:suppressAutoHyphens/>
        <w:spacing w:before="0" w:after="120"/>
        <w:jc w:val="both"/>
        <w:rPr>
          <w:rFonts w:ascii="Segoe UI" w:eastAsia="Segoe UI" w:hAnsi="Segoe UI" w:cs="Segoe UI"/>
          <w:i/>
          <w:iCs/>
          <w:color w:val="3B3B3B"/>
          <w:sz w:val="15"/>
          <w:szCs w:val="15"/>
          <w:u w:color="3B3B3B"/>
          <w:lang w:val="cs-CZ"/>
        </w:rPr>
      </w:pPr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Tento dokument obsahuje stanoviska týkající se budoucího obchodního vývoje, finančních výsledků a dalších událostí nebo skutečností relevantních pro společnost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Henkel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z pohledu budoucího rozvoje.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Stanoviska týkající se budoucího vývoje charakterizuje použití slovních zvratů jako „očekávat</w:t>
      </w:r>
      <w:r w:rsidRPr="00092B43">
        <w:rPr>
          <w:rFonts w:ascii="Segoe UI" w:eastAsia="Segoe UI" w:hAnsi="Segoe UI" w:cs="Segoe UI"/>
          <w:sz w:val="15"/>
          <w:szCs w:val="15"/>
          <w:rtl/>
          <w:lang w:val="cs-CZ"/>
        </w:rPr>
        <w:t>“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, „zamýšlet</w:t>
      </w:r>
      <w:r w:rsidRPr="00092B43">
        <w:rPr>
          <w:rFonts w:ascii="Segoe UI" w:eastAsia="Segoe UI" w:hAnsi="Segoe UI" w:cs="Segoe UI"/>
          <w:sz w:val="15"/>
          <w:szCs w:val="15"/>
          <w:rtl/>
          <w:lang w:val="cs-CZ"/>
        </w:rPr>
        <w:t>“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, „plánovat</w:t>
      </w:r>
      <w:r w:rsidRPr="00092B43">
        <w:rPr>
          <w:rFonts w:ascii="Segoe UI" w:eastAsia="Segoe UI" w:hAnsi="Segoe UI" w:cs="Segoe UI"/>
          <w:sz w:val="15"/>
          <w:szCs w:val="15"/>
          <w:rtl/>
          <w:lang w:val="cs-CZ"/>
        </w:rPr>
        <w:t>“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, „předpokládat</w:t>
      </w:r>
      <w:r w:rsidRPr="00092B43">
        <w:rPr>
          <w:rFonts w:ascii="Segoe UI" w:eastAsia="Segoe UI" w:hAnsi="Segoe UI" w:cs="Segoe UI"/>
          <w:sz w:val="15"/>
          <w:szCs w:val="15"/>
          <w:rtl/>
          <w:lang w:val="cs-CZ"/>
        </w:rPr>
        <w:t>“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, „domnívat se</w:t>
      </w:r>
      <w:r w:rsidRPr="00092B43">
        <w:rPr>
          <w:rFonts w:ascii="Segoe UI" w:eastAsia="Segoe UI" w:hAnsi="Segoe UI" w:cs="Segoe UI"/>
          <w:sz w:val="15"/>
          <w:szCs w:val="15"/>
          <w:rtl/>
          <w:lang w:val="cs-CZ"/>
        </w:rPr>
        <w:t>“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, „odhadovat“ a podobných výrazů.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Taková stanoviska se opírají o aktuální odhady a předpoklady vypracované managementem společnosti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Henkel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AG &amp; Co.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KGaA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>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Tato stanoviska nelze chápat jako zaručující jakýmkoliv způsobem, že dané predikce jsou přesné.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Budoucí výkonnost jakož i reálně dosažené výsledky společnosti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Henkel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AG &amp; Co.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KGaA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a jejích sesterských společností závisí na celé řadě rizikových faktorů a nejistot, a proto se mohou podstatně lišit od výhledových stanovisek (jak negativně, tak pozitivně).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Na mnoho z nich společnost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Henkel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nemá přímý dosah a předem je nelze přesně odhadnout, jako například jaké bude ekonomické prostředí v budoucnu a jaké budou kroky konkurentů a jiných subjektů působících na trhu.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Společnost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Henkel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nemá v úmyslu a ani neudělá kroky k aktualizaci těchto stanovisek.</w:t>
      </w:r>
    </w:p>
    <w:p w14:paraId="62942A75" w14:textId="77777777" w:rsidR="00BB2539" w:rsidRPr="00092B43" w:rsidRDefault="00BB2539" w:rsidP="00BB2539">
      <w:pPr>
        <w:pStyle w:val="Normlnywebov"/>
        <w:shd w:val="clear" w:color="auto" w:fill="FFFFFF"/>
        <w:suppressAutoHyphens/>
        <w:spacing w:before="0" w:after="120"/>
        <w:jc w:val="both"/>
        <w:rPr>
          <w:rFonts w:ascii="Segoe UI" w:eastAsia="Segoe UI" w:hAnsi="Segoe UI" w:cs="Segoe UI"/>
          <w:i/>
          <w:iCs/>
          <w:color w:val="3B3B3B"/>
          <w:sz w:val="15"/>
          <w:szCs w:val="15"/>
          <w:u w:color="3B3B3B"/>
          <w:lang w:val="cs-CZ"/>
        </w:rPr>
      </w:pPr>
      <w:r w:rsidRPr="00092B43">
        <w:rPr>
          <w:rFonts w:ascii="Segoe UI" w:eastAsia="Segoe UI" w:hAnsi="Segoe UI" w:cs="Segoe UI"/>
          <w:sz w:val="15"/>
          <w:szCs w:val="15"/>
          <w:lang w:val="cs-CZ"/>
        </w:rPr>
        <w:t>Tento dokument obsahuje doplňující finanční ukazatele, jež nejsou jednoznačně definované v platném rámci finančního výkaznictví, které představují, anebo mohou představovat, alternativní ukazatele finanční výkonnosti.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Tyto doplňující finanční ukazatele by se neměly vykládat zvlášť anebo jako alternativní ukazatele k ukazatelům čistých aktiv a finanční pozice společnosti </w:t>
      </w:r>
      <w:proofErr w:type="spellStart"/>
      <w:r w:rsidRPr="00092B43">
        <w:rPr>
          <w:rFonts w:ascii="Segoe UI" w:eastAsia="Segoe UI" w:hAnsi="Segoe UI" w:cs="Segoe UI"/>
          <w:sz w:val="15"/>
          <w:szCs w:val="15"/>
          <w:lang w:val="cs-CZ"/>
        </w:rPr>
        <w:t>Henkel</w:t>
      </w:r>
      <w:proofErr w:type="spellEnd"/>
      <w:r w:rsidRPr="00092B43">
        <w:rPr>
          <w:rFonts w:ascii="Segoe UI" w:eastAsia="Segoe UI" w:hAnsi="Segoe UI" w:cs="Segoe UI"/>
          <w:sz w:val="15"/>
          <w:szCs w:val="15"/>
          <w:lang w:val="cs-CZ"/>
        </w:rPr>
        <w:t xml:space="preserve"> anebo k výsledkům podnikání, jež jsou v souladu s platným rámcem finančního výkaznictví prezentované v konsolidované účetní závěrce společnosti.</w:t>
      </w:r>
      <w:r w:rsidRPr="00092B43">
        <w:rPr>
          <w:rFonts w:ascii="Segoe UI" w:eastAsia="Segoe UI" w:hAnsi="Segoe UI" w:cs="Segoe UI"/>
          <w:color w:val="3B3B3B"/>
          <w:sz w:val="15"/>
          <w:szCs w:val="15"/>
          <w:u w:color="3B3B3B"/>
          <w:lang w:val="cs-CZ"/>
        </w:rPr>
        <w:t xml:space="preserve"> </w:t>
      </w:r>
      <w:r w:rsidRPr="00092B43">
        <w:rPr>
          <w:rFonts w:ascii="Segoe UI" w:eastAsia="Segoe UI" w:hAnsi="Segoe UI" w:cs="Segoe UI"/>
          <w:sz w:val="15"/>
          <w:szCs w:val="15"/>
          <w:lang w:val="cs-CZ"/>
        </w:rPr>
        <w:t>Jiné společnosti vykazující anebo uvádějící alternativní ukazatele výkonnosti s podobnými názvy, mohou počítat jejich hodnoty odlišně.</w:t>
      </w:r>
    </w:p>
    <w:p w14:paraId="692DBE6A" w14:textId="77777777" w:rsidR="00BB2539" w:rsidRPr="00092B43" w:rsidRDefault="00BB2539" w:rsidP="00BB2539">
      <w:pPr>
        <w:pStyle w:val="Normlnywebov"/>
        <w:shd w:val="clear" w:color="auto" w:fill="FFFFFF"/>
        <w:suppressAutoHyphens/>
        <w:spacing w:before="0" w:after="120"/>
        <w:jc w:val="both"/>
        <w:rPr>
          <w:rFonts w:ascii="Segoe UI" w:eastAsia="Segoe UI" w:hAnsi="Segoe UI" w:cs="Segoe UI"/>
          <w:i/>
          <w:iCs/>
          <w:color w:val="3B3B3B"/>
          <w:sz w:val="15"/>
          <w:szCs w:val="15"/>
          <w:u w:color="3B3B3B"/>
          <w:lang w:val="cs-CZ"/>
        </w:rPr>
      </w:pPr>
      <w:r w:rsidRPr="00092B43">
        <w:rPr>
          <w:rFonts w:ascii="Segoe UI" w:eastAsia="Segoe UI" w:hAnsi="Segoe UI" w:cs="Segoe UI"/>
          <w:sz w:val="15"/>
          <w:szCs w:val="15"/>
          <w:lang w:val="cs-CZ"/>
        </w:rPr>
        <w:t>Tento dokument slouží výlučně k informačním účelům a nepředstavuje investiční radu ani nabídku k prodeji nebo koupi jakýchkoliv cenných papírů.</w:t>
      </w:r>
    </w:p>
    <w:p w14:paraId="4F4668BC" w14:textId="77777777" w:rsidR="005D6168" w:rsidRPr="00092B43" w:rsidRDefault="005D6168" w:rsidP="002F7A23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5010685E" w14:textId="77777777" w:rsidR="003B16A3" w:rsidRPr="00092B4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092B43" w:rsidRDefault="00A110E3" w:rsidP="00A110E3">
      <w:pPr>
        <w:rPr>
          <w:rStyle w:val="AboutandContactHeadline"/>
          <w:lang w:val="cs-CZ"/>
        </w:rPr>
      </w:pPr>
      <w:r w:rsidRPr="00092B4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092B43" w:rsidRDefault="00A110E3" w:rsidP="00A110E3">
      <w:pPr>
        <w:rPr>
          <w:rStyle w:val="AboutandContactHeadline"/>
          <w:b w:val="0"/>
          <w:bCs w:val="0"/>
          <w:lang w:val="cs-CZ"/>
        </w:rPr>
      </w:pPr>
      <w:r w:rsidRPr="00092B43">
        <w:rPr>
          <w:rStyle w:val="AboutandContactHeadline"/>
          <w:b w:val="0"/>
          <w:bCs w:val="0"/>
          <w:lang w:val="cs-CZ"/>
        </w:rPr>
        <w:lastRenderedPageBreak/>
        <w:t xml:space="preserve">Zuzana </w:t>
      </w:r>
      <w:proofErr w:type="spellStart"/>
      <w:r w:rsidRPr="00092B4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092B43" w:rsidRDefault="00A110E3" w:rsidP="00A110E3">
      <w:pPr>
        <w:rPr>
          <w:rStyle w:val="AboutandContactHeadline"/>
          <w:b w:val="0"/>
          <w:bCs w:val="0"/>
          <w:lang w:val="cs-CZ"/>
        </w:rPr>
      </w:pPr>
      <w:r w:rsidRPr="00092B43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092B43">
        <w:rPr>
          <w:rStyle w:val="AboutandContactHeadline"/>
          <w:b w:val="0"/>
          <w:bCs w:val="0"/>
          <w:lang w:val="cs-CZ"/>
        </w:rPr>
        <w:t xml:space="preserve"> CEE</w:t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092B4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092B43" w:rsidRDefault="00A110E3" w:rsidP="00A110E3">
      <w:pPr>
        <w:rPr>
          <w:rStyle w:val="AboutandContactHeadline"/>
          <w:b w:val="0"/>
          <w:bCs w:val="0"/>
          <w:lang w:val="cs-CZ"/>
        </w:rPr>
      </w:pPr>
      <w:r w:rsidRPr="00092B43">
        <w:rPr>
          <w:rStyle w:val="AboutandContactHeadline"/>
          <w:b w:val="0"/>
          <w:bCs w:val="0"/>
          <w:lang w:val="cs-CZ"/>
        </w:rPr>
        <w:t>Telef</w:t>
      </w:r>
      <w:r w:rsidR="00A070EE" w:rsidRPr="00092B43">
        <w:rPr>
          <w:rStyle w:val="AboutandContactHeadline"/>
          <w:b w:val="0"/>
          <w:bCs w:val="0"/>
          <w:lang w:val="cs-CZ"/>
        </w:rPr>
        <w:t>o</w:t>
      </w:r>
      <w:r w:rsidRPr="00092B43">
        <w:rPr>
          <w:rStyle w:val="AboutandContactHeadline"/>
          <w:b w:val="0"/>
          <w:bCs w:val="0"/>
          <w:lang w:val="cs-CZ"/>
        </w:rPr>
        <w:t>n: +421 917 160 597</w:t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  <w:r w:rsidRPr="00092B4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092B43" w:rsidRDefault="00A110E3" w:rsidP="00A110E3">
      <w:pPr>
        <w:rPr>
          <w:rStyle w:val="AboutandContactHeadline"/>
          <w:b w:val="0"/>
          <w:bCs w:val="0"/>
          <w:lang w:val="cs-CZ"/>
        </w:rPr>
      </w:pPr>
      <w:r w:rsidRPr="00092B43">
        <w:rPr>
          <w:rStyle w:val="AboutandContactHeadline"/>
          <w:b w:val="0"/>
          <w:bCs w:val="0"/>
          <w:lang w:val="cs-CZ"/>
        </w:rPr>
        <w:t xml:space="preserve">E-mail: </w:t>
      </w:r>
      <w:hyperlink r:id="rId11" w:history="1">
        <w:r w:rsidRPr="00092B43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092B43" w:rsidRDefault="005742B4" w:rsidP="00A110E3">
      <w:pPr>
        <w:rPr>
          <w:lang w:val="cs-CZ"/>
        </w:rPr>
      </w:pPr>
    </w:p>
    <w:sectPr w:rsidR="005742B4" w:rsidRPr="00092B4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DBD3" w14:textId="77777777" w:rsidR="00FF2D8C" w:rsidRDefault="00FF2D8C">
      <w:pPr>
        <w:spacing w:line="240" w:lineRule="auto"/>
      </w:pPr>
      <w:r>
        <w:separator/>
      </w:r>
    </w:p>
  </w:endnote>
  <w:endnote w:type="continuationSeparator" w:id="0">
    <w:p w14:paraId="362DE326" w14:textId="77777777" w:rsidR="00FF2D8C" w:rsidRDefault="00FF2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シック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B381" w14:textId="77777777" w:rsidR="00FF2D8C" w:rsidRDefault="00FF2D8C">
      <w:pPr>
        <w:spacing w:line="240" w:lineRule="auto"/>
      </w:pPr>
      <w:r>
        <w:separator/>
      </w:r>
    </w:p>
  </w:footnote>
  <w:footnote w:type="continuationSeparator" w:id="0">
    <w:p w14:paraId="00A3FB58" w14:textId="77777777" w:rsidR="00FF2D8C" w:rsidRDefault="00FF2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37C1"/>
    <w:multiLevelType w:val="hybridMultilevel"/>
    <w:tmpl w:val="E1308E8E"/>
    <w:lvl w:ilvl="0" w:tplc="65003C64">
      <w:start w:val="1"/>
      <w:numFmt w:val="bullet"/>
      <w:lvlText w:val="–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9579A"/>
    <w:multiLevelType w:val="hybridMultilevel"/>
    <w:tmpl w:val="B24E0C56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57B8"/>
    <w:multiLevelType w:val="hybridMultilevel"/>
    <w:tmpl w:val="D0C48EFC"/>
    <w:styleLink w:val="Pomlka"/>
    <w:lvl w:ilvl="0" w:tplc="E4F89FF6">
      <w:start w:val="1"/>
      <w:numFmt w:val="bullet"/>
      <w:suff w:val="nothing"/>
      <w:lvlText w:val="♣"/>
      <w:lvlJc w:val="left"/>
      <w:pPr>
        <w:ind w:left="35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7249BCE">
      <w:start w:val="1"/>
      <w:numFmt w:val="bullet"/>
      <w:suff w:val="nothing"/>
      <w:lvlText w:val="♣"/>
      <w:lvlJc w:val="left"/>
      <w:pPr>
        <w:ind w:left="53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ED426B6">
      <w:start w:val="1"/>
      <w:numFmt w:val="bullet"/>
      <w:suff w:val="nothing"/>
      <w:lvlText w:val="♣"/>
      <w:lvlJc w:val="left"/>
      <w:pPr>
        <w:ind w:left="71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330344C">
      <w:start w:val="1"/>
      <w:numFmt w:val="bullet"/>
      <w:suff w:val="nothing"/>
      <w:lvlText w:val="♣"/>
      <w:lvlJc w:val="left"/>
      <w:pPr>
        <w:ind w:left="89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62C7B1A">
      <w:start w:val="1"/>
      <w:numFmt w:val="bullet"/>
      <w:suff w:val="nothing"/>
      <w:lvlText w:val="♣"/>
      <w:lvlJc w:val="left"/>
      <w:pPr>
        <w:ind w:left="107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DF2E21C">
      <w:start w:val="1"/>
      <w:numFmt w:val="bullet"/>
      <w:suff w:val="nothing"/>
      <w:lvlText w:val="♣"/>
      <w:lvlJc w:val="left"/>
      <w:pPr>
        <w:ind w:left="125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9FC71D8">
      <w:start w:val="1"/>
      <w:numFmt w:val="bullet"/>
      <w:suff w:val="nothing"/>
      <w:lvlText w:val="♣"/>
      <w:lvlJc w:val="left"/>
      <w:pPr>
        <w:ind w:left="143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9F668DA">
      <w:start w:val="1"/>
      <w:numFmt w:val="bullet"/>
      <w:suff w:val="nothing"/>
      <w:lvlText w:val="♣"/>
      <w:lvlJc w:val="left"/>
      <w:pPr>
        <w:ind w:left="161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EC06344E">
      <w:start w:val="1"/>
      <w:numFmt w:val="bullet"/>
      <w:suff w:val="nothing"/>
      <w:lvlText w:val="♣"/>
      <w:lvlJc w:val="left"/>
      <w:pPr>
        <w:ind w:left="1791" w:hanging="351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285B5E3D"/>
    <w:multiLevelType w:val="hybridMultilevel"/>
    <w:tmpl w:val="151E793E"/>
    <w:lvl w:ilvl="0" w:tplc="36002C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2346C"/>
    <w:multiLevelType w:val="hybridMultilevel"/>
    <w:tmpl w:val="04B2829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38F5"/>
    <w:multiLevelType w:val="hybridMultilevel"/>
    <w:tmpl w:val="D0C48EFC"/>
    <w:numStyleLink w:val="Pomlka"/>
  </w:abstractNum>
  <w:abstractNum w:abstractNumId="6" w15:restartNumberingAfterBreak="0">
    <w:nsid w:val="7BED17C1"/>
    <w:multiLevelType w:val="hybridMultilevel"/>
    <w:tmpl w:val="F86627E4"/>
    <w:lvl w:ilvl="0" w:tplc="645A6B9C">
      <w:numFmt w:val="bullet"/>
      <w:lvlText w:val="-"/>
      <w:lvlJc w:val="left"/>
      <w:pPr>
        <w:ind w:left="1071" w:hanging="360"/>
      </w:pPr>
      <w:rPr>
        <w:rFonts w:ascii="Arial" w:hAnsi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885683970">
    <w:abstractNumId w:val="2"/>
  </w:num>
  <w:num w:numId="2" w16cid:durableId="1203785844">
    <w:abstractNumId w:val="5"/>
  </w:num>
  <w:num w:numId="3" w16cid:durableId="707098488">
    <w:abstractNumId w:val="5"/>
    <w:lvlOverride w:ilvl="0">
      <w:lvl w:ilvl="0" w:tplc="65003C64">
        <w:start w:val="1"/>
        <w:numFmt w:val="bullet"/>
        <w:suff w:val="nothing"/>
        <w:lvlText w:val="–"/>
        <w:lvlJc w:val="left"/>
        <w:pPr>
          <w:ind w:left="360" w:hanging="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9210E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3BCA3A64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8F145E5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5D26EBB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8746058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F244AA7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2062A8D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9FEA613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7E783B6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 w16cid:durableId="808400645">
    <w:abstractNumId w:val="6"/>
  </w:num>
  <w:num w:numId="5" w16cid:durableId="840268312">
    <w:abstractNumId w:val="4"/>
  </w:num>
  <w:num w:numId="6" w16cid:durableId="453405924">
    <w:abstractNumId w:val="3"/>
  </w:num>
  <w:num w:numId="7" w16cid:durableId="1808472389">
    <w:abstractNumId w:val="1"/>
  </w:num>
  <w:num w:numId="8" w16cid:durableId="22249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92B43"/>
    <w:rsid w:val="000C2938"/>
    <w:rsid w:val="001210EA"/>
    <w:rsid w:val="00160696"/>
    <w:rsid w:val="00163628"/>
    <w:rsid w:val="00197E5C"/>
    <w:rsid w:val="00251645"/>
    <w:rsid w:val="002570B7"/>
    <w:rsid w:val="00284F28"/>
    <w:rsid w:val="002C418A"/>
    <w:rsid w:val="002D2EB4"/>
    <w:rsid w:val="002F7A23"/>
    <w:rsid w:val="003328F5"/>
    <w:rsid w:val="003B0A2B"/>
    <w:rsid w:val="003B0DDD"/>
    <w:rsid w:val="003B16A3"/>
    <w:rsid w:val="003E32B3"/>
    <w:rsid w:val="003F597B"/>
    <w:rsid w:val="00475F5B"/>
    <w:rsid w:val="004D3C26"/>
    <w:rsid w:val="004D6CDC"/>
    <w:rsid w:val="004D74B9"/>
    <w:rsid w:val="00562E09"/>
    <w:rsid w:val="00572FEB"/>
    <w:rsid w:val="005742B4"/>
    <w:rsid w:val="00586C4A"/>
    <w:rsid w:val="005A1C0C"/>
    <w:rsid w:val="005B6D31"/>
    <w:rsid w:val="005D6168"/>
    <w:rsid w:val="005E3384"/>
    <w:rsid w:val="006628C7"/>
    <w:rsid w:val="0069283E"/>
    <w:rsid w:val="006B2F83"/>
    <w:rsid w:val="006E3411"/>
    <w:rsid w:val="00751DC7"/>
    <w:rsid w:val="00752E89"/>
    <w:rsid w:val="007627BD"/>
    <w:rsid w:val="00794F1D"/>
    <w:rsid w:val="007B51A1"/>
    <w:rsid w:val="007D354B"/>
    <w:rsid w:val="007E35E1"/>
    <w:rsid w:val="008214A0"/>
    <w:rsid w:val="008A03DD"/>
    <w:rsid w:val="008E58B1"/>
    <w:rsid w:val="0099764C"/>
    <w:rsid w:val="009A3DB0"/>
    <w:rsid w:val="009D135C"/>
    <w:rsid w:val="00A070EE"/>
    <w:rsid w:val="00A07BEE"/>
    <w:rsid w:val="00A110E3"/>
    <w:rsid w:val="00A61B6F"/>
    <w:rsid w:val="00AF0067"/>
    <w:rsid w:val="00B349C2"/>
    <w:rsid w:val="00BB2539"/>
    <w:rsid w:val="00BB5AB9"/>
    <w:rsid w:val="00BC638D"/>
    <w:rsid w:val="00C230B0"/>
    <w:rsid w:val="00C930A3"/>
    <w:rsid w:val="00CE4F7F"/>
    <w:rsid w:val="00D64875"/>
    <w:rsid w:val="00DA4C91"/>
    <w:rsid w:val="00DF3185"/>
    <w:rsid w:val="00E01008"/>
    <w:rsid w:val="00E832BF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He01Flietext">
    <w:name w:val="_He_01_Fließtext"/>
    <w:rsid w:val="00BB2539"/>
    <w:pPr>
      <w:spacing w:after="113"/>
    </w:pPr>
    <w:rPr>
      <w:rFonts w:ascii="Segoe UI" w:eastAsia="Segoe UI" w:hAnsi="Segoe UI" w:cs="Segoe UI"/>
      <w:color w:val="000000"/>
      <w:sz w:val="22"/>
      <w:szCs w:val="22"/>
      <w:u w:color="000000"/>
      <w:lang w:val="de-DE"/>
    </w:rPr>
  </w:style>
  <w:style w:type="paragraph" w:styleId="Normlnywebov">
    <w:name w:val="Normal (Web)"/>
    <w:rsid w:val="00BB253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Predvolen">
    <w:name w:val="Predvolené"/>
    <w:rsid w:val="003E32B3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rsid w:val="006E34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2900</Words>
  <Characters>16533</Characters>
  <Application>Microsoft Office Word</Application>
  <DocSecurity>0</DocSecurity>
  <Lines>137</Lines>
  <Paragraphs>38</Paragraphs>
  <ScaleCrop>false</ScaleCrop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</cp:lastModifiedBy>
  <cp:revision>61</cp:revision>
  <dcterms:created xsi:type="dcterms:W3CDTF">2023-01-10T10:51:00Z</dcterms:created>
  <dcterms:modified xsi:type="dcterms:W3CDTF">2024-08-19T19:55:00Z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