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15BE7F21" w:rsidR="00B422EC" w:rsidRPr="00B71239" w:rsidRDefault="00D76252" w:rsidP="00643D8A">
      <w:pPr>
        <w:pStyle w:val="MonthDayYear"/>
        <w:rPr>
          <w:lang w:val="sk-SK"/>
        </w:rPr>
      </w:pPr>
      <w:r>
        <w:rPr>
          <w:lang w:val="sk-SK"/>
        </w:rPr>
        <w:t>13</w:t>
      </w:r>
      <w:r w:rsidR="00514611">
        <w:rPr>
          <w:lang w:val="sk-SK"/>
        </w:rPr>
        <w:t xml:space="preserve">. </w:t>
      </w:r>
      <w:r>
        <w:rPr>
          <w:lang w:val="sk-SK"/>
        </w:rPr>
        <w:t>august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9896324" w14:textId="09ABE78C" w:rsidR="007F0F63" w:rsidRPr="00411706" w:rsidRDefault="00411706" w:rsidP="00411706">
      <w:pPr>
        <w:pStyle w:val="Topline"/>
        <w:spacing w:after="360"/>
        <w:rPr>
          <w:rFonts w:asciiTheme="majorHAnsi" w:hAnsiTheme="majorHAnsi" w:cs="Cambria"/>
          <w:lang w:val="sk-SK"/>
        </w:rPr>
      </w:pPr>
      <w:r w:rsidRPr="003943A0">
        <w:rPr>
          <w:rFonts w:asciiTheme="majorHAnsi" w:hAnsiTheme="majorHAnsi" w:cs="Cambria"/>
          <w:lang w:val="sk-SK" w:bidi="bo-CN"/>
        </w:rPr>
        <w:t>Silné polročné výsledky prispievajú k úspešnej implementáciu agendy rastu</w:t>
      </w:r>
    </w:p>
    <w:p w14:paraId="76AD0789" w14:textId="3804FA1D" w:rsidR="007F0F63" w:rsidRPr="00684747" w:rsidRDefault="00684747" w:rsidP="00684747">
      <w:pPr>
        <w:jc w:val="left"/>
        <w:rPr>
          <w:rStyle w:val="Headline"/>
          <w:rFonts w:asciiTheme="majorHAnsi" w:hAnsiTheme="majorHAnsi" w:cs="Cambria"/>
          <w:lang w:val="sk-SK"/>
        </w:rPr>
      </w:pPr>
      <w:r w:rsidRPr="003943A0">
        <w:rPr>
          <w:rStyle w:val="Headline"/>
          <w:rFonts w:asciiTheme="majorHAnsi" w:hAnsiTheme="majorHAnsi" w:cs="Cambria"/>
          <w:lang w:val="sk-SK" w:bidi="bo-CN"/>
        </w:rPr>
        <w:t>Spoločnosť Henkel zaznamenala dobrý organický rast obratu a veľmi silné zlepšenie výnosov v prvom polroku 2024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E13A4C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0" w:name="_Hlk140061525"/>
      <w:bookmarkStart w:id="1" w:name="_Hlk43712519"/>
      <w:r w:rsidRPr="003943A0">
        <w:rPr>
          <w:rFonts w:asciiTheme="majorHAnsi" w:hAnsiTheme="majorHAnsi" w:cs="Cambria"/>
          <w:b/>
          <w:szCs w:val="22"/>
          <w:lang w:val="sk-SK" w:bidi="bo-CN"/>
        </w:rPr>
        <w:t>Obrat na úrovni skupiny sa v prvom polroku organicky zvýšil o 2,9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percenta </w:t>
      </w:r>
      <w:r w:rsidRPr="003943A0">
        <w:rPr>
          <w:rFonts w:asciiTheme="majorHAnsi" w:hAnsiTheme="majorHAnsi" w:cs="Cambria"/>
          <w:b/>
          <w:szCs w:val="22"/>
          <w:lang w:val="sk-SK" w:bidi="bo-CN"/>
        </w:rPr>
        <w:t>na približne 10,8 miliardy eur (nominálne -1,0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percento</w:t>
      </w:r>
      <w:r w:rsidRPr="003943A0">
        <w:rPr>
          <w:rFonts w:asciiTheme="majorHAnsi" w:hAnsiTheme="majorHAnsi" w:cs="Cambria"/>
          <w:b/>
          <w:szCs w:val="22"/>
          <w:lang w:val="sk-SK" w:bidi="bo-CN"/>
        </w:rPr>
        <w:t xml:space="preserve">) </w:t>
      </w:r>
      <w:r w:rsidRPr="004B7B43">
        <w:rPr>
          <w:rFonts w:asciiTheme="majorHAnsi" w:hAnsiTheme="majorHAnsi" w:cs="Cambria"/>
          <w:b/>
          <w:szCs w:val="22"/>
          <w:lang w:val="sk-SK" w:bidi="bo-CN"/>
        </w:rPr>
        <w:t xml:space="preserve">– </w:t>
      </w:r>
      <w:r>
        <w:rPr>
          <w:rFonts w:asciiTheme="majorHAnsi" w:hAnsiTheme="majorHAnsi" w:cs="Cambria"/>
          <w:b/>
          <w:szCs w:val="22"/>
          <w:lang w:val="sk-SK" w:bidi="bo-CN"/>
        </w:rPr>
        <w:t>rast zaznamenali</w:t>
      </w:r>
      <w:r w:rsidRPr="003943A0">
        <w:rPr>
          <w:rFonts w:asciiTheme="majorHAnsi" w:hAnsiTheme="majorHAnsi" w:cs="Cambria"/>
          <w:b/>
          <w:szCs w:val="22"/>
          <w:lang w:val="sk-SK" w:bidi="bo-CN"/>
        </w:rPr>
        <w:t xml:space="preserve"> obidve obchodné divízie</w:t>
      </w:r>
    </w:p>
    <w:p w14:paraId="08863514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2" w:name="_Hlk174446198"/>
      <w:r w:rsidRPr="003943A0">
        <w:rPr>
          <w:rFonts w:asciiTheme="majorHAnsi" w:hAnsiTheme="majorHAnsi" w:cs="Cambria"/>
          <w:b/>
          <w:szCs w:val="22"/>
          <w:lang w:val="sk-SK" w:bidi="bo-CN"/>
        </w:rPr>
        <w:t>Prevádzkový zisk (EBIT)</w:t>
      </w:r>
      <w:r w:rsidRPr="0069097A">
        <w:rPr>
          <w:rStyle w:val="Odkaznapoznmkupodiarou"/>
          <w:rFonts w:asciiTheme="majorHAnsi" w:hAnsiTheme="majorHAnsi"/>
          <w:b/>
          <w:szCs w:val="22"/>
          <w:lang w:val="sk-SK"/>
        </w:rPr>
        <w:footnoteReference w:customMarkFollows="1" w:id="2"/>
        <w:t>*</w:t>
      </w:r>
      <w:bookmarkEnd w:id="2"/>
      <w:r w:rsidRPr="0069097A">
        <w:rPr>
          <w:rFonts w:asciiTheme="majorHAnsi" w:hAnsiTheme="majorHAnsi" w:cs="Cambria"/>
          <w:b/>
          <w:szCs w:val="22"/>
          <w:lang w:val="sk-SK"/>
        </w:rPr>
        <w:t xml:space="preserve">: </w:t>
      </w:r>
      <w:r w:rsidRPr="003943A0">
        <w:rPr>
          <w:rFonts w:asciiTheme="majorHAnsi" w:hAnsiTheme="majorHAnsi" w:cs="Cambria"/>
          <w:b/>
          <w:szCs w:val="22"/>
          <w:lang w:val="sk-SK" w:bidi="bo-CN"/>
        </w:rPr>
        <w:t>veľmi výrazné zvýšenie na 1 610 miliónov eur (+28,4 percenta)</w:t>
      </w:r>
    </w:p>
    <w:p w14:paraId="1FAEEDF9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3943A0">
        <w:rPr>
          <w:rFonts w:asciiTheme="majorHAnsi" w:hAnsiTheme="majorHAnsi" w:cs="Cambria"/>
          <w:b/>
          <w:szCs w:val="22"/>
          <w:lang w:val="sk-SK" w:bidi="bo-CN"/>
        </w:rPr>
        <w:t>Marža EBIT * sa tiež výrazne zvýšila na 14,9 percenta (+340 bázických bodov)</w:t>
      </w:r>
    </w:p>
    <w:p w14:paraId="14EC3BA8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3943A0">
        <w:rPr>
          <w:rFonts w:asciiTheme="majorHAnsi" w:hAnsiTheme="majorHAnsi" w:cs="Cambria"/>
          <w:b/>
          <w:szCs w:val="22"/>
          <w:lang w:val="sk-SK" w:bidi="bo-CN"/>
        </w:rPr>
        <w:t>Výnosy na prioritnú akciu (EPS)* sa výšili približne o jednu tretinu na 2,78 eura, +32,9 percenta pri konštantných kurzových sadzbách</w:t>
      </w:r>
    </w:p>
    <w:p w14:paraId="45B95979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3943A0">
        <w:rPr>
          <w:rFonts w:asciiTheme="majorHAnsi" w:hAnsiTheme="majorHAnsi" w:cs="Cambria"/>
          <w:b/>
          <w:szCs w:val="22"/>
          <w:lang w:val="sk-SK" w:bidi="bo-CN"/>
        </w:rPr>
        <w:t xml:space="preserve">Veľmi dobrý voľný cash </w:t>
      </w:r>
      <w:proofErr w:type="spellStart"/>
      <w:r w:rsidRPr="003943A0">
        <w:rPr>
          <w:rFonts w:asciiTheme="majorHAnsi" w:hAnsiTheme="majorHAnsi" w:cs="Cambria"/>
          <w:b/>
          <w:szCs w:val="22"/>
          <w:lang w:val="sk-SK" w:bidi="bo-CN"/>
        </w:rPr>
        <w:t>flow</w:t>
      </w:r>
      <w:proofErr w:type="spellEnd"/>
      <w:r w:rsidRPr="003943A0">
        <w:rPr>
          <w:rFonts w:asciiTheme="majorHAnsi" w:hAnsiTheme="majorHAnsi" w:cs="Cambria"/>
          <w:b/>
          <w:szCs w:val="22"/>
          <w:lang w:val="sk-SK" w:bidi="bo-CN"/>
        </w:rPr>
        <w:t xml:space="preserve"> vo výške približne 800 miliónov eur</w:t>
      </w:r>
    </w:p>
    <w:bookmarkEnd w:id="0"/>
    <w:p w14:paraId="72AA4EB2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3943A0">
        <w:rPr>
          <w:rFonts w:asciiTheme="majorHAnsi" w:hAnsiTheme="majorHAnsi" w:cs="Cambria"/>
          <w:b/>
          <w:szCs w:val="22"/>
          <w:lang w:val="sk-SK" w:bidi="bo-CN"/>
        </w:rPr>
        <w:t>Ďalší pokrok v implementácii strategickej agendy rastu</w:t>
      </w:r>
    </w:p>
    <w:p w14:paraId="0A99F768" w14:textId="77777777" w:rsidR="00B07E6F" w:rsidRPr="003943A0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3943A0">
        <w:rPr>
          <w:rFonts w:asciiTheme="majorHAnsi" w:hAnsiTheme="majorHAnsi" w:cs="Cambria"/>
          <w:b/>
          <w:szCs w:val="22"/>
          <w:lang w:val="sk-SK" w:bidi="bo-CN"/>
        </w:rPr>
        <w:t>Výhľad výnosov na finančný rok 2024 zvýšený už v polovici júla:</w:t>
      </w:r>
    </w:p>
    <w:p w14:paraId="4FB50442" w14:textId="77777777" w:rsidR="00B07E6F" w:rsidRPr="003943A0" w:rsidRDefault="00B07E6F" w:rsidP="00B07E6F">
      <w:pPr>
        <w:pStyle w:val="He01FlietextAufzhlung2Ebene"/>
        <w:rPr>
          <w:lang w:val="sk-SK"/>
        </w:rPr>
      </w:pPr>
      <w:r w:rsidRPr="003943A0">
        <w:rPr>
          <w:lang w:val="sk-SK" w:bidi="bo-CN"/>
        </w:rPr>
        <w:t>Organický rast obratu: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>2,5 až 4,5 percenta (nezmenený)</w:t>
      </w:r>
    </w:p>
    <w:p w14:paraId="6E7129A5" w14:textId="77777777" w:rsidR="00B07E6F" w:rsidRPr="003943A0" w:rsidRDefault="00B07E6F" w:rsidP="00B07E6F">
      <w:pPr>
        <w:pStyle w:val="He01FlietextAufzhlung2Ebene"/>
        <w:rPr>
          <w:lang w:val="sk-SK"/>
        </w:rPr>
      </w:pPr>
      <w:r w:rsidRPr="003943A0">
        <w:rPr>
          <w:lang w:val="sk-SK" w:bidi="bo-CN"/>
        </w:rPr>
        <w:t>Upravená výnosnosť predaja: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>13,5 až 14,5 percenta (pôvodne: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>13,0 až 14,0 percenta)</w:t>
      </w:r>
    </w:p>
    <w:p w14:paraId="06579EB3" w14:textId="77777777" w:rsidR="00B07E6F" w:rsidRPr="003943A0" w:rsidRDefault="00B07E6F" w:rsidP="00B07E6F">
      <w:pPr>
        <w:pStyle w:val="He01FlietextAufzhlung2Ebene"/>
        <w:rPr>
          <w:lang w:val="sk-SK"/>
        </w:rPr>
      </w:pPr>
      <w:r w:rsidRPr="003943A0">
        <w:rPr>
          <w:lang w:val="sk-SK" w:bidi="bo-CN"/>
        </w:rPr>
        <w:t>Upravené výnosy na prioritnú akciu (EPS): zvýšenie v rozpätí od 20 do 30 percent pri konštantných kurzových sadzbách (pôvodne: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>+15 až +25 percent)</w:t>
      </w:r>
    </w:p>
    <w:p w14:paraId="6A6FE0F6" w14:textId="77777777" w:rsidR="00B07E6F" w:rsidRPr="004B7B43" w:rsidRDefault="00B07E6F" w:rsidP="00B07E6F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lang w:val="sk-SK"/>
        </w:rPr>
      </w:pPr>
      <w:proofErr w:type="spellStart"/>
      <w:r w:rsidRPr="003943A0">
        <w:rPr>
          <w:rFonts w:asciiTheme="majorHAnsi" w:hAnsiTheme="majorHAnsi" w:cs="Cambria"/>
          <w:b/>
          <w:szCs w:val="22"/>
          <w:lang w:val="sk-SK" w:bidi="bo-CN"/>
        </w:rPr>
        <w:t>Stredno</w:t>
      </w:r>
      <w:proofErr w:type="spellEnd"/>
      <w:r w:rsidRPr="003943A0">
        <w:rPr>
          <w:rFonts w:asciiTheme="majorHAnsi" w:hAnsiTheme="majorHAnsi" w:cs="Cambria"/>
          <w:b/>
          <w:szCs w:val="22"/>
          <w:lang w:val="sk-SK" w:bidi="bo-CN"/>
        </w:rPr>
        <w:t xml:space="preserve"> až dlhodobý finančný cieľ bude splnený </w:t>
      </w:r>
      <w:r>
        <w:rPr>
          <w:rFonts w:asciiTheme="majorHAnsi" w:hAnsiTheme="majorHAnsi" w:cs="Cambria"/>
          <w:b/>
          <w:szCs w:val="22"/>
          <w:lang w:val="sk-SK" w:bidi="bo-CN"/>
        </w:rPr>
        <w:t>už v strednodobom horizonte</w:t>
      </w:r>
    </w:p>
    <w:p w14:paraId="7D14FD43" w14:textId="77777777" w:rsidR="00053B8D" w:rsidRDefault="00053B8D" w:rsidP="00B07E6F">
      <w:pPr>
        <w:rPr>
          <w:lang w:val="sk-SK"/>
        </w:rPr>
      </w:pPr>
    </w:p>
    <w:p w14:paraId="2C33C800" w14:textId="066C2004" w:rsidR="00B07E6F" w:rsidRPr="0069097A" w:rsidRDefault="00B07E6F" w:rsidP="00B07E6F">
      <w:pPr>
        <w:rPr>
          <w:rFonts w:cs="Segoe UI"/>
          <w:szCs w:val="22"/>
          <w:lang w:val="sk-SK"/>
        </w:rPr>
      </w:pPr>
      <w:proofErr w:type="spellStart"/>
      <w:r w:rsidRPr="0069097A">
        <w:rPr>
          <w:rFonts w:cs="Segoe UI"/>
          <w:szCs w:val="22"/>
          <w:lang w:val="sk-SK"/>
        </w:rPr>
        <w:t>Düsseldorf</w:t>
      </w:r>
      <w:proofErr w:type="spellEnd"/>
      <w:r w:rsidRPr="0069097A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Spoločnosti Henkel sa v prvom polroku 2024 podarilo zaznamenať výrazný organický rast obratu sprevádzaný veľmi výrazným zvýšením výnosov aj napriek pretrvávajúcim </w:t>
      </w:r>
      <w:r w:rsidRPr="003943A0">
        <w:rPr>
          <w:rFonts w:cs="Segoe UI"/>
          <w:szCs w:val="22"/>
          <w:lang w:val="sk-SK" w:bidi="bo-CN"/>
        </w:rPr>
        <w:lastRenderedPageBreak/>
        <w:t>náročným hospodárskym podmienkam</w:t>
      </w:r>
      <w:r w:rsidRPr="00F30809">
        <w:rPr>
          <w:rFonts w:cs="Segoe UI"/>
          <w:szCs w:val="22"/>
          <w:lang w:val="sk-SK" w:bidi="bo-CN"/>
        </w:rPr>
        <w:t>.</w:t>
      </w:r>
      <w:r w:rsidRPr="00F30809">
        <w:rPr>
          <w:rFonts w:cs="Segoe UI"/>
          <w:szCs w:val="22"/>
          <w:lang w:val="sk-SK"/>
        </w:rPr>
        <w:t xml:space="preserve"> </w:t>
      </w:r>
      <w:r w:rsidRPr="00F30809">
        <w:rPr>
          <w:rFonts w:cs="Segoe UI"/>
          <w:szCs w:val="22"/>
          <w:lang w:val="sk-SK" w:bidi="bo-CN"/>
        </w:rPr>
        <w:t>Spoločnosť teda úspešne napreduje na svojej ceste k </w:t>
      </w:r>
      <w:proofErr w:type="spellStart"/>
      <w:r w:rsidRPr="00F30809">
        <w:rPr>
          <w:rFonts w:cs="Segoe UI"/>
          <w:szCs w:val="22"/>
          <w:lang w:val="sk-SK" w:bidi="bo-CN"/>
        </w:rPr>
        <w:t>profitabilnému</w:t>
      </w:r>
      <w:proofErr w:type="spellEnd"/>
      <w:r w:rsidRPr="00F30809">
        <w:rPr>
          <w:rFonts w:cs="Segoe UI"/>
          <w:szCs w:val="22"/>
          <w:lang w:val="sk-SK" w:bidi="bo-CN"/>
        </w:rPr>
        <w:t xml:space="preserve"> rastu.</w:t>
      </w:r>
      <w:r w:rsidRPr="00F30809">
        <w:rPr>
          <w:rFonts w:cs="Segoe UI"/>
          <w:szCs w:val="22"/>
          <w:lang w:val="sk-SK"/>
        </w:rPr>
        <w:t xml:space="preserve"> </w:t>
      </w:r>
      <w:bookmarkEnd w:id="1"/>
      <w:r w:rsidRPr="00742692">
        <w:rPr>
          <w:rFonts w:cs="Segoe UI"/>
          <w:i/>
          <w:iCs/>
          <w:szCs w:val="22"/>
          <w:lang w:val="sk-SK" w:bidi="bo-CN"/>
        </w:rPr>
        <w:t>„Celkovo sa nám prvom polroku podarilo dosiahnuť veľmi dobré obchodné a hospodárske výsledky.</w:t>
      </w:r>
      <w:r w:rsidRPr="00742692">
        <w:rPr>
          <w:rFonts w:cs="Segoe UI"/>
          <w:i/>
          <w:iCs/>
          <w:szCs w:val="22"/>
          <w:lang w:val="sk-SK"/>
        </w:rPr>
        <w:t xml:space="preserve"> </w:t>
      </w:r>
      <w:r w:rsidRPr="00742692">
        <w:rPr>
          <w:rFonts w:cs="Segoe UI"/>
          <w:i/>
          <w:iCs/>
          <w:szCs w:val="22"/>
          <w:lang w:val="sk-SK" w:bidi="bo-CN"/>
        </w:rPr>
        <w:t>Je to dôkaz, že naša stratégia je na správnej ceste a že dôraz na zmysluplný rast prináša viditeľné úspechy,“</w:t>
      </w:r>
      <w:r w:rsidRPr="003943A0">
        <w:rPr>
          <w:rFonts w:cs="Segoe UI"/>
          <w:szCs w:val="22"/>
          <w:lang w:val="sk-SK" w:bidi="bo-CN"/>
        </w:rPr>
        <w:t xml:space="preserve"> povedal predseda predstavenstva spoločnosti Henkel </w:t>
      </w:r>
      <w:proofErr w:type="spellStart"/>
      <w:r w:rsidRPr="003943A0">
        <w:rPr>
          <w:rFonts w:asciiTheme="majorHAnsi" w:hAnsiTheme="majorHAnsi" w:cs="Cambria"/>
          <w:szCs w:val="22"/>
          <w:lang w:val="sk-SK" w:bidi="bo-CN"/>
        </w:rPr>
        <w:t>Carsten</w:t>
      </w:r>
      <w:proofErr w:type="spellEnd"/>
      <w:r w:rsidRPr="003943A0">
        <w:rPr>
          <w:rFonts w:asciiTheme="majorHAnsi" w:hAnsiTheme="majorHAnsi" w:cs="Cambria"/>
          <w:szCs w:val="22"/>
          <w:lang w:val="sk-SK" w:bidi="bo-CN"/>
        </w:rPr>
        <w:t xml:space="preserve"> </w:t>
      </w:r>
      <w:proofErr w:type="spellStart"/>
      <w:r w:rsidRPr="003943A0">
        <w:rPr>
          <w:rFonts w:asciiTheme="majorHAnsi" w:hAnsiTheme="majorHAnsi" w:cs="Cambria"/>
          <w:szCs w:val="22"/>
          <w:lang w:val="sk-SK" w:bidi="bo-CN"/>
        </w:rPr>
        <w:t>Knobel</w:t>
      </w:r>
      <w:proofErr w:type="spellEnd"/>
      <w:r w:rsidRPr="003943A0">
        <w:rPr>
          <w:rFonts w:asciiTheme="majorHAnsi" w:hAnsiTheme="majorHAnsi" w:cs="Cambria"/>
          <w:szCs w:val="22"/>
          <w:lang w:val="sk-SK" w:bidi="bo-CN"/>
        </w:rPr>
        <w:t>.</w:t>
      </w:r>
      <w:r w:rsidRPr="003943A0">
        <w:rPr>
          <w:rFonts w:cs="Segoe UI"/>
          <w:szCs w:val="22"/>
          <w:lang w:val="sk-SK"/>
        </w:rPr>
        <w:t xml:space="preserve"> </w:t>
      </w:r>
    </w:p>
    <w:p w14:paraId="598C62E4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EF14B4">
        <w:rPr>
          <w:rFonts w:cs="Segoe UI"/>
          <w:i/>
          <w:iCs/>
          <w:szCs w:val="22"/>
          <w:lang w:val="sk-SK" w:bidi="bo-CN"/>
        </w:rPr>
        <w:t xml:space="preserve"> „K organickému rastu obratu a zvýšeniu výnosov prispeli v prvom polroku obidve obchodné divízie.</w:t>
      </w:r>
      <w:r w:rsidRPr="00EF14B4">
        <w:rPr>
          <w:rFonts w:cs="Segoe UI"/>
          <w:i/>
          <w:iCs/>
          <w:szCs w:val="22"/>
          <w:lang w:val="sk-SK"/>
        </w:rPr>
        <w:t xml:space="preserve"> </w:t>
      </w:r>
      <w:r w:rsidRPr="00EF14B4">
        <w:rPr>
          <w:rFonts w:cs="Segoe UI"/>
          <w:i/>
          <w:iCs/>
          <w:szCs w:val="22"/>
          <w:lang w:val="sk-SK" w:bidi="bo-CN"/>
        </w:rPr>
        <w:t>Zlúčenie našich spotrebiteľských divízií prináša úspechy a implementácia strategických opatrení a iniciatív má veľmi pozitívny vplyv na vývoj obratu, hrubej marže aj výnosov.</w:t>
      </w:r>
      <w:r w:rsidRPr="00EF14B4">
        <w:rPr>
          <w:rFonts w:cs="Segoe UI"/>
          <w:i/>
          <w:iCs/>
          <w:szCs w:val="22"/>
          <w:lang w:val="sk-SK"/>
        </w:rPr>
        <w:t xml:space="preserve"> </w:t>
      </w:r>
      <w:r w:rsidRPr="00EF14B4">
        <w:rPr>
          <w:rFonts w:cs="Segoe UI"/>
          <w:i/>
          <w:iCs/>
          <w:szCs w:val="22"/>
          <w:lang w:val="sk-SK" w:bidi="bo-CN"/>
        </w:rPr>
        <w:t xml:space="preserve">Aj divízia lepiacich a spájacích technológií, ktorej organizačnú štruktúru sme upravili tak, aby lepšie zohľadňovala očakávania našich zákazníkov, prispela vďaka zmenám, ktoré sme iniciovali, k pozitívnemu hospodárskemu vývoju spoločnosti Henkel. Mali sme tiež veľmi silný voľný cash </w:t>
      </w:r>
      <w:proofErr w:type="spellStart"/>
      <w:r w:rsidRPr="00EF14B4">
        <w:rPr>
          <w:rFonts w:cs="Segoe UI"/>
          <w:i/>
          <w:iCs/>
          <w:szCs w:val="22"/>
          <w:lang w:val="sk-SK" w:bidi="bo-CN"/>
        </w:rPr>
        <w:t>flow</w:t>
      </w:r>
      <w:proofErr w:type="spellEnd"/>
      <w:r w:rsidRPr="00EF14B4">
        <w:rPr>
          <w:rFonts w:cs="Segoe UI"/>
          <w:i/>
          <w:iCs/>
          <w:szCs w:val="22"/>
          <w:lang w:val="sk-SK" w:bidi="bo-CN"/>
        </w:rPr>
        <w:t>, ktorý prevýšil už aj tak vysokú úroveň z prvého polroka 2023.</w:t>
      </w:r>
      <w:r w:rsidRPr="00EF14B4">
        <w:rPr>
          <w:rFonts w:cs="Segoe UI"/>
          <w:i/>
          <w:iCs/>
          <w:szCs w:val="22"/>
          <w:lang w:val="sk-SK"/>
        </w:rPr>
        <w:t xml:space="preserve"> </w:t>
      </w:r>
      <w:r w:rsidRPr="00EF14B4">
        <w:rPr>
          <w:rFonts w:cs="Segoe UI"/>
          <w:i/>
          <w:iCs/>
          <w:szCs w:val="22"/>
          <w:lang w:val="sk-SK" w:bidi="bo-CN"/>
        </w:rPr>
        <w:t>To všetko nám umožňuje aj naďalej cielene investovať do rozvoja nášho podnikania a do budúcnosti: do značiek, technológií a inovácií.</w:t>
      </w:r>
      <w:r w:rsidRPr="00EF14B4">
        <w:rPr>
          <w:rFonts w:cs="Segoe UI"/>
          <w:i/>
          <w:iCs/>
          <w:szCs w:val="22"/>
          <w:lang w:val="sk-SK"/>
        </w:rPr>
        <w:t xml:space="preserve"> </w:t>
      </w:r>
      <w:r w:rsidRPr="00EF14B4">
        <w:rPr>
          <w:rFonts w:cs="Segoe UI"/>
          <w:i/>
          <w:iCs/>
          <w:szCs w:val="22"/>
          <w:lang w:val="sk-SK" w:bidi="bo-CN"/>
        </w:rPr>
        <w:t>Okrem toho úspešne napredujeme aj v realizácii ďalších dôležitých iniciatív v oblastiach trvalej udržateľnosti a digitalizácie, ktoré prispievajú k zvyšovaniu našej konkurencieschopnosti,“</w:t>
      </w:r>
      <w:r w:rsidRPr="003943A0">
        <w:rPr>
          <w:rFonts w:cs="Segoe UI"/>
          <w:szCs w:val="22"/>
          <w:lang w:val="sk-SK" w:bidi="bo-CN"/>
        </w:rPr>
        <w:t xml:space="preserve"> dodal </w:t>
      </w:r>
      <w:proofErr w:type="spellStart"/>
      <w:r w:rsidRPr="003943A0">
        <w:rPr>
          <w:rFonts w:cs="Segoe UI"/>
          <w:szCs w:val="22"/>
          <w:lang w:val="sk-SK" w:bidi="bo-CN"/>
        </w:rPr>
        <w:t>Carsten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Knobel</w:t>
      </w:r>
      <w:proofErr w:type="spellEnd"/>
      <w:r w:rsidRPr="003943A0">
        <w:rPr>
          <w:rFonts w:cs="Segoe UI"/>
          <w:szCs w:val="22"/>
          <w:lang w:val="sk-SK" w:bidi="bo-CN"/>
        </w:rPr>
        <w:t>.</w:t>
      </w:r>
    </w:p>
    <w:p w14:paraId="79BABC30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0BD264D8" w14:textId="77777777" w:rsidR="00B07E6F" w:rsidRPr="00BF1411" w:rsidRDefault="00B07E6F" w:rsidP="00B07E6F">
      <w:pPr>
        <w:rPr>
          <w:rFonts w:cs="Segoe UI"/>
          <w:i/>
          <w:iCs/>
          <w:szCs w:val="22"/>
          <w:lang w:val="sk-SK"/>
        </w:rPr>
      </w:pPr>
      <w:r w:rsidRPr="00BF1411">
        <w:rPr>
          <w:rFonts w:cs="Segoe UI"/>
          <w:i/>
          <w:iCs/>
          <w:szCs w:val="22"/>
          <w:lang w:val="sk-SK" w:bidi="bo-CN"/>
        </w:rPr>
        <w:t xml:space="preserve"> „V nadväznosti na silné obchodné výsledky v prvom polroku pozeráme s veľkou sebadôverou aj na zvyšnú časť roka, a preto sme v polovici júla zvýšili výhľad našich výnosov za finančný rok 2024.</w:t>
      </w:r>
      <w:r w:rsidRPr="00BF1411">
        <w:rPr>
          <w:rFonts w:cs="Segoe UI"/>
          <w:i/>
          <w:iCs/>
          <w:szCs w:val="22"/>
          <w:lang w:val="sk-SK"/>
        </w:rPr>
        <w:t xml:space="preserve"> </w:t>
      </w:r>
      <w:r w:rsidRPr="00BF1411">
        <w:rPr>
          <w:rFonts w:cs="Segoe UI"/>
          <w:i/>
          <w:iCs/>
          <w:szCs w:val="22"/>
          <w:lang w:val="sk-SK" w:bidi="bo-CN"/>
        </w:rPr>
        <w:t xml:space="preserve">Darí sa nám plniť, čo sme si predsavzali, a sme na správnej ceste k ďalšiemu </w:t>
      </w:r>
      <w:proofErr w:type="spellStart"/>
      <w:r w:rsidRPr="00BF1411">
        <w:rPr>
          <w:rFonts w:cs="Segoe UI"/>
          <w:i/>
          <w:iCs/>
          <w:szCs w:val="22"/>
          <w:lang w:val="sk-SK" w:bidi="bo-CN"/>
        </w:rPr>
        <w:t>profitabilnému</w:t>
      </w:r>
      <w:proofErr w:type="spellEnd"/>
      <w:r w:rsidRPr="00BF1411">
        <w:rPr>
          <w:rFonts w:cs="Segoe UI"/>
          <w:i/>
          <w:iCs/>
          <w:szCs w:val="22"/>
          <w:lang w:val="sk-SK" w:bidi="bo-CN"/>
        </w:rPr>
        <w:t xml:space="preserve"> rastu. Tento vývoj sa odráža aj v úprave nášho </w:t>
      </w:r>
      <w:proofErr w:type="spellStart"/>
      <w:r w:rsidRPr="00BF1411">
        <w:rPr>
          <w:rFonts w:cs="Segoe UI"/>
          <w:i/>
          <w:iCs/>
          <w:szCs w:val="22"/>
          <w:lang w:val="sk-SK" w:bidi="bo-CN"/>
        </w:rPr>
        <w:t>stredno</w:t>
      </w:r>
      <w:proofErr w:type="spellEnd"/>
      <w:r w:rsidRPr="00BF1411">
        <w:rPr>
          <w:rFonts w:cs="Segoe UI"/>
          <w:i/>
          <w:iCs/>
          <w:szCs w:val="22"/>
          <w:lang w:val="sk-SK" w:bidi="bo-CN"/>
        </w:rPr>
        <w:t xml:space="preserve"> až dlhodobého finančného cieľa: sme presvedčení, že ciele v oblasti predaja a výnosov sa nám podarí splniť už v strednodobom horizonte.“</w:t>
      </w:r>
    </w:p>
    <w:p w14:paraId="2173590F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612C5CD4" w14:textId="77777777" w:rsidR="00B07E6F" w:rsidRPr="003943A0" w:rsidRDefault="00B07E6F" w:rsidP="00B07E6F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  <w:r w:rsidRPr="003943A0">
        <w:rPr>
          <w:rFonts w:cs="Segoe UI"/>
          <w:b/>
          <w:bCs/>
          <w:szCs w:val="22"/>
          <w:lang w:val="sk-SK" w:bidi="bo-CN"/>
        </w:rPr>
        <w:t>Výhľad na finančný rok 2024</w:t>
      </w:r>
    </w:p>
    <w:p w14:paraId="7DF21CAF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szCs w:val="22"/>
          <w:lang w:val="sk-SK" w:bidi="bo-CN"/>
        </w:rPr>
        <w:t xml:space="preserve">Výhľad na aktuálny </w:t>
      </w:r>
      <w:r w:rsidRPr="0063429B">
        <w:rPr>
          <w:rFonts w:cs="Segoe UI"/>
          <w:szCs w:val="22"/>
          <w:lang w:val="sk-SK" w:bidi="bo-CN"/>
        </w:rPr>
        <w:t>finančný rok, ktorý bol aktualizovaný 3. mája 2024, bol opätovne zvýšený 17. júla, pokiaľ ide o výšku očakávaných výnosov.</w:t>
      </w:r>
      <w:r w:rsidRPr="0063429B">
        <w:rPr>
          <w:rFonts w:cs="Segoe UI"/>
          <w:szCs w:val="22"/>
          <w:lang w:val="sk-SK"/>
        </w:rPr>
        <w:t xml:space="preserve"> </w:t>
      </w:r>
      <w:r w:rsidRPr="0063429B">
        <w:rPr>
          <w:rFonts w:cs="Segoe UI"/>
          <w:szCs w:val="22"/>
          <w:lang w:val="sk-SK" w:bidi="bo-CN"/>
        </w:rPr>
        <w:t>Hlavným</w:t>
      </w:r>
      <w:r w:rsidRPr="003943A0">
        <w:rPr>
          <w:rFonts w:cs="Segoe UI"/>
          <w:szCs w:val="22"/>
          <w:lang w:val="sk-SK" w:bidi="bo-CN"/>
        </w:rPr>
        <w:t xml:space="preserve"> dôvodom sú </w:t>
      </w:r>
      <w:r>
        <w:rPr>
          <w:rFonts w:cs="Segoe UI"/>
          <w:szCs w:val="22"/>
          <w:lang w:val="sk-SK" w:bidi="bo-CN"/>
        </w:rPr>
        <w:t>zlepšené</w:t>
      </w:r>
      <w:r w:rsidRPr="003943A0">
        <w:rPr>
          <w:rFonts w:cs="Segoe UI"/>
          <w:szCs w:val="22"/>
          <w:lang w:val="sk-SK" w:bidi="bo-CN"/>
        </w:rPr>
        <w:t xml:space="preserve"> očakávania týkajúce sa zisku obchodnej divízie </w:t>
      </w:r>
      <w:proofErr w:type="spellStart"/>
      <w:r w:rsidRPr="003943A0">
        <w:rPr>
          <w:rFonts w:cs="Segoe UI"/>
          <w:szCs w:val="22"/>
          <w:lang w:val="sk-SK" w:bidi="bo-CN"/>
        </w:rPr>
        <w:t>Consumer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Brands</w:t>
      </w:r>
      <w:proofErr w:type="spellEnd"/>
      <w:r w:rsidRPr="003943A0">
        <w:rPr>
          <w:rFonts w:cs="Segoe UI"/>
          <w:szCs w:val="22"/>
          <w:lang w:val="sk-SK" w:bidi="bo-CN"/>
        </w:rPr>
        <w:t>, pričom spoločnosť zároveň zvyšuje investície do marketingu na podporu inovácií.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Aktualizovaný výhľad zohľadňuje aj očakávané vyššie ceny priamych surovín v druhej polovici roka.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Spoločnosť Henkel teraz očakáva nižšie uvedený vývoj obratu a výnosov za finančný rok 2024:</w:t>
      </w:r>
    </w:p>
    <w:p w14:paraId="4C436673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50BE33CD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szCs w:val="22"/>
          <w:lang w:val="sk-SK" w:bidi="bo-CN"/>
        </w:rPr>
        <w:t xml:space="preserve">Na úrovni skupiny sa aj naďalej očakáva </w:t>
      </w:r>
      <w:r w:rsidRPr="003943A0">
        <w:rPr>
          <w:rFonts w:cs="Segoe UI"/>
          <w:b/>
          <w:bCs/>
          <w:szCs w:val="22"/>
          <w:lang w:val="sk-SK" w:bidi="bo-CN"/>
        </w:rPr>
        <w:t>organický rast obratu</w:t>
      </w:r>
      <w:r w:rsidRPr="003943A0">
        <w:rPr>
          <w:rFonts w:cs="Segoe UI"/>
          <w:szCs w:val="22"/>
          <w:lang w:val="sk-SK" w:bidi="bo-CN"/>
        </w:rPr>
        <w:t xml:space="preserve"> v rozsahu od 2,5 do 4,5 percenta za cely finančný rok 2024.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V prípade obchodnej divízie </w:t>
      </w:r>
      <w:proofErr w:type="spellStart"/>
      <w:r w:rsidRPr="003943A0">
        <w:rPr>
          <w:rFonts w:cs="Segoe UI"/>
          <w:szCs w:val="22"/>
          <w:lang w:val="sk-SK" w:bidi="bo-CN"/>
        </w:rPr>
        <w:t>Adhesive</w:t>
      </w:r>
      <w:proofErr w:type="spellEnd"/>
      <w:r w:rsidRPr="003943A0">
        <w:rPr>
          <w:rFonts w:cs="Segoe UI"/>
          <w:szCs w:val="22"/>
          <w:lang w:val="sk-SK" w:bidi="bo-CN"/>
        </w:rPr>
        <w:t xml:space="preserve"> Technologies sa stále </w:t>
      </w:r>
      <w:r w:rsidRPr="003943A0">
        <w:rPr>
          <w:rFonts w:cs="Segoe UI"/>
          <w:szCs w:val="22"/>
          <w:lang w:val="sk-SK" w:bidi="bo-CN"/>
        </w:rPr>
        <w:lastRenderedPageBreak/>
        <w:t xml:space="preserve">očakáva organický rast obratu na úrovni 2 až 4 percent, v prípade divízie </w:t>
      </w:r>
      <w:proofErr w:type="spellStart"/>
      <w:r w:rsidRPr="003943A0">
        <w:rPr>
          <w:rFonts w:cs="Segoe UI"/>
          <w:szCs w:val="22"/>
          <w:lang w:val="sk-SK" w:bidi="bo-CN"/>
        </w:rPr>
        <w:t>Consumer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Brands</w:t>
      </w:r>
      <w:proofErr w:type="spellEnd"/>
      <w:r w:rsidRPr="003943A0">
        <w:rPr>
          <w:rFonts w:cs="Segoe UI"/>
          <w:szCs w:val="22"/>
          <w:lang w:val="sk-SK" w:bidi="bo-CN"/>
        </w:rPr>
        <w:t xml:space="preserve"> sú očakávania v rozpätí od 3 do 5 percent.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3943A0">
        <w:rPr>
          <w:rFonts w:cs="Segoe UI"/>
          <w:szCs w:val="22"/>
          <w:lang w:val="sk-SK" w:bidi="bo-CN"/>
        </w:rPr>
        <w:t>(marža EBIT) na úrovni skupiny sa v súčasnosti odhaduje v rozsahu 13,5 až 14,5 percenta (pôvodne: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13 až 14 percent).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V prípade obchodnej divízie </w:t>
      </w:r>
      <w:proofErr w:type="spellStart"/>
      <w:r w:rsidRPr="003943A0">
        <w:rPr>
          <w:rFonts w:cs="Segoe UI"/>
          <w:szCs w:val="22"/>
          <w:lang w:val="sk-SK" w:bidi="bo-CN"/>
        </w:rPr>
        <w:t>Adhesive</w:t>
      </w:r>
      <w:proofErr w:type="spellEnd"/>
      <w:r w:rsidRPr="003943A0">
        <w:rPr>
          <w:rFonts w:cs="Segoe UI"/>
          <w:szCs w:val="22"/>
          <w:lang w:val="sk-SK" w:bidi="bo-CN"/>
        </w:rPr>
        <w:t xml:space="preserve"> Technologies ostáva očakávaná upravená výnosnosť predaja nezmenená na úrovni 16 až 17 percent.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Pri obchodnej divízií </w:t>
      </w:r>
      <w:proofErr w:type="spellStart"/>
      <w:r w:rsidRPr="003943A0">
        <w:rPr>
          <w:rFonts w:cs="Segoe UI"/>
          <w:szCs w:val="22"/>
          <w:lang w:val="sk-SK" w:bidi="bo-CN"/>
        </w:rPr>
        <w:t>Consumer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Brands</w:t>
      </w:r>
      <w:proofErr w:type="spellEnd"/>
      <w:r w:rsidRPr="003943A0">
        <w:rPr>
          <w:rFonts w:cs="Segoe UI"/>
          <w:szCs w:val="22"/>
          <w:lang w:val="sk-SK" w:bidi="bo-CN"/>
        </w:rPr>
        <w:t xml:space="preserve"> sa očakáva zvýšenie upravenej výnosnosti predaja na 13 až 14 percent (pôvodne: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12 až 13 percent).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Pokiaľ ide o vývoj </w:t>
      </w:r>
      <w:r w:rsidRPr="003943A0">
        <w:rPr>
          <w:rFonts w:cs="Segoe UI"/>
          <w:b/>
          <w:bCs/>
          <w:szCs w:val="22"/>
          <w:lang w:val="sk-SK" w:bidi="bo-CN"/>
        </w:rPr>
        <w:t>upravených výnosov na prioritnú akciu</w:t>
      </w:r>
      <w:r w:rsidRPr="003943A0">
        <w:rPr>
          <w:rFonts w:cs="Segoe UI"/>
          <w:szCs w:val="22"/>
          <w:lang w:val="sk-SK" w:bidi="bo-CN"/>
        </w:rPr>
        <w:t xml:space="preserve"> (EPS) pri konštantných kurzových sadzbách, spoločnosť Henkel v súčasnosti očakáva zvýšenie v rozsahu od 20 do 30 percent (pôvodne: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15 až 25 percent).</w:t>
      </w:r>
    </w:p>
    <w:p w14:paraId="2BD61A23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4FB58250" w14:textId="77777777" w:rsidR="00B07E6F" w:rsidRPr="003943A0" w:rsidRDefault="00B07E6F" w:rsidP="00B07E6F">
      <w:pPr>
        <w:spacing w:after="120"/>
        <w:jc w:val="left"/>
        <w:rPr>
          <w:rFonts w:cs="Segoe UI"/>
          <w:b/>
          <w:bCs/>
          <w:szCs w:val="22"/>
          <w:lang w:val="sk-SK"/>
        </w:rPr>
      </w:pPr>
      <w:r w:rsidRPr="003943A0">
        <w:rPr>
          <w:rFonts w:cs="Segoe UI"/>
          <w:b/>
          <w:bCs/>
          <w:szCs w:val="22"/>
          <w:lang w:val="sk-SK" w:bidi="bo-CN"/>
        </w:rPr>
        <w:t>Vývoj obratu a výnosov v prvom polroku 2024</w:t>
      </w:r>
    </w:p>
    <w:p w14:paraId="0155097D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szCs w:val="22"/>
          <w:lang w:val="sk-SK" w:bidi="bo-CN"/>
        </w:rPr>
        <w:t xml:space="preserve">V neustále náročnom trhovom prostredí dosiahla spoločnosť Henkel v prvom polroku 2024 </w:t>
      </w:r>
      <w:r w:rsidRPr="003943A0">
        <w:rPr>
          <w:rFonts w:cs="Segoe UI"/>
          <w:b/>
          <w:bCs/>
          <w:szCs w:val="22"/>
          <w:lang w:val="sk-SK" w:bidi="bo-CN"/>
        </w:rPr>
        <w:t>obrat na úrovni skupiny</w:t>
      </w:r>
      <w:r w:rsidRPr="003943A0">
        <w:rPr>
          <w:rFonts w:cs="Segoe UI"/>
          <w:szCs w:val="22"/>
          <w:lang w:val="sk-SK" w:bidi="bo-CN"/>
        </w:rPr>
        <w:t xml:space="preserve"> vo výške 10 813 miliónov eur, čo nominálne predstavuje pokles o jedno percento.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Po negatívnom vývoji nominálneho obratu v predchádzajúcich štvrťrokoch, ktorý bol negatívne ovplyvnený odpredajom a ukončením podnikateľských aktivít v Ruskej federácii, sa spoločnosti Henkel v druhom štvrťroku 2024 podarilo opäť vrátiť k rastu nominálneho obratu (2. štvrťrok: 5 496 miliónov eur; +3,4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Negatívny vplyv kurzového vývoja prispel k zníženiu obratu o 1,9 percenta (2. štvrťrok: +0,2 percenta),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zatiaľ čo akvizície a odpredaje ho znížili o ďalších 2,1 percenta (2. štvrťrok: +0,3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Ale kým odpredaj našich podnikateľských aktivít v Ruskej federácii v apríli 2023 mal negatívny vplyv, nedávno ukončené akvizície v obdivoch obchodných divíziách – </w:t>
      </w:r>
      <w:proofErr w:type="spellStart"/>
      <w:r w:rsidRPr="003943A0">
        <w:rPr>
          <w:rFonts w:cs="Segoe UI"/>
          <w:szCs w:val="22"/>
          <w:lang w:val="sk-SK" w:bidi="bo-CN"/>
        </w:rPr>
        <w:t>Seal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for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Life</w:t>
      </w:r>
      <w:proofErr w:type="spellEnd"/>
      <w:r w:rsidRPr="003943A0">
        <w:rPr>
          <w:rFonts w:cs="Segoe UI"/>
          <w:szCs w:val="22"/>
          <w:lang w:val="sk-SK" w:bidi="bo-CN"/>
        </w:rPr>
        <w:t xml:space="preserve"> a </w:t>
      </w:r>
      <w:proofErr w:type="spellStart"/>
      <w:r w:rsidRPr="003943A0">
        <w:rPr>
          <w:rFonts w:cs="Segoe UI"/>
          <w:szCs w:val="22"/>
          <w:lang w:val="sk-SK" w:bidi="bo-CN"/>
        </w:rPr>
        <w:t>Vidal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Sassoon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r w:rsidRPr="006B660C">
        <w:rPr>
          <w:rFonts w:cs="Segoe UI"/>
          <w:szCs w:val="22"/>
          <w:lang w:val="sk-SK" w:bidi="bo-CN"/>
        </w:rPr>
        <w:t>– priniesli pozitívny príspevok.</w:t>
      </w:r>
      <w:r w:rsidRPr="006B660C">
        <w:rPr>
          <w:rFonts w:cs="Segoe UI"/>
          <w:szCs w:val="22"/>
          <w:lang w:val="sk-SK"/>
        </w:rPr>
        <w:t xml:space="preserve"> </w:t>
      </w:r>
      <w:r w:rsidRPr="006B660C">
        <w:rPr>
          <w:rFonts w:cs="Segoe UI"/>
          <w:szCs w:val="22"/>
          <w:lang w:val="sk-SK" w:bidi="bo-CN"/>
        </w:rPr>
        <w:t>V</w:t>
      </w:r>
      <w:r w:rsidRPr="003943A0">
        <w:rPr>
          <w:rFonts w:cs="Segoe UI"/>
          <w:szCs w:val="22"/>
          <w:lang w:val="sk-SK" w:bidi="bo-CN"/>
        </w:rPr>
        <w:t> </w:t>
      </w:r>
      <w:r w:rsidRPr="003943A0">
        <w:rPr>
          <w:rFonts w:cs="Segoe UI"/>
          <w:b/>
          <w:bCs/>
          <w:szCs w:val="22"/>
          <w:lang w:val="sk-SK" w:bidi="bo-CN"/>
        </w:rPr>
        <w:t>organickom</w:t>
      </w:r>
      <w:r w:rsidRPr="003943A0">
        <w:rPr>
          <w:rFonts w:cs="Segoe UI"/>
          <w:szCs w:val="22"/>
          <w:lang w:val="sk-SK" w:bidi="bo-CN"/>
        </w:rPr>
        <w:t xml:space="preserve"> vyjadrení – </w:t>
      </w:r>
      <w:proofErr w:type="spellStart"/>
      <w:r w:rsidRPr="003943A0">
        <w:rPr>
          <w:rFonts w:cs="Segoe UI"/>
          <w:szCs w:val="22"/>
          <w:lang w:val="sk-SK" w:bidi="bo-CN"/>
        </w:rPr>
        <w:t>t.j</w:t>
      </w:r>
      <w:proofErr w:type="spellEnd"/>
      <w:r w:rsidRPr="003943A0">
        <w:rPr>
          <w:rFonts w:cs="Segoe UI"/>
          <w:szCs w:val="22"/>
          <w:lang w:val="sk-SK" w:bidi="bo-CN"/>
        </w:rPr>
        <w:t>. po úprave o kurzové vplyvy a vplyv akvizícií a odpredajov – dosiahla spoločnosť Henkel rast obratu vo výške 2,9 percenta (2. štvrťrok: +2,8 percenta).</w:t>
      </w:r>
    </w:p>
    <w:p w14:paraId="3659AC65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29376A12" w14:textId="77777777" w:rsidR="00B07E6F" w:rsidRPr="0069097A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3943A0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3943A0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3943A0">
        <w:rPr>
          <w:rFonts w:cs="Segoe UI"/>
          <w:szCs w:val="22"/>
          <w:lang w:val="sk-SK" w:bidi="bo-CN"/>
        </w:rPr>
        <w:t xml:space="preserve"> zaznamenala v prvom polroku 2024 silný organický rast obratu vo výške 2 percent, ku ktorému prispeli trhové segmenty mobilita a elektronický priemysel aj segment výrobkov pre remeselníkov, stavebníctvo a profesionálov </w:t>
      </w:r>
      <w:r>
        <w:rPr>
          <w:rFonts w:cs="Segoe UI"/>
          <w:szCs w:val="22"/>
          <w:lang w:val="sk-SK" w:bidi="bo-CN"/>
        </w:rPr>
        <w:t>(</w:t>
      </w:r>
      <w:r w:rsidRPr="003943A0">
        <w:rPr>
          <w:rFonts w:cs="Segoe UI"/>
          <w:szCs w:val="22"/>
          <w:lang w:val="sk-SK" w:bidi="bo-CN"/>
        </w:rPr>
        <w:t>2. štvrťrok: +2,6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K veľmi silnému organickému rastu obratu obchodnej divízie </w:t>
      </w:r>
      <w:proofErr w:type="spellStart"/>
      <w:r w:rsidRPr="003943A0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3943A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3943A0">
        <w:rPr>
          <w:rFonts w:cs="Segoe UI"/>
          <w:b/>
          <w:bCs/>
          <w:szCs w:val="22"/>
          <w:lang w:val="sk-SK" w:bidi="bo-CN"/>
        </w:rPr>
        <w:t xml:space="preserve"> </w:t>
      </w:r>
      <w:r w:rsidRPr="003943A0">
        <w:rPr>
          <w:rFonts w:cs="Segoe UI"/>
          <w:szCs w:val="22"/>
          <w:lang w:val="sk-SK" w:bidi="bo-CN"/>
        </w:rPr>
        <w:t>na úrovni 4,3 percenta prispeli všetky trhové segmenty (2. štvrťrok: +3,3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Hlavným dôvodom rastu obratu obidvoch obchodných divízií bol pozitívny cenový vývoj.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Vývoj objemu predaných výrobkov, ktorý je aj naďalej ovplyvňovaný portfóliovými opatreniami v divízii </w:t>
      </w:r>
      <w:proofErr w:type="spellStart"/>
      <w:r w:rsidRPr="003943A0">
        <w:rPr>
          <w:rFonts w:cs="Segoe UI"/>
          <w:szCs w:val="22"/>
          <w:lang w:val="sk-SK" w:bidi="bo-CN"/>
        </w:rPr>
        <w:t>Consumer</w:t>
      </w:r>
      <w:proofErr w:type="spellEnd"/>
      <w:r w:rsidRPr="003943A0">
        <w:rPr>
          <w:rFonts w:cs="Segoe UI"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bidi="bo-CN"/>
        </w:rPr>
        <w:t>Brands</w:t>
      </w:r>
      <w:proofErr w:type="spellEnd"/>
      <w:r w:rsidRPr="003943A0">
        <w:rPr>
          <w:rFonts w:cs="Segoe UI"/>
          <w:szCs w:val="22"/>
          <w:lang w:val="sk-SK" w:bidi="bo-CN"/>
        </w:rPr>
        <w:t>, zaznamenal mierne pozitívny trend, a to tak v porovnaní s prvým polrokom 2024, aj s postupným zlepšovaním v prvom štvrťrokom 2024.</w:t>
      </w:r>
      <w:r w:rsidRPr="003943A0">
        <w:rPr>
          <w:rFonts w:cs="Segoe UI"/>
          <w:szCs w:val="22"/>
          <w:lang w:val="sk-SK"/>
        </w:rPr>
        <w:t xml:space="preserve"> </w:t>
      </w:r>
    </w:p>
    <w:p w14:paraId="4DED0F80" w14:textId="77777777" w:rsidR="00B07E6F" w:rsidRPr="0069097A" w:rsidRDefault="00B07E6F" w:rsidP="00B07E6F">
      <w:pPr>
        <w:rPr>
          <w:rFonts w:cs="Segoe UI"/>
          <w:szCs w:val="22"/>
          <w:highlight w:val="yellow"/>
          <w:lang w:val="sk-SK"/>
        </w:rPr>
      </w:pPr>
    </w:p>
    <w:p w14:paraId="1A788EF9" w14:textId="77777777" w:rsidR="00B07E6F" w:rsidRPr="0069097A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szCs w:val="22"/>
          <w:lang w:val="sk-SK" w:bidi="bo-CN"/>
        </w:rPr>
        <w:t>Organický rast obratu v </w:t>
      </w:r>
      <w:r w:rsidRPr="003943A0">
        <w:rPr>
          <w:rFonts w:cs="Segoe UI"/>
          <w:b/>
          <w:bCs/>
          <w:szCs w:val="22"/>
          <w:lang w:val="sk-SK" w:bidi="bo-CN"/>
        </w:rPr>
        <w:t>európskom</w:t>
      </w:r>
      <w:r w:rsidRPr="003943A0">
        <w:rPr>
          <w:rFonts w:cs="Segoe UI"/>
          <w:szCs w:val="22"/>
          <w:lang w:val="sk-SK" w:bidi="bo-CN"/>
        </w:rPr>
        <w:t xml:space="preserve"> regióne dosiahol v prvom polroku úroveň 1,8 percenta (2. štvrťrok: +1,2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V regióne </w:t>
      </w:r>
      <w:r w:rsidRPr="003943A0">
        <w:rPr>
          <w:rFonts w:cs="Segoe UI"/>
          <w:b/>
          <w:bCs/>
          <w:szCs w:val="22"/>
          <w:lang w:val="sk-SK" w:bidi="bo-CN"/>
        </w:rPr>
        <w:t xml:space="preserve">IMEA </w:t>
      </w:r>
      <w:r w:rsidRPr="003943A0">
        <w:rPr>
          <w:rFonts w:cs="Segoe UI"/>
          <w:szCs w:val="22"/>
          <w:lang w:val="sk-SK" w:bidi="bo-CN"/>
        </w:rPr>
        <w:t>(India, Stredný východ a Afrika) dosiahla spoločnosť Henkel dvojciferný organický rast obratu vo výške 21 percent (2. štvrťrok: +13,7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Na </w:t>
      </w:r>
      <w:r w:rsidRPr="003943A0">
        <w:rPr>
          <w:rFonts w:cs="Segoe UI"/>
          <w:b/>
          <w:bCs/>
          <w:szCs w:val="22"/>
          <w:lang w:val="sk-SK" w:bidi="bo-CN"/>
        </w:rPr>
        <w:t xml:space="preserve">severoamerických </w:t>
      </w:r>
      <w:r w:rsidRPr="003943A0">
        <w:rPr>
          <w:rFonts w:cs="Segoe UI"/>
          <w:szCs w:val="22"/>
          <w:lang w:val="sk-SK" w:bidi="bo-CN"/>
        </w:rPr>
        <w:t>trhoch sa organický rast obratu naopak znížil o 1,6 percenta (2. štvrťrok: -0,2 percenta),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v </w:t>
      </w:r>
      <w:r w:rsidRPr="003943A0">
        <w:rPr>
          <w:rFonts w:cs="Segoe UI"/>
          <w:b/>
          <w:bCs/>
          <w:szCs w:val="22"/>
          <w:lang w:val="sk-SK" w:bidi="bo-CN"/>
        </w:rPr>
        <w:t>Latinskej Amerike</w:t>
      </w:r>
      <w:r w:rsidRPr="003943A0">
        <w:rPr>
          <w:rFonts w:cs="Segoe UI"/>
          <w:szCs w:val="22"/>
          <w:lang w:val="sk-SK" w:bidi="bo-CN"/>
        </w:rPr>
        <w:t xml:space="preserve"> organický vývoj obratu v prvom polroku stagnoval na hodnote 0,0 percenta (2. štvrťrok: 2,7 percenta),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zatiaľ čo v </w:t>
      </w:r>
      <w:r w:rsidRPr="003943A0">
        <w:rPr>
          <w:rFonts w:cs="Segoe UI"/>
          <w:b/>
          <w:bCs/>
          <w:szCs w:val="22"/>
          <w:lang w:val="sk-SK" w:bidi="bo-CN"/>
        </w:rPr>
        <w:t>ázijsko-pacifickom</w:t>
      </w:r>
      <w:r w:rsidRPr="003943A0">
        <w:rPr>
          <w:rFonts w:cs="Segoe UI"/>
          <w:szCs w:val="22"/>
          <w:lang w:val="sk-SK" w:bidi="bo-CN"/>
        </w:rPr>
        <w:t xml:space="preserve"> regióne sa obrat organicky zlepšil o 5,5 percenta (2. štvrťrok: +7,5 percenta).</w:t>
      </w:r>
      <w:r w:rsidRPr="003943A0">
        <w:rPr>
          <w:rFonts w:cs="Segoe UI"/>
          <w:szCs w:val="22"/>
          <w:lang w:val="sk-SK"/>
        </w:rPr>
        <w:t xml:space="preserve"> </w:t>
      </w:r>
    </w:p>
    <w:p w14:paraId="1E11A865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</w:p>
    <w:p w14:paraId="2675FE8A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  <w:r w:rsidRPr="003943A0">
        <w:rPr>
          <w:rFonts w:cs="Segoe UI"/>
          <w:b/>
          <w:szCs w:val="22"/>
          <w:lang w:val="sk-SK" w:bidi="bo-CN"/>
        </w:rPr>
        <w:t>Upravený prevádzkový zisk (upravený EBIT)</w:t>
      </w:r>
      <w:r w:rsidRPr="003943A0">
        <w:rPr>
          <w:rFonts w:cs="Segoe UI"/>
          <w:bCs/>
          <w:szCs w:val="22"/>
          <w:lang w:val="sk-SK" w:bidi="bo-CN"/>
        </w:rPr>
        <w:t xml:space="preserve"> zaznamenal výrazné zvýšenie z 1 254 miliónov eur v prvom polroku 2023 na 1 610 miliónov eur v prvom polroku 2024, čo predstavuje medziročné zlepšenie o 28,4 percenta, predovšetkým vďaka výraznému zvýšeniu hrubej marže.</w:t>
      </w:r>
      <w:r w:rsidRPr="003943A0">
        <w:rPr>
          <w:rFonts w:cs="Segoe UI"/>
          <w:bCs/>
          <w:szCs w:val="22"/>
          <w:lang w:val="sk-SK"/>
        </w:rPr>
        <w:t xml:space="preserve"> </w:t>
      </w:r>
    </w:p>
    <w:p w14:paraId="17B2B16D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</w:p>
    <w:p w14:paraId="3D4D6C67" w14:textId="77777777" w:rsidR="00B07E6F" w:rsidRPr="003943A0" w:rsidRDefault="00B07E6F" w:rsidP="00B07E6F">
      <w:pPr>
        <w:rPr>
          <w:rFonts w:cs="Segoe UI"/>
          <w:bCs/>
          <w:szCs w:val="22"/>
          <w:lang w:val="sk-SK"/>
        </w:rPr>
      </w:pPr>
      <w:r w:rsidRPr="003943A0">
        <w:rPr>
          <w:rFonts w:cs="Segoe UI"/>
          <w:b/>
          <w:szCs w:val="22"/>
          <w:lang w:val="sk-SK" w:bidi="bo-CN"/>
        </w:rPr>
        <w:t xml:space="preserve">Upravená výnosnosť predaja (upravená marža EBIT) </w:t>
      </w:r>
      <w:r w:rsidRPr="003943A0">
        <w:rPr>
          <w:rFonts w:cs="Segoe UI"/>
          <w:bCs/>
          <w:szCs w:val="22"/>
          <w:lang w:val="sk-SK" w:bidi="bo-CN"/>
        </w:rPr>
        <w:t>na úrovni skupiny Henkel sa v dôsledku toho zvýšila až o 340 bázických bodov z 11,5 na 14,9 percenta.</w:t>
      </w:r>
    </w:p>
    <w:p w14:paraId="5E448209" w14:textId="77777777" w:rsidR="00B07E6F" w:rsidRPr="0069097A" w:rsidRDefault="00B07E6F" w:rsidP="00B07E6F">
      <w:pPr>
        <w:rPr>
          <w:rFonts w:cs="Segoe UI"/>
          <w:b/>
          <w:szCs w:val="22"/>
          <w:lang w:val="sk-SK"/>
        </w:rPr>
      </w:pPr>
    </w:p>
    <w:p w14:paraId="053D6C37" w14:textId="77777777" w:rsidR="00B07E6F" w:rsidRPr="003943A0" w:rsidRDefault="00B07E6F" w:rsidP="00B07E6F">
      <w:pPr>
        <w:rPr>
          <w:rFonts w:cs="Segoe UI"/>
          <w:bCs/>
          <w:szCs w:val="22"/>
          <w:lang w:val="sk-SK"/>
        </w:rPr>
      </w:pPr>
      <w:r w:rsidRPr="003943A0">
        <w:rPr>
          <w:rFonts w:cs="Segoe UI"/>
          <w:b/>
          <w:szCs w:val="22"/>
          <w:lang w:val="sk-SK" w:bidi="bo-CN"/>
        </w:rPr>
        <w:t xml:space="preserve">Výnos na prioritnú akciu </w:t>
      </w:r>
      <w:r w:rsidRPr="003943A0">
        <w:rPr>
          <w:rFonts w:cs="Segoe UI"/>
          <w:bCs/>
          <w:szCs w:val="22"/>
          <w:lang w:val="sk-SK" w:bidi="bo-CN"/>
        </w:rPr>
        <w:t>sa výrazne zvýšil na hodnotu 2,46 eura (predchádzajúci rok: 1,35 eura).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Upravený výnos na prioritnú akciu sa medziročne zvýšil o 30,5 percenta na 2,78 eura v porovnaní s 2,13 eura v rovnakom období predchádzajúceho roka.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K uvedenému výraznému zvýšeniu prispel predovšetkým rast upraveného prevádzkového zisku.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 xml:space="preserve">Pri konštantných kurzových sadzbách </w:t>
      </w:r>
      <w:r w:rsidRPr="006B660C">
        <w:rPr>
          <w:rFonts w:cs="Segoe UI"/>
          <w:bCs/>
          <w:szCs w:val="22"/>
          <w:lang w:val="sk-SK" w:bidi="bo-CN"/>
        </w:rPr>
        <w:t>dosiahol upravený výnos na prioritnú akciu jednoznačné dvojciferné zlepšenie vo výške 32,9 percenta.</w:t>
      </w:r>
    </w:p>
    <w:p w14:paraId="206D1E66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1533ED2C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8E3EF1">
        <w:rPr>
          <w:rFonts w:cs="Segoe UI"/>
          <w:b/>
          <w:bCs/>
          <w:szCs w:val="22"/>
          <w:lang w:val="sk-SK" w:bidi="bo-CN"/>
        </w:rPr>
        <w:t>Čistý prevádzkový kapitál</w:t>
      </w:r>
      <w:r w:rsidRPr="003943A0">
        <w:rPr>
          <w:rFonts w:cs="Segoe UI"/>
          <w:b/>
          <w:bCs/>
          <w:szCs w:val="22"/>
          <w:lang w:val="sk-SK" w:bidi="bo-CN"/>
        </w:rPr>
        <w:t xml:space="preserve"> </w:t>
      </w:r>
      <w:r w:rsidRPr="003943A0">
        <w:rPr>
          <w:rFonts w:cs="Segoe UI"/>
          <w:szCs w:val="22"/>
          <w:lang w:val="sk-SK" w:bidi="bo-CN"/>
        </w:rPr>
        <w:t>medziročne klesol o 0,9 percentuálneho bodu zo 6,1 na 5,2 percenta.</w:t>
      </w:r>
    </w:p>
    <w:p w14:paraId="041E7AB8" w14:textId="77777777" w:rsidR="00B07E6F" w:rsidRPr="0069097A" w:rsidRDefault="00B07E6F" w:rsidP="00B07E6F">
      <w:pPr>
        <w:rPr>
          <w:rFonts w:cs="Segoe UI"/>
          <w:szCs w:val="22"/>
          <w:highlight w:val="yellow"/>
          <w:lang w:val="sk-SK"/>
        </w:rPr>
      </w:pPr>
    </w:p>
    <w:p w14:paraId="20568E22" w14:textId="77777777" w:rsidR="00B07E6F" w:rsidRPr="0069097A" w:rsidRDefault="00B07E6F" w:rsidP="00B07E6F">
      <w:pPr>
        <w:autoSpaceDE w:val="0"/>
        <w:autoSpaceDN w:val="0"/>
        <w:adjustRightInd w:val="0"/>
        <w:rPr>
          <w:lang w:val="sk-SK"/>
        </w:rPr>
      </w:pPr>
      <w:r w:rsidRPr="003943A0">
        <w:rPr>
          <w:rFonts w:cs="Segoe UI"/>
          <w:b/>
          <w:bCs/>
          <w:szCs w:val="22"/>
          <w:lang w:val="sk-SK" w:bidi="bo-CN"/>
        </w:rPr>
        <w:t xml:space="preserve">Voľný cash </w:t>
      </w:r>
      <w:proofErr w:type="spellStart"/>
      <w:r w:rsidRPr="003943A0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3943A0">
        <w:rPr>
          <w:rFonts w:cs="Segoe UI"/>
          <w:szCs w:val="22"/>
          <w:lang w:val="sk-SK" w:bidi="bo-CN"/>
        </w:rPr>
        <w:t xml:space="preserve"> dosiahol hodnotu 772 miliónov a bol teda vyšší než v prvom polroku 2023 (749 miliónov eur).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Hlavným dôvodom bol vyšší cash </w:t>
      </w:r>
      <w:proofErr w:type="spellStart"/>
      <w:r w:rsidRPr="003943A0">
        <w:rPr>
          <w:rFonts w:cs="Segoe UI"/>
          <w:szCs w:val="22"/>
          <w:lang w:val="sk-SK" w:bidi="bo-CN"/>
        </w:rPr>
        <w:t>flow</w:t>
      </w:r>
      <w:proofErr w:type="spellEnd"/>
      <w:r w:rsidRPr="003943A0">
        <w:rPr>
          <w:rFonts w:cs="Segoe UI"/>
          <w:szCs w:val="22"/>
          <w:lang w:val="sk-SK" w:bidi="bo-CN"/>
        </w:rPr>
        <w:t xml:space="preserve"> z prevádzkových činností.</w:t>
      </w:r>
      <w:r w:rsidRPr="003943A0">
        <w:rPr>
          <w:rFonts w:cs="Segoe UI"/>
          <w:szCs w:val="22"/>
          <w:lang w:val="sk-SK"/>
        </w:rPr>
        <w:t xml:space="preserve"> </w:t>
      </w:r>
    </w:p>
    <w:p w14:paraId="3397650D" w14:textId="77777777" w:rsidR="00B07E6F" w:rsidRPr="0069097A" w:rsidRDefault="00B07E6F" w:rsidP="00B07E6F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/>
        </w:rPr>
      </w:pPr>
    </w:p>
    <w:p w14:paraId="520C6E20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3943A0">
        <w:rPr>
          <w:rFonts w:cs="Segoe UI"/>
          <w:b/>
          <w:bCs/>
          <w:szCs w:val="22"/>
          <w:lang w:val="sk-SK" w:bidi="bo-CN"/>
        </w:rPr>
        <w:t xml:space="preserve">Čistá finančná pozícia </w:t>
      </w:r>
      <w:r w:rsidRPr="003943A0">
        <w:rPr>
          <w:rFonts w:cs="Segoe UI"/>
          <w:szCs w:val="22"/>
          <w:lang w:val="sk-SK" w:bidi="bo-CN"/>
        </w:rPr>
        <w:t>k 30. júnu 2024 predstavovala +1 440 miliónov eur (31. december 2023: 12 miliónov eur).</w:t>
      </w:r>
    </w:p>
    <w:p w14:paraId="41E9A9A0" w14:textId="77777777" w:rsidR="00B07E6F" w:rsidRPr="0069097A" w:rsidRDefault="00B07E6F" w:rsidP="00B07E6F">
      <w:pPr>
        <w:spacing w:line="240" w:lineRule="auto"/>
        <w:jc w:val="left"/>
        <w:rPr>
          <w:rFonts w:cs="Segoe UI"/>
          <w:color w:val="3B3B3B"/>
          <w:shd w:val="clear" w:color="auto" w:fill="FFFFFF"/>
          <w:lang w:val="sk-SK"/>
        </w:rPr>
      </w:pPr>
    </w:p>
    <w:p w14:paraId="3C1D3D76" w14:textId="77777777" w:rsidR="00B07E6F" w:rsidRPr="003943A0" w:rsidRDefault="00B07E6F" w:rsidP="00B07E6F">
      <w:pPr>
        <w:spacing w:after="120"/>
        <w:rPr>
          <w:rFonts w:cs="Segoe UI"/>
          <w:b/>
          <w:bCs/>
          <w:szCs w:val="22"/>
          <w:highlight w:val="yellow"/>
          <w:lang w:val="sk-SK" w:eastAsia="de-DE"/>
        </w:rPr>
      </w:pPr>
      <w:r w:rsidRPr="003943A0">
        <w:rPr>
          <w:rFonts w:cs="Segoe UI"/>
          <w:b/>
          <w:bCs/>
          <w:szCs w:val="22"/>
          <w:lang w:val="sk-SK" w:eastAsia="de-DE" w:bidi="bo-CN"/>
        </w:rPr>
        <w:t>Výsledky obchodných divízií za prvý polrok 2024</w:t>
      </w:r>
    </w:p>
    <w:p w14:paraId="48CBA5A4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  <w:bookmarkStart w:id="3" w:name="SNAMD_dc825768bfb2420dbdc0e075b6c733f3"/>
      <w:bookmarkStart w:id="4" w:name="SNERR_085cbfa1dc5245baabab2f6ce609ab4b"/>
      <w:r w:rsidRPr="003943A0">
        <w:rPr>
          <w:b/>
          <w:bCs/>
          <w:lang w:val="sk-SK" w:bidi="bo-CN"/>
        </w:rPr>
        <w:lastRenderedPageBreak/>
        <w:t>Obrat</w:t>
      </w:r>
      <w:r w:rsidRPr="003943A0">
        <w:rPr>
          <w:lang w:val="sk-SK" w:bidi="bo-CN"/>
        </w:rPr>
        <w:t xml:space="preserve"> obchodnej divízie </w:t>
      </w:r>
      <w:proofErr w:type="spellStart"/>
      <w:r w:rsidRPr="003943A0">
        <w:rPr>
          <w:b/>
          <w:bCs/>
          <w:lang w:val="sk-SK" w:bidi="bo-CN"/>
        </w:rPr>
        <w:t>Adhesive</w:t>
      </w:r>
      <w:proofErr w:type="spellEnd"/>
      <w:r w:rsidRPr="003943A0">
        <w:rPr>
          <w:b/>
          <w:bCs/>
          <w:lang w:val="sk-SK" w:bidi="bo-CN"/>
        </w:rPr>
        <w:t xml:space="preserve"> Technologies</w:t>
      </w:r>
      <w:r w:rsidRPr="003943A0">
        <w:rPr>
          <w:lang w:val="sk-SK" w:bidi="bo-CN"/>
        </w:rPr>
        <w:t>, ktorý dosiahol v prvom polroku 2024 hodnotu 5 475 miliónov eur, sa v nominálnom vyjadrení medziročne nezmenil (2, štvrťrok: 2 798 miliónov eur).</w:t>
      </w:r>
      <w:r w:rsidRPr="003943A0">
        <w:rPr>
          <w:color w:val="000000" w:themeColor="text1"/>
          <w:lang w:val="sk-SK"/>
        </w:rPr>
        <w:t xml:space="preserve"> </w:t>
      </w:r>
      <w:r w:rsidRPr="003943A0">
        <w:rPr>
          <w:b/>
          <w:bCs/>
          <w:lang w:val="sk-SK" w:bidi="bo-CN"/>
        </w:rPr>
        <w:t xml:space="preserve">Organicky </w:t>
      </w:r>
      <w:r w:rsidRPr="003943A0">
        <w:rPr>
          <w:lang w:val="sk-SK" w:bidi="bo-CN"/>
        </w:rPr>
        <w:t>sa obrat zvýšil o 2 percentá (2. štvrťrok: 2,6 percenta).</w:t>
      </w:r>
      <w:r w:rsidRPr="003943A0">
        <w:rPr>
          <w:color w:val="000000" w:themeColor="text1"/>
          <w:lang w:val="sk-SK"/>
        </w:rPr>
        <w:t xml:space="preserve"> </w:t>
      </w:r>
      <w:r w:rsidRPr="008E3EF1">
        <w:rPr>
          <w:lang w:val="sk-SK" w:bidi="bo-CN"/>
        </w:rPr>
        <w:t>Príspevok cenového vývoja k uvedenému pozitívnemu výsledku predstavoval 0,2 percenta a rast objemu 1,8 percenta.</w:t>
      </w:r>
      <w:r w:rsidRPr="008E3EF1">
        <w:rPr>
          <w:color w:val="000000" w:themeColor="text1"/>
          <w:lang w:val="sk-SK"/>
        </w:rPr>
        <w:t xml:space="preserve"> </w:t>
      </w:r>
      <w:r w:rsidRPr="008E3EF1">
        <w:rPr>
          <w:lang w:val="sk-SK" w:bidi="bo-CN"/>
        </w:rPr>
        <w:t>Obchodná</w:t>
      </w:r>
      <w:r w:rsidRPr="003943A0">
        <w:rPr>
          <w:lang w:val="sk-SK" w:bidi="bo-CN"/>
        </w:rPr>
        <w:t xml:space="preserve"> divízia teda v druhom štvrťroku zaznamenala postupné zvyšovanie objemu predaných výrobkov v porovnaní s prvým štvrťrokom 2024.</w:t>
      </w:r>
      <w:r w:rsidRPr="003943A0">
        <w:rPr>
          <w:color w:val="000000" w:themeColor="text1"/>
          <w:lang w:val="sk-SK"/>
        </w:rPr>
        <w:t xml:space="preserve"> </w:t>
      </w:r>
      <w:bookmarkEnd w:id="3"/>
      <w:bookmarkEnd w:id="4"/>
    </w:p>
    <w:p w14:paraId="479E733F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</w:p>
    <w:p w14:paraId="24B81C98" w14:textId="77777777" w:rsidR="00B07E6F" w:rsidRPr="0069097A" w:rsidRDefault="00B07E6F" w:rsidP="00B07E6F">
      <w:pPr>
        <w:rPr>
          <w:rFonts w:cs="Segoe UI"/>
          <w:szCs w:val="18"/>
          <w:lang w:val="sk-SK"/>
        </w:rPr>
      </w:pPr>
      <w:r w:rsidRPr="003943A0">
        <w:rPr>
          <w:rFonts w:cs="Segoe UI"/>
          <w:szCs w:val="18"/>
          <w:lang w:val="sk-SK" w:bidi="bo-CN"/>
        </w:rPr>
        <w:t xml:space="preserve">Trhový segment produktov pre </w:t>
      </w:r>
      <w:r w:rsidRPr="003943A0">
        <w:rPr>
          <w:rFonts w:cs="Segoe UI"/>
          <w:b/>
          <w:bCs/>
          <w:szCs w:val="18"/>
          <w:lang w:val="sk-SK" w:bidi="bo-CN"/>
        </w:rPr>
        <w:t xml:space="preserve">mobilitu </w:t>
      </w:r>
      <w:r w:rsidRPr="003943A0">
        <w:rPr>
          <w:rFonts w:cs="Segoe UI"/>
          <w:szCs w:val="18"/>
          <w:lang w:val="sk-SK" w:bidi="bo-CN"/>
        </w:rPr>
        <w:t>a </w:t>
      </w:r>
      <w:r w:rsidRPr="003943A0">
        <w:rPr>
          <w:rFonts w:cs="Segoe UI"/>
          <w:b/>
          <w:bCs/>
          <w:szCs w:val="18"/>
          <w:lang w:val="sk-SK" w:bidi="bo-CN"/>
        </w:rPr>
        <w:t xml:space="preserve">elektronický priemysel </w:t>
      </w:r>
      <w:r w:rsidRPr="003943A0">
        <w:rPr>
          <w:rFonts w:cs="Segoe UI"/>
          <w:szCs w:val="18"/>
          <w:lang w:val="sk-SK" w:bidi="bo-CN"/>
        </w:rPr>
        <w:t>dosiahol veľmi silné zvýšenie organického obratu na úrovni 5,3 percenta (2. štvrťrok: +6,8 percenta).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>K rastu prispeli všetky kategórie, ale predovšetkým výrobky pre elektronický priemysel, ktoré dosiahli dvojciferný organický rast obratu v porovnaní so slabým rovnakým obdobím predchádzajúceho roka.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 xml:space="preserve">V segmente </w:t>
      </w:r>
      <w:r w:rsidRPr="003943A0">
        <w:rPr>
          <w:rFonts w:cs="Segoe UI"/>
          <w:b/>
          <w:bCs/>
          <w:szCs w:val="18"/>
          <w:lang w:val="sk-SK" w:bidi="bo-CN"/>
        </w:rPr>
        <w:t xml:space="preserve">obalov a spotrebného tovaru </w:t>
      </w:r>
      <w:r w:rsidRPr="003943A0">
        <w:rPr>
          <w:rFonts w:cs="Segoe UI"/>
          <w:szCs w:val="18"/>
          <w:lang w:val="sk-SK" w:bidi="bo-CN"/>
        </w:rPr>
        <w:t>došlo k organickému poklesu obratu na úrovni 0,6 percenta (2. štvrťrok: -1,0 percenta).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>Zvýšenie objemu predaných výrobkov v segmente obalov vykompenzovalo negatívny vývoj cien.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>Segment spotrebného tovaru celkovo zaznamenal mierny pokles v porovnaní so silnými výsledkami za rovnaké obdobie predchádzajúceho roka.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 xml:space="preserve">Trhový segment výrobkov pre </w:t>
      </w:r>
      <w:r w:rsidRPr="003943A0">
        <w:rPr>
          <w:rFonts w:cs="Segoe UI"/>
          <w:b/>
          <w:bCs/>
          <w:szCs w:val="18"/>
          <w:lang w:val="sk-SK" w:bidi="bo-CN"/>
        </w:rPr>
        <w:t xml:space="preserve">remeselníkov, stavebníctvo a profesionálov </w:t>
      </w:r>
      <w:r w:rsidRPr="003943A0">
        <w:rPr>
          <w:rFonts w:cs="Segoe UI"/>
          <w:szCs w:val="18"/>
          <w:lang w:val="sk-SK" w:bidi="bo-CN"/>
        </w:rPr>
        <w:t>dosiahol organický rast obratu na úrovni jedného percenta (2. štvrťrok: +1,7 percenta), ku ktorému prispelo stavebníctvo aj výrobky pre spotrebiteľov a remeselníkov.</w:t>
      </w:r>
      <w:r w:rsidRPr="003943A0">
        <w:rPr>
          <w:rFonts w:cs="Segoe UI"/>
          <w:szCs w:val="18"/>
          <w:lang w:val="sk-SK"/>
        </w:rPr>
        <w:t xml:space="preserve"> </w:t>
      </w:r>
      <w:r w:rsidRPr="003943A0">
        <w:rPr>
          <w:rFonts w:cs="Segoe UI"/>
          <w:szCs w:val="18"/>
          <w:lang w:val="sk-SK" w:bidi="bo-CN"/>
        </w:rPr>
        <w:t>Naopak segment výrobkov pre výrobu a údržbu zaznamenal v dôsledku nižšieho dopytu mierny pokles.</w:t>
      </w:r>
      <w:r w:rsidRPr="003943A0">
        <w:rPr>
          <w:rFonts w:cs="Segoe UI"/>
          <w:szCs w:val="18"/>
          <w:lang w:val="sk-SK"/>
        </w:rPr>
        <w:t xml:space="preserve"> </w:t>
      </w:r>
    </w:p>
    <w:p w14:paraId="462DAB7D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</w:p>
    <w:p w14:paraId="6118C40F" w14:textId="77777777" w:rsidR="00B07E6F" w:rsidRPr="003943A0" w:rsidRDefault="00B07E6F" w:rsidP="00B07E6F">
      <w:pPr>
        <w:rPr>
          <w:lang w:val="sk-SK"/>
        </w:rPr>
      </w:pPr>
      <w:r w:rsidRPr="003943A0">
        <w:rPr>
          <w:rFonts w:cs="Segoe UI"/>
          <w:b/>
          <w:szCs w:val="22"/>
          <w:lang w:val="sk-SK" w:bidi="bo-CN"/>
        </w:rPr>
        <w:t xml:space="preserve">Upravený prevádzkový zisk </w:t>
      </w:r>
      <w:r w:rsidRPr="003943A0">
        <w:rPr>
          <w:rFonts w:cs="Segoe UI"/>
          <w:bCs/>
          <w:szCs w:val="22"/>
          <w:lang w:val="sk-SK" w:bidi="bo-CN"/>
        </w:rPr>
        <w:t xml:space="preserve">divízie </w:t>
      </w:r>
      <w:proofErr w:type="spellStart"/>
      <w:r w:rsidRPr="003943A0">
        <w:rPr>
          <w:rFonts w:cs="Segoe UI"/>
          <w:bCs/>
          <w:szCs w:val="22"/>
          <w:lang w:val="sk-SK" w:bidi="bo-CN"/>
        </w:rPr>
        <w:t>Adhesive</w:t>
      </w:r>
      <w:proofErr w:type="spellEnd"/>
      <w:r w:rsidRPr="003943A0">
        <w:rPr>
          <w:rFonts w:cs="Segoe UI"/>
          <w:bCs/>
          <w:szCs w:val="22"/>
          <w:lang w:val="sk-SK" w:bidi="bo-CN"/>
        </w:rPr>
        <w:t xml:space="preserve"> Technologies</w:t>
      </w:r>
      <w:r w:rsidRPr="003943A0">
        <w:rPr>
          <w:rFonts w:cs="Segoe UI"/>
          <w:b/>
          <w:szCs w:val="22"/>
          <w:lang w:val="sk-SK" w:bidi="bo-CN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sa v prvom polroku 2024 medziročne zvýšil o 21,8 percenta na hodnotu 933 miliónov eur v porovnaní so 766 miliónmi eur v rovnakom období predchádzajúceho roka.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/>
          <w:szCs w:val="22"/>
          <w:lang w:val="sk-SK" w:bidi="bo-CN"/>
        </w:rPr>
        <w:t xml:space="preserve">Upravená výnosnosť predaja </w:t>
      </w:r>
      <w:r w:rsidRPr="003943A0">
        <w:rPr>
          <w:rFonts w:cs="Segoe UI"/>
          <w:bCs/>
          <w:szCs w:val="22"/>
          <w:lang w:val="sk-SK" w:bidi="bo-CN"/>
        </w:rPr>
        <w:t>sa zvýšila až o 310 bázických bodov na úroveň 17 percent.</w:t>
      </w:r>
      <w:r w:rsidRPr="003943A0">
        <w:rPr>
          <w:lang w:val="sk-SK"/>
        </w:rPr>
        <w:t xml:space="preserve"> </w:t>
      </w:r>
      <w:r w:rsidRPr="008E3EF1">
        <w:rPr>
          <w:lang w:val="sk-SK" w:bidi="bo-CN"/>
        </w:rPr>
        <w:t xml:space="preserve">Nižšie náklady na </w:t>
      </w:r>
      <w:r>
        <w:rPr>
          <w:lang w:val="sk-SK" w:bidi="bo-CN"/>
        </w:rPr>
        <w:t xml:space="preserve">vstupné </w:t>
      </w:r>
      <w:r w:rsidRPr="008E3EF1">
        <w:rPr>
          <w:lang w:val="sk-SK" w:bidi="bo-CN"/>
        </w:rPr>
        <w:t>suroviny, pozitívne efekty mixu a efektívnosť dodávateľského reťazca mali mimoriadne pozitívny vplyv na hrubú maržu.</w:t>
      </w:r>
    </w:p>
    <w:p w14:paraId="0E2651A3" w14:textId="77777777" w:rsidR="00B07E6F" w:rsidRPr="0069097A" w:rsidRDefault="00B07E6F" w:rsidP="00B07E6F">
      <w:pPr>
        <w:rPr>
          <w:rFonts w:cs="Segoe UI"/>
          <w:bCs/>
          <w:szCs w:val="22"/>
          <w:lang w:val="sk-SK"/>
        </w:rPr>
      </w:pPr>
    </w:p>
    <w:p w14:paraId="6F169A0D" w14:textId="77777777" w:rsidR="00B07E6F" w:rsidRPr="003943A0" w:rsidRDefault="00B07E6F" w:rsidP="00B07E6F">
      <w:pPr>
        <w:rPr>
          <w:rFonts w:cs="Segoe UI"/>
          <w:szCs w:val="22"/>
          <w:lang w:val="sk-SK"/>
        </w:rPr>
      </w:pPr>
      <w:r w:rsidRPr="003943A0">
        <w:rPr>
          <w:b/>
          <w:bCs/>
          <w:lang w:val="sk-SK" w:bidi="bo-CN"/>
        </w:rPr>
        <w:t>Obrat</w:t>
      </w:r>
      <w:r w:rsidRPr="003943A0">
        <w:rPr>
          <w:lang w:val="sk-SK" w:bidi="bo-CN"/>
        </w:rPr>
        <w:t xml:space="preserve"> obchodnej divízie </w:t>
      </w:r>
      <w:proofErr w:type="spellStart"/>
      <w:r w:rsidRPr="003943A0">
        <w:rPr>
          <w:b/>
          <w:bCs/>
          <w:lang w:val="sk-SK" w:bidi="bo-CN"/>
        </w:rPr>
        <w:t>Consumer</w:t>
      </w:r>
      <w:proofErr w:type="spellEnd"/>
      <w:r w:rsidRPr="003943A0">
        <w:rPr>
          <w:b/>
          <w:bCs/>
          <w:lang w:val="sk-SK" w:bidi="bo-CN"/>
        </w:rPr>
        <w:t xml:space="preserve"> </w:t>
      </w:r>
      <w:proofErr w:type="spellStart"/>
      <w:r w:rsidRPr="003943A0">
        <w:rPr>
          <w:b/>
          <w:bCs/>
          <w:lang w:val="sk-SK" w:bidi="bo-CN"/>
        </w:rPr>
        <w:t>Brands</w:t>
      </w:r>
      <w:proofErr w:type="spellEnd"/>
      <w:r w:rsidRPr="003943A0">
        <w:rPr>
          <w:lang w:val="sk-SK" w:bidi="bo-CN"/>
        </w:rPr>
        <w:t xml:space="preserve"> za prvých šesť mesiacov roku 2024 dosiahol hodnotu 5 266 miliónov eur (2. štvrťrok: 2 662 miliónov eur),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čo nominálne predstavuje zhoršenie o 1,8 percenta.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b/>
          <w:bCs/>
          <w:lang w:val="sk-SK" w:bidi="bo-CN"/>
        </w:rPr>
        <w:t xml:space="preserve">Organicky </w:t>
      </w:r>
      <w:r w:rsidRPr="003943A0">
        <w:rPr>
          <w:lang w:val="sk-SK" w:bidi="bo-CN"/>
        </w:rPr>
        <w:t>sa obrat zvýšil o 4,3 percenta (2. štvrťrok: +3,3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lang w:val="sk-SK" w:bidi="bo-CN"/>
        </w:rPr>
        <w:t xml:space="preserve">Hlavným faktorom uvedeného zvýšenia bol pozitívny cenový vývoj na úrovni 5,1 percenta. </w:t>
      </w:r>
      <w:r w:rsidRPr="003943A0">
        <w:rPr>
          <w:rFonts w:cs="Segoe UI"/>
          <w:szCs w:val="22"/>
          <w:lang w:val="sk-SK" w:bidi="bo-CN"/>
        </w:rPr>
        <w:t xml:space="preserve">Objem predaja sa naopak mierne znížil, o 0,9 percenta, predovšetkým v dôsledku </w:t>
      </w:r>
      <w:r w:rsidRPr="003943A0">
        <w:rPr>
          <w:rFonts w:cs="Segoe UI"/>
          <w:szCs w:val="22"/>
          <w:lang w:val="sk-SK" w:bidi="bo-CN"/>
        </w:rPr>
        <w:lastRenderedPageBreak/>
        <w:t>pokračujúcich opatrení zameraných na optimalizáciu portfólia.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>Napriek tomu sa vývoj objemu v porovnaní s predchádzajúcim štvrťrokom v druhom štvrťroku 2024 postupne zlepšoval.</w:t>
      </w:r>
    </w:p>
    <w:p w14:paraId="5120DBA2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7496B9E1" w14:textId="77777777" w:rsidR="00B07E6F" w:rsidRPr="0069097A" w:rsidRDefault="00B07E6F" w:rsidP="00B07E6F">
      <w:pPr>
        <w:rPr>
          <w:lang w:val="sk-SK"/>
        </w:rPr>
      </w:pPr>
      <w:r w:rsidRPr="003943A0">
        <w:rPr>
          <w:rFonts w:cs="Segoe UI"/>
          <w:szCs w:val="22"/>
          <w:lang w:val="sk-SK" w:bidi="bo-CN"/>
        </w:rPr>
        <w:t xml:space="preserve">Segment </w:t>
      </w:r>
      <w:r w:rsidRPr="003943A0">
        <w:rPr>
          <w:rFonts w:cs="Segoe UI"/>
          <w:b/>
          <w:bCs/>
          <w:szCs w:val="22"/>
          <w:lang w:val="sk-SK" w:bidi="bo-CN"/>
        </w:rPr>
        <w:t xml:space="preserve">pracích a čistiacich prostriedkov pre domácnosť </w:t>
      </w:r>
      <w:r w:rsidRPr="003943A0">
        <w:rPr>
          <w:rFonts w:cs="Segoe UI"/>
          <w:szCs w:val="22"/>
          <w:lang w:val="sk-SK" w:bidi="bo-CN"/>
        </w:rPr>
        <w:t>zaznamenal silný organický rast obratu na úrovni 3,1 percenta (2. štvrťrok: +1,5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Organický rast obratu v segmente pracích prostriedkov bol spôsobený predovšetkým dvojciferným rastom v kategórii aviváží a silným rastom obratu v kategórii pracích prípravkov.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Výrazný rast v segmente čistiacich prostriedkov pre domácnosť bol predovšetkým výsledkom dvojciferného zvýšenia obratu v kategóriách umývacích prípravkov na riad a čistiacich prípravkov na WC.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Trhový segment </w:t>
      </w:r>
      <w:r w:rsidRPr="003943A0">
        <w:rPr>
          <w:rFonts w:cs="Segoe UI"/>
          <w:b/>
          <w:bCs/>
          <w:szCs w:val="22"/>
          <w:lang w:val="sk-SK" w:bidi="bo-CN"/>
        </w:rPr>
        <w:t>vlasovej kozmetiky</w:t>
      </w:r>
      <w:r w:rsidRPr="003943A0">
        <w:rPr>
          <w:rFonts w:cs="Segoe UI"/>
          <w:szCs w:val="22"/>
          <w:lang w:val="sk-SK" w:bidi="bo-CN"/>
        </w:rPr>
        <w:t xml:space="preserve"> dosiahol za prvých šesť mesiacov roka výrazný organický rast obratu na úrovni 7,3 percenta (2. štvrťrok: +7,7 percenta).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Výrobky pre spotrebiteľov zaznamenali dvojciferný rast najmä vďaka kategórii </w:t>
      </w:r>
      <w:proofErr w:type="spellStart"/>
      <w:r w:rsidRPr="003943A0">
        <w:rPr>
          <w:rFonts w:cs="Segoe UI"/>
          <w:szCs w:val="22"/>
          <w:lang w:val="sk-SK" w:bidi="bo-CN"/>
        </w:rPr>
        <w:t>stylingových</w:t>
      </w:r>
      <w:proofErr w:type="spellEnd"/>
      <w:r w:rsidRPr="003943A0">
        <w:rPr>
          <w:rFonts w:cs="Segoe UI"/>
          <w:szCs w:val="22"/>
          <w:lang w:val="sk-SK" w:bidi="bo-CN"/>
        </w:rPr>
        <w:t xml:space="preserve"> prípravkov, ktorá vykazovala dvojciferné zvýšenie organického obratu v rovnakom období aj v predchádzajúcich rokoch.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>Silný organický rast obratu zaznamenal aj segment profesionálnej vlasovej kozmetiky a</w:t>
      </w:r>
      <w:r w:rsidRPr="003943A0">
        <w:rPr>
          <w:rFonts w:cs="Segoe UI"/>
          <w:szCs w:val="22"/>
          <w:lang w:val="sk-SK"/>
        </w:rPr>
        <w:t xml:space="preserve"> </w:t>
      </w:r>
      <w:r w:rsidRPr="003943A0">
        <w:rPr>
          <w:rFonts w:cs="Segoe UI"/>
          <w:szCs w:val="22"/>
          <w:lang w:val="sk-SK" w:bidi="bo-CN"/>
        </w:rPr>
        <w:t xml:space="preserve">kategória </w:t>
      </w:r>
      <w:r w:rsidRPr="003943A0">
        <w:rPr>
          <w:rFonts w:cs="Segoe UI"/>
          <w:b/>
          <w:bCs/>
          <w:szCs w:val="22"/>
          <w:lang w:val="sk-SK" w:bidi="bo-CN"/>
        </w:rPr>
        <w:t>ostatného spotrebného tovaru</w:t>
      </w:r>
      <w:r w:rsidRPr="003943A0">
        <w:rPr>
          <w:rFonts w:cs="Segoe UI"/>
          <w:szCs w:val="22"/>
          <w:lang w:val="sk-SK" w:bidi="bo-CN"/>
        </w:rPr>
        <w:t xml:space="preserve"> dosiahla organický rast obratu na úrovni 2,3 percenta (2. štvrťrok: +0,7 percenta).</w:t>
      </w:r>
      <w:r w:rsidRPr="003943A0">
        <w:rPr>
          <w:lang w:val="sk-SK"/>
        </w:rPr>
        <w:t xml:space="preserve"> </w:t>
      </w:r>
    </w:p>
    <w:p w14:paraId="5565D962" w14:textId="77777777" w:rsidR="00B07E6F" w:rsidRPr="0069097A" w:rsidRDefault="00B07E6F" w:rsidP="00B07E6F">
      <w:pPr>
        <w:rPr>
          <w:lang w:val="sk-SK"/>
        </w:rPr>
      </w:pPr>
    </w:p>
    <w:p w14:paraId="3F516D20" w14:textId="77777777" w:rsidR="00B07E6F" w:rsidRPr="003943A0" w:rsidRDefault="00B07E6F" w:rsidP="00B07E6F">
      <w:pPr>
        <w:rPr>
          <w:rFonts w:cs="Segoe UI"/>
          <w:szCs w:val="22"/>
          <w:highlight w:val="yellow"/>
          <w:lang w:val="sk-SK"/>
        </w:rPr>
      </w:pPr>
      <w:r w:rsidRPr="003943A0">
        <w:rPr>
          <w:b/>
          <w:bCs/>
          <w:lang w:val="sk-SK" w:bidi="bo-CN"/>
        </w:rPr>
        <w:t xml:space="preserve">Upravený prevádzkový zisk </w:t>
      </w:r>
      <w:r w:rsidRPr="003943A0">
        <w:rPr>
          <w:lang w:val="sk-SK" w:bidi="bo-CN"/>
        </w:rPr>
        <w:t>dosiahol hodnotu 753 miliónov eur, čo predstavuje medziročné zvýšenie o 34,8 percenta.</w:t>
      </w:r>
      <w:r w:rsidRPr="003943A0">
        <w:rPr>
          <w:lang w:val="sk-SK"/>
        </w:rPr>
        <w:t xml:space="preserve"> </w:t>
      </w:r>
      <w:r w:rsidRPr="003943A0">
        <w:rPr>
          <w:lang w:val="sk-SK" w:bidi="bo-CN"/>
        </w:rPr>
        <w:t xml:space="preserve">K uvedenému zvýšeniu prispeli vývoj predajných cien produktov a úspory, ktoré prinieslo vytvorenie integrovanej obchodnej divízie </w:t>
      </w:r>
      <w:proofErr w:type="spellStart"/>
      <w:r w:rsidRPr="003943A0">
        <w:rPr>
          <w:lang w:val="sk-SK" w:bidi="bo-CN"/>
        </w:rPr>
        <w:t>Consumer</w:t>
      </w:r>
      <w:proofErr w:type="spellEnd"/>
      <w:r w:rsidRPr="003943A0">
        <w:rPr>
          <w:lang w:val="sk-SK" w:bidi="bo-CN"/>
        </w:rPr>
        <w:t xml:space="preserve"> </w:t>
      </w:r>
      <w:proofErr w:type="spellStart"/>
      <w:r w:rsidRPr="003943A0">
        <w:rPr>
          <w:lang w:val="sk-SK" w:bidi="bo-CN"/>
        </w:rPr>
        <w:t>Brands</w:t>
      </w:r>
      <w:proofErr w:type="spellEnd"/>
      <w:r w:rsidRPr="003943A0">
        <w:rPr>
          <w:lang w:val="sk-SK" w:bidi="bo-CN"/>
        </w:rPr>
        <w:t>, ako aj súvisiaca optimalizácia produktového portfólia a valorizačné opatrenia.</w:t>
      </w:r>
      <w:r w:rsidRPr="003943A0">
        <w:rPr>
          <w:lang w:val="sk-SK"/>
        </w:rPr>
        <w:t xml:space="preserve"> </w:t>
      </w:r>
      <w:r w:rsidRPr="003943A0">
        <w:rPr>
          <w:b/>
          <w:bCs/>
          <w:lang w:val="sk-SK" w:bidi="bo-CN"/>
        </w:rPr>
        <w:t xml:space="preserve">Upravená výnosnosť predaja </w:t>
      </w:r>
      <w:r w:rsidRPr="003943A0">
        <w:rPr>
          <w:lang w:val="sk-SK" w:bidi="bo-CN"/>
        </w:rPr>
        <w:t>sa výrazne zvýšila o 390 bázických bodov na úroveň 14,3 percenta.</w:t>
      </w:r>
    </w:p>
    <w:p w14:paraId="31D44D60" w14:textId="77777777" w:rsidR="00B07E6F" w:rsidRPr="0069097A" w:rsidRDefault="00B07E6F" w:rsidP="00B07E6F">
      <w:pPr>
        <w:spacing w:after="120"/>
        <w:rPr>
          <w:rFonts w:cs="Segoe UI"/>
          <w:b/>
          <w:szCs w:val="22"/>
          <w:lang w:val="sk-SK"/>
        </w:rPr>
      </w:pPr>
    </w:p>
    <w:p w14:paraId="38A9332B" w14:textId="77777777" w:rsidR="00B07E6F" w:rsidRPr="003943A0" w:rsidRDefault="00B07E6F" w:rsidP="00B07E6F">
      <w:pPr>
        <w:spacing w:after="120"/>
        <w:rPr>
          <w:rFonts w:cs="Segoe UI"/>
          <w:b/>
          <w:szCs w:val="22"/>
          <w:lang w:val="sk-SK"/>
        </w:rPr>
      </w:pPr>
      <w:r w:rsidRPr="003943A0">
        <w:rPr>
          <w:rFonts w:cs="Segoe UI"/>
          <w:b/>
          <w:szCs w:val="22"/>
          <w:lang w:val="sk-SK" w:bidi="bo-CN"/>
        </w:rPr>
        <w:t>Implementácia agendy rastu napreduje stálym tempom</w:t>
      </w:r>
    </w:p>
    <w:p w14:paraId="4E1CC38D" w14:textId="77777777" w:rsidR="00B07E6F" w:rsidRPr="003943A0" w:rsidRDefault="00B07E6F" w:rsidP="00B07E6F">
      <w:pPr>
        <w:spacing w:after="120"/>
        <w:rPr>
          <w:rFonts w:cs="Segoe UI"/>
          <w:bCs/>
          <w:szCs w:val="22"/>
          <w:lang w:val="sk-SK"/>
        </w:rPr>
      </w:pPr>
      <w:bookmarkStart w:id="5" w:name="_Hlk109204398"/>
      <w:r w:rsidRPr="003943A0">
        <w:rPr>
          <w:rFonts w:cs="Segoe UI"/>
          <w:bCs/>
          <w:szCs w:val="22"/>
          <w:lang w:val="sk-SK" w:bidi="bo-CN"/>
        </w:rPr>
        <w:t>V prvom polroku 2024 spoločnosť Henkel pokračovala v konzistentnom plnení strategických priorít v rámci svojej agendy pre zmysluplný rast a dosiahla výrazný pokrok vo všetkých jej oblastiach.</w:t>
      </w:r>
    </w:p>
    <w:p w14:paraId="4086C446" w14:textId="77777777" w:rsidR="00B07E6F" w:rsidRPr="003943A0" w:rsidRDefault="00B07E6F" w:rsidP="00B07E6F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3943A0">
        <w:rPr>
          <w:rFonts w:cs="Segoe UI"/>
          <w:b/>
          <w:bCs/>
          <w:szCs w:val="22"/>
          <w:lang w:val="sk-SK" w:eastAsia="de-DE" w:bidi="bo-CN"/>
        </w:rPr>
        <w:t>Zlučovanie</w:t>
      </w:r>
      <w:r w:rsidRPr="003943A0">
        <w:rPr>
          <w:rFonts w:cs="Segoe UI"/>
          <w:szCs w:val="22"/>
          <w:lang w:val="sk-SK" w:eastAsia="de-DE" w:bidi="bo-CN"/>
        </w:rPr>
        <w:t xml:space="preserve"> bývalých dvoch obchodných divízií </w:t>
      </w:r>
      <w:proofErr w:type="spellStart"/>
      <w:r w:rsidRPr="003943A0">
        <w:rPr>
          <w:rFonts w:cs="Segoe UI"/>
          <w:szCs w:val="22"/>
          <w:lang w:val="sk-SK" w:eastAsia="de-DE" w:bidi="bo-CN"/>
        </w:rPr>
        <w:t>Laundry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&amp; Home </w:t>
      </w:r>
      <w:proofErr w:type="spellStart"/>
      <w:r w:rsidRPr="003943A0">
        <w:rPr>
          <w:rFonts w:cs="Segoe UI"/>
          <w:szCs w:val="22"/>
          <w:lang w:val="sk-SK" w:eastAsia="de-DE" w:bidi="bo-CN"/>
        </w:rPr>
        <w:t>Care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a </w:t>
      </w:r>
      <w:proofErr w:type="spellStart"/>
      <w:r w:rsidRPr="003943A0">
        <w:rPr>
          <w:rFonts w:cs="Segoe UI"/>
          <w:szCs w:val="22"/>
          <w:lang w:val="sk-SK" w:eastAsia="de-DE" w:bidi="bo-CN"/>
        </w:rPr>
        <w:t>Beauty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eastAsia="de-DE" w:bidi="bo-CN"/>
        </w:rPr>
        <w:t>Care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do jednej divízie </w:t>
      </w:r>
      <w:proofErr w:type="spellStart"/>
      <w:r w:rsidRPr="003943A0">
        <w:rPr>
          <w:rFonts w:cs="Segoe UI"/>
          <w:b/>
          <w:bCs/>
          <w:szCs w:val="22"/>
          <w:lang w:val="sk-SK" w:eastAsia="de-DE" w:bidi="bo-CN"/>
        </w:rPr>
        <w:t>Consumer</w:t>
      </w:r>
      <w:proofErr w:type="spellEnd"/>
      <w:r w:rsidRPr="003943A0">
        <w:rPr>
          <w:rFonts w:cs="Segoe UI"/>
          <w:b/>
          <w:bCs/>
          <w:szCs w:val="22"/>
          <w:lang w:val="sk-SK" w:eastAsia="de-DE" w:bidi="bo-CN"/>
        </w:rPr>
        <w:t xml:space="preserve"> </w:t>
      </w:r>
      <w:proofErr w:type="spellStart"/>
      <w:r w:rsidRPr="003943A0">
        <w:rPr>
          <w:rFonts w:cs="Segoe UI"/>
          <w:b/>
          <w:bCs/>
          <w:szCs w:val="22"/>
          <w:lang w:val="sk-SK" w:eastAsia="de-DE" w:bidi="bo-CN"/>
        </w:rPr>
        <w:t>Brands</w:t>
      </w:r>
      <w:proofErr w:type="spellEnd"/>
      <w:r w:rsidRPr="003943A0">
        <w:rPr>
          <w:rFonts w:cs="Segoe UI"/>
          <w:szCs w:val="22"/>
          <w:lang w:val="sk-SK" w:eastAsia="de-DE" w:bidi="bo-CN"/>
        </w:rPr>
        <w:t>, ktoré prebieha v dvoch fázach, úspešne napredovalo aj v prvom polroku 2024 a spoločnosti Henkel prinieslo ďalšie prevádzkové úspory.</w:t>
      </w:r>
      <w:r w:rsidRPr="003943A0">
        <w:rPr>
          <w:rFonts w:cs="Segoe UI"/>
          <w:szCs w:val="22"/>
          <w:lang w:val="sk-SK" w:eastAsia="de-DE"/>
        </w:rPr>
        <w:t xml:space="preserve"> </w:t>
      </w:r>
      <w:r w:rsidRPr="003943A0">
        <w:rPr>
          <w:rFonts w:cs="Segoe UI"/>
          <w:szCs w:val="22"/>
          <w:lang w:val="sk-SK" w:eastAsia="de-DE" w:bidi="bo-CN"/>
        </w:rPr>
        <w:t>Spoločnosť plánuje v rámci obidvoch fáz integračného procesu ušetriť celkovo 525 miliónov eur,</w:t>
      </w:r>
      <w:r w:rsidRPr="003943A0">
        <w:rPr>
          <w:rFonts w:cs="Segoe UI"/>
          <w:szCs w:val="22"/>
          <w:lang w:val="sk-SK" w:eastAsia="de-DE"/>
        </w:rPr>
        <w:t xml:space="preserve"> </w:t>
      </w:r>
      <w:bookmarkEnd w:id="5"/>
      <w:r w:rsidRPr="003943A0">
        <w:rPr>
          <w:rFonts w:cs="Segoe UI"/>
          <w:szCs w:val="22"/>
          <w:lang w:val="sk-SK" w:eastAsia="de-DE" w:bidi="bo-CN"/>
        </w:rPr>
        <w:t>čo by sa malo v plnom rozsahu prejaviť do konca roka 2026.</w:t>
      </w:r>
    </w:p>
    <w:p w14:paraId="0D249949" w14:textId="77777777" w:rsidR="00B07E6F" w:rsidRPr="0069097A" w:rsidRDefault="00B07E6F" w:rsidP="00B07E6F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50192F8E" w14:textId="77777777" w:rsidR="00B07E6F" w:rsidRPr="003943A0" w:rsidRDefault="00B07E6F" w:rsidP="00B07E6F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3943A0">
        <w:rPr>
          <w:rFonts w:cs="Segoe UI"/>
          <w:szCs w:val="22"/>
          <w:lang w:val="sk-SK" w:eastAsia="de-DE" w:bidi="bo-CN"/>
        </w:rPr>
        <w:lastRenderedPageBreak/>
        <w:t xml:space="preserve">V rámci druhej fázy integrácie, ktorá sa zameriava na </w:t>
      </w:r>
      <w:proofErr w:type="spellStart"/>
      <w:r w:rsidRPr="003943A0">
        <w:rPr>
          <w:rFonts w:cs="Segoe UI"/>
          <w:szCs w:val="22"/>
          <w:lang w:val="sk-SK" w:eastAsia="de-DE" w:bidi="bo-CN"/>
        </w:rPr>
        <w:t>excelentnosť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dodávateľského reťazca obchodnej divízie </w:t>
      </w:r>
      <w:proofErr w:type="spellStart"/>
      <w:r w:rsidRPr="003943A0">
        <w:rPr>
          <w:rFonts w:cs="Segoe UI"/>
          <w:szCs w:val="22"/>
          <w:lang w:val="sk-SK" w:eastAsia="de-DE" w:bidi="bo-CN"/>
        </w:rPr>
        <w:t>Consumer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eastAsia="de-DE" w:bidi="bo-CN"/>
        </w:rPr>
        <w:t>Brands</w:t>
      </w:r>
      <w:proofErr w:type="spellEnd"/>
      <w:r w:rsidRPr="003943A0">
        <w:rPr>
          <w:rFonts w:cs="Segoe UI"/>
          <w:szCs w:val="22"/>
          <w:lang w:val="sk-SK" w:eastAsia="de-DE" w:bidi="bo-CN"/>
        </w:rPr>
        <w:t>, bol už v takmer 30 krajinách zavedený takzvaný princíp 1-1-1.</w:t>
      </w:r>
      <w:r w:rsidRPr="003943A0">
        <w:rPr>
          <w:rFonts w:cs="Segoe UI"/>
          <w:szCs w:val="22"/>
          <w:lang w:val="sk-SK" w:eastAsia="de-DE"/>
        </w:rPr>
        <w:t xml:space="preserve"> </w:t>
      </w:r>
      <w:r w:rsidRPr="003943A0">
        <w:rPr>
          <w:rFonts w:cs="Segoe UI"/>
          <w:szCs w:val="22"/>
          <w:lang w:val="sk-SK" w:eastAsia="de-DE" w:bidi="bo-CN"/>
        </w:rPr>
        <w:t>Jeho súčasťou je integrácia obchodných činností s podporou optimalizovaných logistických procesov v súlade s princípom „</w:t>
      </w:r>
      <w:r w:rsidRPr="004165FC">
        <w:rPr>
          <w:rFonts w:cs="Segoe UI"/>
          <w:i/>
          <w:iCs/>
          <w:szCs w:val="22"/>
          <w:lang w:val="sk-SK" w:eastAsia="de-DE" w:bidi="bo-CN"/>
        </w:rPr>
        <w:t>jedna tvár pre zákazníka</w:t>
      </w:r>
      <w:r w:rsidRPr="003943A0">
        <w:rPr>
          <w:rFonts w:cs="Segoe UI"/>
          <w:szCs w:val="22"/>
          <w:lang w:val="sk-SK" w:eastAsia="de-DE" w:bidi="bo-CN"/>
        </w:rPr>
        <w:t>“,</w:t>
      </w:r>
      <w:r w:rsidRPr="003943A0">
        <w:rPr>
          <w:rFonts w:cs="Segoe UI"/>
          <w:szCs w:val="22"/>
          <w:lang w:val="sk-SK" w:eastAsia="de-DE"/>
        </w:rPr>
        <w:t xml:space="preserve"> </w:t>
      </w:r>
      <w:r w:rsidRPr="003943A0">
        <w:rPr>
          <w:rFonts w:cs="Segoe UI"/>
          <w:szCs w:val="22"/>
          <w:lang w:val="sk-SK" w:eastAsia="de-DE" w:bidi="bo-CN"/>
        </w:rPr>
        <w:t>teda jedna objednávka, jedna dodávka, jedna faktúra.</w:t>
      </w:r>
      <w:r w:rsidRPr="003943A0">
        <w:rPr>
          <w:rFonts w:cs="Segoe UI"/>
          <w:szCs w:val="22"/>
          <w:lang w:val="sk-SK" w:eastAsia="de-DE"/>
        </w:rPr>
        <w:t xml:space="preserve"> </w:t>
      </w:r>
      <w:r w:rsidRPr="003943A0">
        <w:rPr>
          <w:rFonts w:cs="Segoe UI"/>
          <w:szCs w:val="22"/>
          <w:lang w:val="sk-SK" w:eastAsia="de-DE" w:bidi="bo-CN"/>
        </w:rPr>
        <w:t xml:space="preserve">Okrem toho pokračovala optimalizácia a konsolidácia výrobnej a logistickej siete v trhovom segmente pracích a čistiacich prostriedkov pre domácnosť napríklad v USA a krajinách východnej </w:t>
      </w:r>
      <w:r w:rsidRPr="00EB065D">
        <w:rPr>
          <w:rFonts w:cs="Segoe UI"/>
          <w:szCs w:val="22"/>
          <w:lang w:val="sk-SK" w:eastAsia="de-DE" w:bidi="bo-CN"/>
        </w:rPr>
        <w:t>Európy.</w:t>
      </w:r>
      <w:r w:rsidRPr="00EB065D">
        <w:rPr>
          <w:rFonts w:cs="Segoe UI"/>
          <w:szCs w:val="22"/>
          <w:lang w:val="sk-SK" w:eastAsia="de-DE"/>
        </w:rPr>
        <w:t xml:space="preserve"> </w:t>
      </w:r>
      <w:r w:rsidRPr="00EB065D">
        <w:rPr>
          <w:rFonts w:cs="Segoe UI"/>
          <w:szCs w:val="22"/>
          <w:lang w:val="sk-SK" w:eastAsia="de-DE" w:bidi="bo-CN"/>
        </w:rPr>
        <w:t>Uvedené opatrenia už celkovo pomohli znížiť komplexnosť celého procesu o približne 16 percent.</w:t>
      </w:r>
    </w:p>
    <w:p w14:paraId="7142309A" w14:textId="77777777" w:rsidR="00B07E6F" w:rsidRPr="0069097A" w:rsidRDefault="00B07E6F" w:rsidP="00B07E6F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134F71DE" w14:textId="77777777" w:rsidR="00B07E6F" w:rsidRPr="003943A0" w:rsidRDefault="00B07E6F" w:rsidP="00B07E6F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3943A0">
        <w:rPr>
          <w:rFonts w:cs="Segoe UI"/>
          <w:szCs w:val="22"/>
          <w:lang w:val="sk-SK" w:eastAsia="de-DE" w:bidi="bo-CN"/>
        </w:rPr>
        <w:t xml:space="preserve">Spoločnosť zároveň pokračovala aj v optimalizácii portfólia divízie </w:t>
      </w:r>
      <w:proofErr w:type="spellStart"/>
      <w:r w:rsidRPr="003943A0">
        <w:rPr>
          <w:rFonts w:cs="Segoe UI"/>
          <w:szCs w:val="22"/>
          <w:lang w:val="sk-SK" w:eastAsia="de-DE" w:bidi="bo-CN"/>
        </w:rPr>
        <w:t>Consumer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EB065D">
        <w:rPr>
          <w:rFonts w:cs="Segoe UI"/>
          <w:szCs w:val="22"/>
          <w:lang w:val="sk-SK" w:eastAsia="de-DE" w:bidi="bo-CN"/>
        </w:rPr>
        <w:t>Brands</w:t>
      </w:r>
      <w:proofErr w:type="spellEnd"/>
      <w:r w:rsidRPr="00EB065D">
        <w:rPr>
          <w:rFonts w:cs="Segoe UI"/>
          <w:szCs w:val="22"/>
          <w:lang w:val="sk-SK" w:eastAsia="de-DE" w:bidi="bo-CN"/>
        </w:rPr>
        <w:t>,</w:t>
      </w:r>
      <w:r w:rsidRPr="00EB065D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bCs/>
          <w:szCs w:val="22"/>
          <w:lang w:val="sk-SK" w:bidi="bo-CN"/>
        </w:rPr>
        <w:t>v rámci ktorej sa</w:t>
      </w:r>
      <w:r w:rsidRPr="00EB065D">
        <w:rPr>
          <w:rFonts w:cs="Segoe UI"/>
          <w:bCs/>
          <w:szCs w:val="22"/>
          <w:lang w:val="sk-SK" w:bidi="bo-CN"/>
        </w:rPr>
        <w:t xml:space="preserve"> najnovšie zamerala na segment pracích a čistiacich prostriedkov pre do</w:t>
      </w:r>
      <w:r w:rsidRPr="003943A0">
        <w:rPr>
          <w:rFonts w:cs="Segoe UI"/>
          <w:bCs/>
          <w:szCs w:val="22"/>
          <w:lang w:val="sk-SK" w:bidi="bo-CN"/>
        </w:rPr>
        <w:t>mácnosť na severoamerických trhoch.</w:t>
      </w:r>
    </w:p>
    <w:p w14:paraId="69D0171B" w14:textId="77777777" w:rsidR="00B07E6F" w:rsidRPr="0069097A" w:rsidRDefault="00B07E6F" w:rsidP="00B07E6F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 w:eastAsia="de-DE"/>
        </w:rPr>
      </w:pPr>
    </w:p>
    <w:p w14:paraId="6F134F42" w14:textId="77777777" w:rsidR="00B07E6F" w:rsidRPr="003943A0" w:rsidRDefault="00B07E6F" w:rsidP="00B07E6F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3943A0">
        <w:rPr>
          <w:rFonts w:cs="Segoe UI"/>
          <w:bCs/>
          <w:szCs w:val="22"/>
          <w:lang w:val="sk-SK" w:bidi="bo-CN"/>
        </w:rPr>
        <w:t xml:space="preserve">S cieľom ďalej posilňovať svoju </w:t>
      </w:r>
      <w:r w:rsidRPr="003943A0">
        <w:rPr>
          <w:rFonts w:cs="Segoe UI"/>
          <w:b/>
          <w:szCs w:val="22"/>
          <w:lang w:val="sk-SK" w:bidi="bo-CN"/>
        </w:rPr>
        <w:t xml:space="preserve">konkurencieschopnosť </w:t>
      </w:r>
      <w:r w:rsidRPr="003943A0">
        <w:rPr>
          <w:rFonts w:cs="Segoe UI"/>
          <w:bCs/>
          <w:szCs w:val="22"/>
          <w:lang w:val="sk-SK" w:bidi="bo-CN"/>
        </w:rPr>
        <w:t>sa spoločnosť Henkel zameriava na inovácie v atraktívnych trhových a podnikateľských segmentoch,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ktoré aj v prvom polroku 2024 prispievali k rastu obidvoch jej obchodných divízií.</w:t>
      </w:r>
      <w:r w:rsidRPr="003943A0">
        <w:rPr>
          <w:rFonts w:cs="Segoe UI"/>
          <w:bCs/>
          <w:szCs w:val="22"/>
          <w:lang w:val="sk-SK"/>
        </w:rPr>
        <w:t xml:space="preserve"> </w:t>
      </w:r>
      <w:bookmarkStart w:id="6" w:name="_Hlk140221026"/>
      <w:bookmarkStart w:id="7" w:name="_Hlk109382178"/>
      <w:r w:rsidRPr="003943A0">
        <w:rPr>
          <w:rFonts w:cs="Segoe UI"/>
          <w:bCs/>
          <w:szCs w:val="22"/>
          <w:lang w:val="sk-SK" w:bidi="bo-CN"/>
        </w:rPr>
        <w:t xml:space="preserve">V rámci obchodnej divízie </w:t>
      </w:r>
      <w:proofErr w:type="spellStart"/>
      <w:r w:rsidRPr="003943A0">
        <w:rPr>
          <w:rFonts w:cs="Segoe UI"/>
          <w:b/>
          <w:szCs w:val="22"/>
          <w:lang w:val="sk-SK" w:bidi="bo-CN"/>
        </w:rPr>
        <w:t>Adhesive</w:t>
      </w:r>
      <w:proofErr w:type="spellEnd"/>
      <w:r w:rsidRPr="003943A0">
        <w:rPr>
          <w:rFonts w:cs="Segoe UI"/>
          <w:b/>
          <w:szCs w:val="22"/>
          <w:lang w:val="sk-SK" w:bidi="bo-CN"/>
        </w:rPr>
        <w:t xml:space="preserve"> Technologies</w:t>
      </w:r>
      <w:r w:rsidRPr="003943A0">
        <w:rPr>
          <w:rFonts w:cs="Segoe UI"/>
          <w:bCs/>
          <w:szCs w:val="22"/>
          <w:lang w:val="sk-SK" w:bidi="bo-CN"/>
        </w:rPr>
        <w:t xml:space="preserve"> spoločnosť Henkel pozorne sleduje trend vývoja smerom k integrovanejším komponentom</w:t>
      </w:r>
      <w:r>
        <w:rPr>
          <w:rFonts w:cs="Segoe UI"/>
          <w:bCs/>
          <w:szCs w:val="22"/>
          <w:lang w:val="sk-SK" w:bidi="bo-CN"/>
        </w:rPr>
        <w:t xml:space="preserve"> pre automobilový priemysel</w:t>
      </w:r>
      <w:r w:rsidRPr="003943A0">
        <w:rPr>
          <w:rFonts w:cs="Segoe UI"/>
          <w:bCs/>
          <w:szCs w:val="22"/>
          <w:lang w:val="sk-SK" w:bidi="bo-CN"/>
        </w:rPr>
        <w:t>, ktorý zvyšuje dopyt po inovatívnych lepiacich a spájacích riešeniach.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Príkladom je integrácia elektronických komponentov, ktoré prinášajú vysoký úžitok pre automobily bez ohľadu na typ pohonnej jednotky.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Zároveň ide o vysoko komplexnú oblasť s veľmi špecifickými požiadavkami na tepelný manažment použitých lepiacich a spájacích technológií.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 xml:space="preserve">Henkel je jedna z mála spoločností, ktoré tento trend zachytili hneď na začiatku, a spoločne s poprednými výrobcami OEM a kľúčovými dodávateľmi pneumatík spolupracuje na vývoji inovatívnych </w:t>
      </w:r>
      <w:r w:rsidRPr="005B6515">
        <w:rPr>
          <w:rFonts w:cs="Segoe UI"/>
          <w:bCs/>
          <w:szCs w:val="22"/>
          <w:lang w:val="sk-SK" w:bidi="bo-CN"/>
        </w:rPr>
        <w:t>riešení.</w:t>
      </w:r>
      <w:r w:rsidRPr="005B6515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Očakáva sa, že</w:t>
      </w:r>
      <w:r w:rsidRPr="005B6515">
        <w:rPr>
          <w:rFonts w:cs="Segoe UI"/>
          <w:bCs/>
          <w:szCs w:val="22"/>
          <w:lang w:val="sk-SK" w:bidi="bo-CN"/>
        </w:rPr>
        <w:t xml:space="preserve"> rastový potenciál trhu s takýmito integrovanými komponentmi </w:t>
      </w:r>
      <w:r>
        <w:rPr>
          <w:rFonts w:cs="Segoe UI"/>
          <w:bCs/>
          <w:szCs w:val="22"/>
          <w:lang w:val="sk-SK" w:bidi="bo-CN"/>
        </w:rPr>
        <w:t xml:space="preserve">dosiahne </w:t>
      </w:r>
      <w:r w:rsidRPr="005B6515">
        <w:rPr>
          <w:rFonts w:cs="Segoe UI"/>
          <w:bCs/>
          <w:szCs w:val="22"/>
          <w:lang w:val="sk-SK" w:bidi="bo-CN"/>
        </w:rPr>
        <w:t>v najbližších rokoch</w:t>
      </w:r>
      <w:r>
        <w:rPr>
          <w:rFonts w:cs="Segoe UI"/>
          <w:bCs/>
          <w:szCs w:val="22"/>
          <w:lang w:val="sk-SK" w:bidi="bo-CN"/>
        </w:rPr>
        <w:t xml:space="preserve"> viac než 20 percent</w:t>
      </w:r>
      <w:r w:rsidRPr="005B6515">
        <w:rPr>
          <w:rFonts w:cs="Segoe UI"/>
          <w:bCs/>
          <w:szCs w:val="22"/>
          <w:lang w:val="sk-SK" w:bidi="bo-CN"/>
        </w:rPr>
        <w:t>.</w:t>
      </w:r>
      <w:r w:rsidRPr="005B6515">
        <w:rPr>
          <w:rFonts w:cs="Segoe UI"/>
          <w:bCs/>
          <w:szCs w:val="22"/>
          <w:lang w:val="sk-SK"/>
        </w:rPr>
        <w:t xml:space="preserve"> </w:t>
      </w:r>
      <w:bookmarkEnd w:id="6"/>
      <w:r w:rsidRPr="005B6515">
        <w:rPr>
          <w:rFonts w:cs="Segoe UI"/>
          <w:bCs/>
          <w:szCs w:val="22"/>
          <w:lang w:val="sk-SK" w:bidi="bo-CN"/>
        </w:rPr>
        <w:t>Za</w:t>
      </w:r>
      <w:r w:rsidRPr="003943A0">
        <w:rPr>
          <w:rFonts w:cs="Segoe UI"/>
          <w:bCs/>
          <w:szCs w:val="22"/>
          <w:lang w:val="sk-SK" w:bidi="bo-CN"/>
        </w:rPr>
        <w:t xml:space="preserve"> veľmi silným organickým rastom obratu vo výške viac než 7 percent v segmente vlasovej kozmetiky v rámci obchodnej divízie </w:t>
      </w:r>
      <w:proofErr w:type="spellStart"/>
      <w:r w:rsidRPr="003943A0">
        <w:rPr>
          <w:rFonts w:cs="Segoe UI"/>
          <w:b/>
          <w:szCs w:val="22"/>
          <w:lang w:val="sk-SK" w:bidi="bo-CN"/>
        </w:rPr>
        <w:t>Consumer</w:t>
      </w:r>
      <w:proofErr w:type="spellEnd"/>
      <w:r w:rsidRPr="003943A0">
        <w:rPr>
          <w:rFonts w:cs="Segoe UI"/>
          <w:b/>
          <w:szCs w:val="22"/>
          <w:lang w:val="sk-SK" w:bidi="bo-CN"/>
        </w:rPr>
        <w:t xml:space="preserve"> </w:t>
      </w:r>
      <w:proofErr w:type="spellStart"/>
      <w:r w:rsidRPr="003943A0">
        <w:rPr>
          <w:rFonts w:cs="Segoe UI"/>
          <w:b/>
          <w:szCs w:val="22"/>
          <w:lang w:val="sk-SK" w:bidi="bo-CN"/>
        </w:rPr>
        <w:t>Brands</w:t>
      </w:r>
      <w:proofErr w:type="spellEnd"/>
      <w:r w:rsidRPr="003943A0">
        <w:rPr>
          <w:rFonts w:cs="Segoe UI"/>
          <w:bCs/>
          <w:szCs w:val="22"/>
          <w:lang w:val="sk-SK" w:bidi="bo-CN"/>
        </w:rPr>
        <w:t xml:space="preserve"> stála predovšetkým jej vlajková značka </w:t>
      </w:r>
      <w:proofErr w:type="spellStart"/>
      <w:r w:rsidRPr="003943A0">
        <w:rPr>
          <w:rFonts w:cs="Segoe UI"/>
          <w:bCs/>
          <w:szCs w:val="22"/>
          <w:lang w:val="sk-SK" w:bidi="bo-CN"/>
        </w:rPr>
        <w:t>Schwarzkopf</w:t>
      </w:r>
      <w:proofErr w:type="spellEnd"/>
      <w:r w:rsidRPr="003943A0">
        <w:rPr>
          <w:rFonts w:cs="Segoe UI"/>
          <w:bCs/>
          <w:szCs w:val="22"/>
          <w:lang w:val="sk-SK" w:bidi="bo-CN"/>
        </w:rPr>
        <w:t xml:space="preserve"> – a to tak v kategórii spotrebiteľských, aj profesionálnych vlasových prípravkov.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>V tomto segmente sa jej podarilo dosiahnuť pozitívny vývoj objemu predaja už štvrtý štvrťrok po sebe.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 xml:space="preserve">Zároveň zvýšila svoj trhový podiel o 40 bázických bodov v segmente </w:t>
      </w:r>
      <w:proofErr w:type="spellStart"/>
      <w:r w:rsidRPr="003943A0">
        <w:rPr>
          <w:rFonts w:cs="Segoe UI"/>
          <w:bCs/>
          <w:szCs w:val="22"/>
          <w:lang w:val="sk-SK" w:bidi="bo-CN"/>
        </w:rPr>
        <w:t>stylingových</w:t>
      </w:r>
      <w:proofErr w:type="spellEnd"/>
      <w:r w:rsidRPr="003943A0">
        <w:rPr>
          <w:rFonts w:cs="Segoe UI"/>
          <w:bCs/>
          <w:szCs w:val="22"/>
          <w:lang w:val="sk-SK" w:bidi="bo-CN"/>
        </w:rPr>
        <w:t xml:space="preserve"> prípravkov aj farieb na vlasy.</w:t>
      </w:r>
      <w:r w:rsidRPr="003943A0">
        <w:rPr>
          <w:rFonts w:cs="Segoe UI"/>
          <w:bCs/>
          <w:szCs w:val="22"/>
          <w:lang w:val="sk-SK"/>
        </w:rPr>
        <w:t xml:space="preserve"> </w:t>
      </w:r>
      <w:r w:rsidRPr="003943A0">
        <w:rPr>
          <w:rFonts w:cs="Segoe UI"/>
          <w:bCs/>
          <w:szCs w:val="22"/>
          <w:lang w:val="sk-SK" w:bidi="bo-CN"/>
        </w:rPr>
        <w:t xml:space="preserve">Okrem toho trhový reštart produktov </w:t>
      </w:r>
      <w:proofErr w:type="spellStart"/>
      <w:r w:rsidRPr="003943A0">
        <w:rPr>
          <w:rFonts w:cs="Segoe UI"/>
          <w:bCs/>
          <w:szCs w:val="22"/>
          <w:lang w:val="sk-SK" w:bidi="bo-CN"/>
        </w:rPr>
        <w:t>Gliss</w:t>
      </w:r>
      <w:proofErr w:type="spellEnd"/>
      <w:r w:rsidRPr="003943A0">
        <w:rPr>
          <w:rFonts w:cs="Segoe UI"/>
          <w:bCs/>
          <w:szCs w:val="22"/>
          <w:lang w:val="sk-SK" w:bidi="bo-CN"/>
        </w:rPr>
        <w:t xml:space="preserve"> s novým zložením pre 100 % silnejšie vlasy viedol k dvojcifernému organickému </w:t>
      </w:r>
      <w:r>
        <w:rPr>
          <w:rFonts w:cs="Segoe UI"/>
          <w:bCs/>
          <w:szCs w:val="22"/>
          <w:lang w:val="sk-SK" w:bidi="bo-CN"/>
        </w:rPr>
        <w:t xml:space="preserve">rastu </w:t>
      </w:r>
      <w:r w:rsidRPr="003943A0">
        <w:rPr>
          <w:rFonts w:cs="Segoe UI"/>
          <w:bCs/>
          <w:szCs w:val="22"/>
          <w:lang w:val="sk-SK" w:bidi="bo-CN"/>
        </w:rPr>
        <w:t>obratu značky v prvom polroku.</w:t>
      </w:r>
    </w:p>
    <w:p w14:paraId="52D478C2" w14:textId="77777777" w:rsidR="00B07E6F" w:rsidRPr="0069097A" w:rsidRDefault="00B07E6F" w:rsidP="00B07E6F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3C2985F7" w14:textId="77777777" w:rsidR="00B07E6F" w:rsidRPr="003943A0" w:rsidRDefault="00B07E6F" w:rsidP="00B07E6F">
      <w:pPr>
        <w:rPr>
          <w:rFonts w:cs="Segoe UI"/>
          <w:szCs w:val="22"/>
          <w:lang w:val="sk-SK" w:eastAsia="de-DE"/>
        </w:rPr>
      </w:pPr>
      <w:bookmarkStart w:id="8" w:name="_Hlk140061007"/>
      <w:bookmarkEnd w:id="7"/>
      <w:r w:rsidRPr="000F56D6">
        <w:rPr>
          <w:rFonts w:cs="Segoe UI"/>
          <w:i/>
          <w:iCs/>
          <w:szCs w:val="22"/>
          <w:lang w:val="sk-SK" w:eastAsia="de-DE" w:bidi="bo-CN"/>
        </w:rPr>
        <w:lastRenderedPageBreak/>
        <w:t xml:space="preserve"> „Z celkového pohľadu sme veľmi spokojní s trhovými výsledkami spoločnosti Henkel za prvý polrok a hrdí na pokrok, ktorý sme dosiahli pri implementácii našej agendy strategického rastu,“</w:t>
      </w:r>
      <w:r w:rsidRPr="003943A0">
        <w:rPr>
          <w:rFonts w:cs="Segoe UI"/>
          <w:szCs w:val="22"/>
          <w:lang w:val="sk-SK" w:eastAsia="de-DE" w:bidi="bo-CN"/>
        </w:rPr>
        <w:t xml:space="preserve"> zhodnotil </w:t>
      </w:r>
      <w:proofErr w:type="spellStart"/>
      <w:r w:rsidRPr="003943A0">
        <w:rPr>
          <w:rFonts w:cs="Segoe UI"/>
          <w:szCs w:val="22"/>
          <w:lang w:val="sk-SK" w:eastAsia="de-DE" w:bidi="bo-CN"/>
        </w:rPr>
        <w:t>Carsten</w:t>
      </w:r>
      <w:proofErr w:type="spellEnd"/>
      <w:r w:rsidRPr="003943A0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3943A0">
        <w:rPr>
          <w:rFonts w:cs="Segoe UI"/>
          <w:szCs w:val="22"/>
          <w:lang w:val="sk-SK" w:eastAsia="de-DE" w:bidi="bo-CN"/>
        </w:rPr>
        <w:t>Knobel</w:t>
      </w:r>
      <w:proofErr w:type="spellEnd"/>
      <w:r w:rsidRPr="003943A0">
        <w:rPr>
          <w:rFonts w:cs="Segoe UI"/>
          <w:szCs w:val="22"/>
          <w:lang w:val="sk-SK" w:eastAsia="de-DE" w:bidi="bo-CN"/>
        </w:rPr>
        <w:t>.</w:t>
      </w:r>
      <w:r w:rsidRPr="003943A0">
        <w:rPr>
          <w:rFonts w:cs="Segoe UI"/>
          <w:szCs w:val="22"/>
          <w:lang w:val="sk-SK" w:eastAsia="de-DE"/>
        </w:rPr>
        <w:t xml:space="preserve"> </w:t>
      </w:r>
      <w:r w:rsidRPr="000F56D6">
        <w:rPr>
          <w:rFonts w:cs="Segoe UI"/>
          <w:i/>
          <w:iCs/>
          <w:szCs w:val="22"/>
          <w:lang w:val="sk-SK" w:eastAsia="de-DE" w:bidi="bo-CN"/>
        </w:rPr>
        <w:t>„Plníme, k čomu sme sa zaviazali a čo sme oznámili.</w:t>
      </w:r>
      <w:r w:rsidRPr="000F56D6">
        <w:rPr>
          <w:rFonts w:cs="Segoe UI"/>
          <w:i/>
          <w:iCs/>
          <w:szCs w:val="22"/>
          <w:lang w:val="sk-SK" w:eastAsia="de-DE"/>
        </w:rPr>
        <w:t xml:space="preserve"> </w:t>
      </w:r>
      <w:r w:rsidRPr="000F56D6">
        <w:rPr>
          <w:rFonts w:cs="Segoe UI"/>
          <w:i/>
          <w:iCs/>
          <w:szCs w:val="22"/>
          <w:lang w:val="sk-SK" w:eastAsia="de-DE" w:bidi="bo-CN"/>
        </w:rPr>
        <w:t>A pokrok je hmatateľný: v našom podnikaní, v obrate aj vo výnosoch.</w:t>
      </w:r>
      <w:r w:rsidRPr="000F56D6">
        <w:rPr>
          <w:rFonts w:cs="Segoe UI"/>
          <w:i/>
          <w:iCs/>
          <w:szCs w:val="22"/>
          <w:lang w:val="sk-SK" w:eastAsia="de-DE"/>
        </w:rPr>
        <w:t xml:space="preserve"> </w:t>
      </w:r>
      <w:r w:rsidRPr="000F56D6">
        <w:rPr>
          <w:rFonts w:cs="Segoe UI"/>
          <w:i/>
          <w:iCs/>
          <w:szCs w:val="22"/>
          <w:lang w:val="sk-SK" w:eastAsia="de-DE" w:bidi="bo-CN"/>
        </w:rPr>
        <w:t>Meníme Henkel odvážnymi rozhodnutiami pre úspešnú budúcnosť.</w:t>
      </w:r>
      <w:r w:rsidRPr="000F56D6">
        <w:rPr>
          <w:rFonts w:cs="Segoe UI"/>
          <w:i/>
          <w:iCs/>
          <w:szCs w:val="22"/>
          <w:lang w:val="sk-SK" w:eastAsia="de-DE"/>
        </w:rPr>
        <w:t xml:space="preserve"> </w:t>
      </w:r>
      <w:r w:rsidRPr="000F56D6">
        <w:rPr>
          <w:rFonts w:cs="Segoe UI"/>
          <w:i/>
          <w:iCs/>
          <w:szCs w:val="22"/>
          <w:lang w:val="sk-SK" w:eastAsia="de-DE" w:bidi="bo-CN"/>
        </w:rPr>
        <w:t xml:space="preserve">S jasnou stratégiou sme na správnej ceste k ďalšiemu </w:t>
      </w:r>
      <w:proofErr w:type="spellStart"/>
      <w:r w:rsidRPr="000F56D6">
        <w:rPr>
          <w:rFonts w:cs="Segoe UI"/>
          <w:i/>
          <w:iCs/>
          <w:szCs w:val="22"/>
          <w:lang w:val="sk-SK" w:eastAsia="de-DE" w:bidi="bo-CN"/>
        </w:rPr>
        <w:t>profitabilnému</w:t>
      </w:r>
      <w:proofErr w:type="spellEnd"/>
      <w:r w:rsidRPr="000F56D6">
        <w:rPr>
          <w:rFonts w:cs="Segoe UI"/>
          <w:i/>
          <w:iCs/>
          <w:szCs w:val="22"/>
          <w:lang w:val="sk-SK" w:eastAsia="de-DE" w:bidi="bo-CN"/>
        </w:rPr>
        <w:t xml:space="preserve"> rastu.“</w:t>
      </w:r>
    </w:p>
    <w:bookmarkEnd w:id="8"/>
    <w:p w14:paraId="20052641" w14:textId="77777777" w:rsidR="00B07E6F" w:rsidRPr="0069097A" w:rsidRDefault="00B07E6F" w:rsidP="00B07E6F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Default="001864C0" w:rsidP="001864C0">
      <w:pPr>
        <w:rPr>
          <w:rStyle w:val="AboutandContactHeadline"/>
          <w:lang w:val="sk-SK"/>
        </w:rPr>
      </w:pPr>
    </w:p>
    <w:p w14:paraId="4EFFF1B2" w14:textId="77777777" w:rsidR="00AA04AB" w:rsidRPr="00CC6429" w:rsidRDefault="00AA04AB" w:rsidP="00AA04AB">
      <w:pPr>
        <w:pStyle w:val="Normlnywebov"/>
        <w:shd w:val="clear" w:color="auto" w:fill="FFFFFF"/>
        <w:suppressAutoHyphens/>
        <w:spacing w:after="120"/>
        <w:rPr>
          <w:rFonts w:ascii="Segoe UI" w:hAnsi="Segoe UI" w:cs="Segoe UI"/>
          <w:i/>
          <w:iCs/>
          <w:color w:val="3B3B3B"/>
          <w:sz w:val="15"/>
          <w:szCs w:val="15"/>
          <w:lang w:val="sk-SK"/>
        </w:rPr>
      </w:pP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Tento dokument obsahuje stanoviská týkajúce sa budúceho obchodného vývoja, finančných výsledkov a ďalších udalostí alebo skutočností relevantných pre spoločnosť Henkel z pohľadu budúceho rozvoja.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 xml:space="preserve">Takéto stanoviská sa opierajú o aktuálne odhady a predpoklady vypracované manažmentom spoločnosti Henkel AG &amp; Co. </w:t>
      </w:r>
      <w:proofErr w:type="spellStart"/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KGaA</w:t>
      </w:r>
      <w:proofErr w:type="spellEnd"/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Tieto stanoviská nie je možné chápať ako zaručujúce akýmkoľvek spôsobom, že dané predikcie sú presné.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 xml:space="preserve">Budúca výkonnosť ako aj reálne dosiahnuté výsledky spoločnosti Henkel AG &amp; Co. </w:t>
      </w:r>
      <w:proofErr w:type="spellStart"/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KGaA</w:t>
      </w:r>
      <w:proofErr w:type="spellEnd"/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 xml:space="preserve"> a jej sesterských spoločností závisia od celého radu rizikových faktorov a neistôt, a preto sa môžu podstatne odkláňať od výhľadových stanovísk (tak negatívne, ako aj pozitívne).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Na mnohé z nich spoločnosť Henkel nemá priamy dosah a vopred ich nie je možné presne odhadnúť, ako napríklad, aké bude ekonomické prostredie v budúcnosti a aké budú kroky konkurentov a iných subjektov pôsobiacich na trhu.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Spoločnosť Henkel nemá v úmysle a ani neprijme kroky na účely aktualizácie týchto stanovísk.</w:t>
      </w:r>
    </w:p>
    <w:p w14:paraId="4BE80CAF" w14:textId="77777777" w:rsidR="00AA04AB" w:rsidRPr="00CC6429" w:rsidRDefault="00AA04AB" w:rsidP="00AA04AB">
      <w:pPr>
        <w:pStyle w:val="Normlnywebov"/>
        <w:shd w:val="clear" w:color="auto" w:fill="FFFFFF"/>
        <w:suppressAutoHyphens/>
        <w:spacing w:after="120"/>
        <w:rPr>
          <w:rFonts w:ascii="Segoe UI" w:hAnsi="Segoe UI" w:cs="Segoe UI"/>
          <w:i/>
          <w:iCs/>
          <w:color w:val="3B3B3B"/>
          <w:sz w:val="15"/>
          <w:szCs w:val="15"/>
          <w:lang w:val="sk-SK"/>
        </w:rPr>
      </w:pP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 xml:space="preserve">Tieto doplňujúce finančné ukazovatele by sa nemali vykladať osobitne alebo ako alternatívne ukazovatele k ukazovateľom čistých aktív a finančnej pozície spoločnosti Henkel alebo k výsledkom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lastRenderedPageBreak/>
        <w:t>podnikania, ktoré sú v súlade s platným rámcom finančného výkazníctva prezentované v konsolidovanej účtovnej závierke spoločnosti.</w:t>
      </w:r>
      <w:r w:rsidRPr="00CC6429">
        <w:rPr>
          <w:rStyle w:val="Zvraznenie"/>
          <w:rFonts w:ascii="Segoe UI" w:hAnsi="Segoe UI" w:cs="Segoe UI"/>
          <w:color w:val="3B3B3B"/>
          <w:sz w:val="15"/>
          <w:szCs w:val="15"/>
          <w:lang w:val="sk-SK"/>
        </w:rPr>
        <w:t xml:space="preserve"> </w:t>
      </w: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Iné spoločnosti, ktoré vykazujú alebo uvádzajú alternatívne ukazovatele výkonnosti s podobnými názvami, môžu počítať ich hodnoty odlišne.</w:t>
      </w:r>
    </w:p>
    <w:p w14:paraId="203B794E" w14:textId="77777777" w:rsidR="00AA04AB" w:rsidRPr="00CC6429" w:rsidRDefault="00AA04AB" w:rsidP="00AA04AB">
      <w:pPr>
        <w:pStyle w:val="Normlnywebov"/>
        <w:shd w:val="clear" w:color="auto" w:fill="FFFFFF"/>
        <w:suppressAutoHyphens/>
        <w:spacing w:after="120"/>
        <w:rPr>
          <w:rFonts w:ascii="Segoe UI" w:hAnsi="Segoe UI" w:cs="Segoe UI"/>
          <w:i/>
          <w:iCs/>
          <w:color w:val="3B3B3B"/>
          <w:sz w:val="15"/>
          <w:szCs w:val="15"/>
          <w:lang w:val="sk-SK"/>
        </w:rPr>
      </w:pPr>
      <w:r w:rsidRPr="00CC6429">
        <w:rPr>
          <w:rStyle w:val="Zvraznenie"/>
          <w:rFonts w:ascii="Segoe UI" w:hAnsi="Segoe UI" w:cs="Segoe UI"/>
          <w:sz w:val="15"/>
          <w:szCs w:val="15"/>
          <w:lang w:val="sk-SK" w:bidi="bo-CN"/>
        </w:rPr>
        <w:t>Tento dokument slúži výlučne na informačné účely a nepredstavuje investičnú radu ani ponuku na predaj alebo kúpu akýchkoľvek cenných papierov.</w:t>
      </w: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AFAC" w14:textId="77777777" w:rsidR="000A44A0" w:rsidRDefault="000A44A0">
      <w:r>
        <w:separator/>
      </w:r>
    </w:p>
  </w:endnote>
  <w:endnote w:type="continuationSeparator" w:id="0">
    <w:p w14:paraId="259BE4B4" w14:textId="77777777" w:rsidR="000A44A0" w:rsidRDefault="000A44A0">
      <w:r>
        <w:continuationSeparator/>
      </w:r>
    </w:p>
  </w:endnote>
  <w:endnote w:type="continuationNotice" w:id="1">
    <w:p w14:paraId="1B040658" w14:textId="77777777" w:rsidR="000A44A0" w:rsidRDefault="000A4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F56D6">
      <w:fldChar w:fldCharType="begin"/>
    </w:r>
    <w:r w:rsidR="000F56D6">
      <w:instrText>NUMPAGES  \* Arabic  \* MERGEFORMAT</w:instrText>
    </w:r>
    <w:r w:rsidR="000F56D6">
      <w:fldChar w:fldCharType="separate"/>
    </w:r>
    <w:r>
      <w:t>2</w:t>
    </w:r>
    <w:r w:rsidR="000F56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7125" w14:textId="77777777" w:rsidR="000A44A0" w:rsidRDefault="000A44A0">
      <w:r>
        <w:separator/>
      </w:r>
    </w:p>
  </w:footnote>
  <w:footnote w:type="continuationSeparator" w:id="0">
    <w:p w14:paraId="7AE48B92" w14:textId="77777777" w:rsidR="000A44A0" w:rsidRDefault="000A44A0">
      <w:r>
        <w:continuationSeparator/>
      </w:r>
    </w:p>
  </w:footnote>
  <w:footnote w:type="continuationNotice" w:id="1">
    <w:p w14:paraId="1243502C" w14:textId="77777777" w:rsidR="000A44A0" w:rsidRDefault="000A44A0">
      <w:pPr>
        <w:spacing w:line="240" w:lineRule="auto"/>
      </w:pPr>
    </w:p>
  </w:footnote>
  <w:footnote w:id="2">
    <w:p w14:paraId="4EE86DF2" w14:textId="77777777" w:rsidR="00B07E6F" w:rsidRPr="00B07E6F" w:rsidRDefault="00B07E6F" w:rsidP="00B07E6F">
      <w:pPr>
        <w:pStyle w:val="Textpoznmkypodiarou"/>
        <w:rPr>
          <w:lang w:val="pl-PL"/>
        </w:rPr>
      </w:pPr>
      <w:r w:rsidRPr="00B07E6F">
        <w:rPr>
          <w:rStyle w:val="Odkaznapoznmkupodiarou"/>
          <w:lang w:val="pl-PL"/>
        </w:rPr>
        <w:t>*</w:t>
      </w:r>
      <w:r w:rsidRPr="00B07E6F">
        <w:rPr>
          <w:lang w:val="pl-PL"/>
        </w:rPr>
        <w:t xml:space="preserve"> </w:t>
      </w:r>
      <w:r w:rsidRPr="003943A0">
        <w:rPr>
          <w:sz w:val="18"/>
          <w:szCs w:val="16"/>
          <w:lang w:val="sk-SK" w:bidi="bo-CN"/>
        </w:rPr>
        <w:t>Upravené o jednorazové výdavky a príjmy a náklady na reštrukturalizáciu.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40AFE"/>
    <w:multiLevelType w:val="hybridMultilevel"/>
    <w:tmpl w:val="FFFFFFFF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7"/>
  </w:num>
  <w:num w:numId="4" w16cid:durableId="1658344630">
    <w:abstractNumId w:val="15"/>
  </w:num>
  <w:num w:numId="5" w16cid:durableId="2132553883">
    <w:abstractNumId w:val="13"/>
  </w:num>
  <w:num w:numId="6" w16cid:durableId="545726518">
    <w:abstractNumId w:val="16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2136946152">
    <w:abstractNumId w:val="14"/>
  </w:num>
  <w:num w:numId="18" w16cid:durableId="1325279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3B8D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56D6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41E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11706"/>
    <w:rsid w:val="004165FC"/>
    <w:rsid w:val="004313E7"/>
    <w:rsid w:val="0044763B"/>
    <w:rsid w:val="00451F34"/>
    <w:rsid w:val="004629B3"/>
    <w:rsid w:val="0046376E"/>
    <w:rsid w:val="00464E68"/>
    <w:rsid w:val="0046690F"/>
    <w:rsid w:val="00472FEC"/>
    <w:rsid w:val="00476AE2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302E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4523F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84747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42692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1B6F"/>
    <w:rsid w:val="00A66DB1"/>
    <w:rsid w:val="00A67A92"/>
    <w:rsid w:val="00A87870"/>
    <w:rsid w:val="00A91A70"/>
    <w:rsid w:val="00AA04AB"/>
    <w:rsid w:val="00AA1B85"/>
    <w:rsid w:val="00AB1CB6"/>
    <w:rsid w:val="00AB1D9A"/>
    <w:rsid w:val="00AD44FE"/>
    <w:rsid w:val="00AE49F1"/>
    <w:rsid w:val="00AF0654"/>
    <w:rsid w:val="00AF21ED"/>
    <w:rsid w:val="00B05CCA"/>
    <w:rsid w:val="00B07E6F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1411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1671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25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4B4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poznmkupodiarou">
    <w:name w:val="footnote reference"/>
    <w:basedOn w:val="Predvolenpsmoodseku"/>
    <w:uiPriority w:val="99"/>
    <w:unhideWhenUsed/>
    <w:rsid w:val="00B07E6F"/>
    <w:rPr>
      <w:rFonts w:cs="Times New Roman"/>
      <w:vertAlign w:val="superscript"/>
    </w:rPr>
  </w:style>
  <w:style w:type="paragraph" w:customStyle="1" w:styleId="He01FlietextAufzhlung2Ebene">
    <w:name w:val="_He_01_Fließtext Aufzählung 2. Ebene"/>
    <w:next w:val="Normlny"/>
    <w:qFormat/>
    <w:rsid w:val="00B07E6F"/>
    <w:pPr>
      <w:numPr>
        <w:numId w:val="18"/>
      </w:numPr>
      <w:spacing w:after="160"/>
    </w:pPr>
    <w:rPr>
      <w:sz w:val="22"/>
      <w:szCs w:val="22"/>
      <w:lang w:val="de-DE"/>
    </w:rPr>
  </w:style>
  <w:style w:type="paragraph" w:customStyle="1" w:styleId="He02berschriftEbene2">
    <w:name w:val="_He_02_Überschrift Ebene 2"/>
    <w:next w:val="Normlny"/>
    <w:qFormat/>
    <w:rsid w:val="00AA04AB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character" w:styleId="Zvraznenie">
    <w:name w:val="Emphasis"/>
    <w:basedOn w:val="Predvolenpsmoodseku"/>
    <w:uiPriority w:val="20"/>
    <w:qFormat/>
    <w:rsid w:val="00AA0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99</TotalTime>
  <Pages>9</Pages>
  <Words>2890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</cp:lastModifiedBy>
  <cp:revision>33</cp:revision>
  <cp:lastPrinted>2016-11-16T01:11:00Z</cp:lastPrinted>
  <dcterms:created xsi:type="dcterms:W3CDTF">2023-08-01T23:38:00Z</dcterms:created>
  <dcterms:modified xsi:type="dcterms:W3CDTF">2024-08-16T16:03:00Z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