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1FFA7B21" w:rsidR="00B422EC" w:rsidRPr="005C7954" w:rsidRDefault="00081692" w:rsidP="005C7954">
      <w:pPr>
        <w:pStyle w:val="MonthDayYear"/>
        <w:rPr>
          <w:sz w:val="20"/>
          <w:szCs w:val="18"/>
        </w:rPr>
      </w:pPr>
      <w:r w:rsidRPr="005C7954">
        <w:rPr>
          <w:sz w:val="20"/>
          <w:szCs w:val="18"/>
        </w:rPr>
        <w:tab/>
        <w:t>13 серпня 2024 р.</w:t>
      </w:r>
    </w:p>
    <w:p w14:paraId="42E18679" w14:textId="0DF2F262" w:rsidR="00033476" w:rsidRPr="005C7954" w:rsidRDefault="00033476" w:rsidP="00033476">
      <w:pPr>
        <w:pStyle w:val="MonthDayYear"/>
        <w:tabs>
          <w:tab w:val="left" w:pos="7513"/>
        </w:tabs>
        <w:jc w:val="left"/>
        <w:rPr>
          <w:sz w:val="20"/>
          <w:szCs w:val="18"/>
        </w:rPr>
      </w:pPr>
    </w:p>
    <w:p w14:paraId="60F0AAB2" w14:textId="0C9A6F32" w:rsidR="00033476" w:rsidRPr="005C7954" w:rsidRDefault="0058377F" w:rsidP="00033476">
      <w:pPr>
        <w:pStyle w:val="Topline"/>
        <w:spacing w:after="360"/>
        <w:rPr>
          <w:rFonts w:asciiTheme="majorHAnsi" w:hAnsiTheme="majorHAnsi" w:cstheme="majorHAnsi"/>
          <w:sz w:val="20"/>
          <w:szCs w:val="20"/>
        </w:rPr>
      </w:pPr>
      <w:r w:rsidRPr="005C7954">
        <w:rPr>
          <w:rFonts w:asciiTheme="majorHAnsi" w:hAnsiTheme="majorHAnsi"/>
          <w:sz w:val="20"/>
          <w:szCs w:val="20"/>
        </w:rPr>
        <w:t>Високі результати за перше півріччя підтверджують успішну реалізацію стратегії зростання</w:t>
      </w:r>
    </w:p>
    <w:p w14:paraId="0BD1473C" w14:textId="3C7CED4F" w:rsidR="00033476" w:rsidRPr="005C7954" w:rsidRDefault="00033476" w:rsidP="00202C65">
      <w:pPr>
        <w:jc w:val="left"/>
        <w:rPr>
          <w:rStyle w:val="Headline"/>
          <w:rFonts w:asciiTheme="majorHAnsi" w:hAnsiTheme="majorHAnsi" w:cstheme="majorHAnsi"/>
          <w:sz w:val="28"/>
          <w:szCs w:val="22"/>
        </w:rPr>
      </w:pPr>
      <w:r w:rsidRPr="005C7954">
        <w:rPr>
          <w:rStyle w:val="Headline"/>
          <w:rFonts w:asciiTheme="majorHAnsi" w:hAnsiTheme="majorHAnsi"/>
          <w:sz w:val="28"/>
          <w:szCs w:val="22"/>
        </w:rPr>
        <w:t>«</w:t>
      </w:r>
      <w:proofErr w:type="spellStart"/>
      <w:r w:rsidRPr="005C7954">
        <w:rPr>
          <w:rStyle w:val="Headline"/>
          <w:rFonts w:asciiTheme="majorHAnsi" w:hAnsiTheme="majorHAnsi"/>
          <w:sz w:val="28"/>
          <w:szCs w:val="22"/>
        </w:rPr>
        <w:t>Хенкель</w:t>
      </w:r>
      <w:proofErr w:type="spellEnd"/>
      <w:r w:rsidRPr="005C7954">
        <w:rPr>
          <w:rStyle w:val="Headline"/>
          <w:rFonts w:asciiTheme="majorHAnsi" w:hAnsiTheme="majorHAnsi"/>
          <w:sz w:val="28"/>
          <w:szCs w:val="22"/>
        </w:rPr>
        <w:t>» демонструє хороші показники органічного зростання продажів і дуже високі показники прибутку в першому півріччі 2024 року</w:t>
      </w:r>
    </w:p>
    <w:p w14:paraId="76A670BB" w14:textId="77777777" w:rsidR="00033476" w:rsidRPr="005C7954" w:rsidRDefault="00033476" w:rsidP="00033476">
      <w:pPr>
        <w:rPr>
          <w:sz w:val="20"/>
          <w:szCs w:val="22"/>
        </w:rPr>
      </w:pPr>
    </w:p>
    <w:p w14:paraId="6A3FAF04" w14:textId="224386FD" w:rsidR="00033476" w:rsidRPr="005C7954" w:rsidRDefault="00083F9D" w:rsidP="00EA7DEB">
      <w:pPr>
        <w:pStyle w:val="ListParagraph"/>
        <w:numPr>
          <w:ilvl w:val="0"/>
          <w:numId w:val="7"/>
        </w:numPr>
        <w:spacing w:after="80"/>
        <w:ind w:left="284" w:right="-108" w:hanging="357"/>
        <w:contextualSpacing w:val="0"/>
        <w:jc w:val="left"/>
        <w:rPr>
          <w:rFonts w:asciiTheme="majorHAnsi" w:hAnsiTheme="majorHAnsi" w:cstheme="majorHAnsi"/>
          <w:b/>
          <w:sz w:val="20"/>
          <w:szCs w:val="20"/>
        </w:rPr>
      </w:pPr>
      <w:bookmarkStart w:id="0" w:name="_Hlk140061525"/>
      <w:bookmarkStart w:id="1" w:name="_Hlk43712519"/>
      <w:r w:rsidRPr="005C7954">
        <w:rPr>
          <w:rFonts w:asciiTheme="majorHAnsi" w:hAnsiTheme="majorHAnsi"/>
          <w:b/>
          <w:sz w:val="20"/>
          <w:szCs w:val="22"/>
        </w:rPr>
        <w:t xml:space="preserve">Продажі Групи в першому півріччі зросли в органічному вираженні на 2,9 % </w:t>
      </w:r>
      <w:r w:rsidR="005F287F">
        <w:rPr>
          <w:rFonts w:asciiTheme="majorHAnsi" w:hAnsiTheme="majorHAnsi"/>
          <w:b/>
          <w:sz w:val="20"/>
          <w:szCs w:val="22"/>
        </w:rPr>
        <w:t>–</w:t>
      </w:r>
      <w:r w:rsidR="005F287F">
        <w:t xml:space="preserve"> </w:t>
      </w:r>
      <w:r w:rsidRPr="005C7954">
        <w:rPr>
          <w:rFonts w:asciiTheme="majorHAnsi" w:hAnsiTheme="majorHAnsi"/>
          <w:b/>
          <w:sz w:val="20"/>
          <w:szCs w:val="22"/>
        </w:rPr>
        <w:t>до близько 10,8 млрд євро (в номінальному вираженні –1,0 %). Зростання зафіксовано в обох бізнес-підрозділах.</w:t>
      </w:r>
    </w:p>
    <w:p w14:paraId="282A1AAD" w14:textId="55E39964" w:rsidR="00033476" w:rsidRPr="005C7954" w:rsidRDefault="00083F9D" w:rsidP="00521891">
      <w:pPr>
        <w:pStyle w:val="ListParagraph"/>
        <w:numPr>
          <w:ilvl w:val="0"/>
          <w:numId w:val="7"/>
        </w:numPr>
        <w:spacing w:after="80"/>
        <w:ind w:left="284" w:right="-108" w:hanging="357"/>
        <w:contextualSpacing w:val="0"/>
        <w:jc w:val="left"/>
        <w:rPr>
          <w:rFonts w:asciiTheme="majorHAnsi" w:hAnsiTheme="majorHAnsi" w:cstheme="majorHAnsi"/>
          <w:b/>
          <w:sz w:val="20"/>
          <w:szCs w:val="20"/>
        </w:rPr>
      </w:pPr>
      <w:r w:rsidRPr="005C7954">
        <w:rPr>
          <w:rFonts w:asciiTheme="majorHAnsi" w:hAnsiTheme="majorHAnsi"/>
          <w:b/>
          <w:sz w:val="20"/>
          <w:szCs w:val="22"/>
        </w:rPr>
        <w:t>Операційний прибуток (EBIT)*: дуже сильне зростання до 1 610 млн євро (+28,4 %)</w:t>
      </w:r>
    </w:p>
    <w:p w14:paraId="724E19BD" w14:textId="05604F7E" w:rsidR="00033476" w:rsidRPr="005C7954" w:rsidRDefault="00083F9D" w:rsidP="00521891">
      <w:pPr>
        <w:pStyle w:val="ListParagraph"/>
        <w:numPr>
          <w:ilvl w:val="0"/>
          <w:numId w:val="7"/>
        </w:numPr>
        <w:spacing w:after="80"/>
        <w:ind w:left="284" w:right="-108" w:hanging="357"/>
        <w:contextualSpacing w:val="0"/>
        <w:jc w:val="left"/>
        <w:rPr>
          <w:rFonts w:asciiTheme="majorHAnsi" w:hAnsiTheme="majorHAnsi" w:cstheme="majorHAnsi"/>
          <w:b/>
          <w:sz w:val="20"/>
          <w:szCs w:val="20"/>
        </w:rPr>
      </w:pPr>
      <w:r w:rsidRPr="005C7954">
        <w:rPr>
          <w:rFonts w:asciiTheme="majorHAnsi" w:hAnsiTheme="majorHAnsi"/>
          <w:b/>
          <w:sz w:val="20"/>
          <w:szCs w:val="22"/>
        </w:rPr>
        <w:t>Рентабельність за показником EBIT* також дуже сильно зросла до 14,9 % (+340 базисних пунктів)</w:t>
      </w:r>
    </w:p>
    <w:p w14:paraId="393E5F06" w14:textId="08908B4B" w:rsidR="00033476" w:rsidRPr="005C7954" w:rsidRDefault="00083F9D" w:rsidP="00416DCF">
      <w:pPr>
        <w:pStyle w:val="ListParagraph"/>
        <w:numPr>
          <w:ilvl w:val="0"/>
          <w:numId w:val="7"/>
        </w:numPr>
        <w:spacing w:after="80"/>
        <w:ind w:left="284" w:right="-108" w:hanging="357"/>
        <w:contextualSpacing w:val="0"/>
        <w:jc w:val="left"/>
        <w:rPr>
          <w:rFonts w:asciiTheme="majorHAnsi" w:hAnsiTheme="majorHAnsi" w:cstheme="majorHAnsi"/>
          <w:b/>
          <w:sz w:val="20"/>
          <w:szCs w:val="20"/>
        </w:rPr>
      </w:pPr>
      <w:r w:rsidRPr="005C7954">
        <w:rPr>
          <w:rFonts w:asciiTheme="majorHAnsi" w:hAnsiTheme="majorHAnsi"/>
          <w:b/>
          <w:sz w:val="20"/>
          <w:szCs w:val="22"/>
        </w:rPr>
        <w:t>Прибуток на привілейовану акцію (EPS)* збільшився приблизно на третину до 2,78 євро, що становить +32,9 % за постійним обмінним курсом</w:t>
      </w:r>
    </w:p>
    <w:p w14:paraId="4ED26747" w14:textId="61B1FEAF" w:rsidR="00871FF6" w:rsidRPr="005C7954" w:rsidRDefault="00083F9D" w:rsidP="00521891">
      <w:pPr>
        <w:pStyle w:val="ListParagraph"/>
        <w:numPr>
          <w:ilvl w:val="0"/>
          <w:numId w:val="7"/>
        </w:numPr>
        <w:spacing w:after="80"/>
        <w:ind w:left="284" w:right="-108"/>
        <w:contextualSpacing w:val="0"/>
        <w:jc w:val="left"/>
        <w:rPr>
          <w:rFonts w:asciiTheme="majorHAnsi" w:hAnsiTheme="majorHAnsi" w:cstheme="majorHAnsi"/>
          <w:b/>
          <w:sz w:val="20"/>
          <w:szCs w:val="20"/>
        </w:rPr>
      </w:pPr>
      <w:r w:rsidRPr="005C7954">
        <w:rPr>
          <w:rFonts w:asciiTheme="majorHAnsi" w:hAnsiTheme="majorHAnsi"/>
          <w:b/>
          <w:sz w:val="20"/>
          <w:szCs w:val="22"/>
        </w:rPr>
        <w:t>Дуже хороший вільний грошовий потік розмір</w:t>
      </w:r>
      <w:r w:rsidR="005F287F">
        <w:rPr>
          <w:rFonts w:asciiTheme="majorHAnsi" w:hAnsiTheme="majorHAnsi"/>
          <w:b/>
          <w:sz w:val="20"/>
          <w:szCs w:val="22"/>
        </w:rPr>
        <w:t>ом</w:t>
      </w:r>
      <w:r w:rsidRPr="005C7954">
        <w:rPr>
          <w:rFonts w:asciiTheme="majorHAnsi" w:hAnsiTheme="majorHAnsi"/>
          <w:b/>
          <w:sz w:val="20"/>
          <w:szCs w:val="22"/>
        </w:rPr>
        <w:t xml:space="preserve"> близько 800 млн євро</w:t>
      </w:r>
    </w:p>
    <w:bookmarkEnd w:id="0"/>
    <w:p w14:paraId="0BB3FCBD" w14:textId="77777777" w:rsidR="00063BE9" w:rsidRPr="005C7954" w:rsidRDefault="00063BE9" w:rsidP="00063BE9">
      <w:pPr>
        <w:pStyle w:val="ListParagraph"/>
        <w:numPr>
          <w:ilvl w:val="0"/>
          <w:numId w:val="7"/>
        </w:numPr>
        <w:spacing w:after="80"/>
        <w:ind w:left="284" w:right="-108" w:hanging="357"/>
        <w:contextualSpacing w:val="0"/>
        <w:jc w:val="left"/>
        <w:rPr>
          <w:rFonts w:asciiTheme="majorHAnsi" w:hAnsiTheme="majorHAnsi" w:cstheme="majorHAnsi"/>
          <w:b/>
          <w:sz w:val="20"/>
          <w:szCs w:val="20"/>
        </w:rPr>
      </w:pPr>
      <w:r w:rsidRPr="005C7954">
        <w:rPr>
          <w:rFonts w:asciiTheme="majorHAnsi" w:hAnsiTheme="majorHAnsi"/>
          <w:b/>
          <w:sz w:val="20"/>
          <w:szCs w:val="22"/>
        </w:rPr>
        <w:t>Подальший прогрес у реалізації стратегічної програми зростання</w:t>
      </w:r>
    </w:p>
    <w:p w14:paraId="7ACB2441" w14:textId="25E8E9C0" w:rsidR="00700939" w:rsidRPr="005C7954" w:rsidRDefault="0058377F" w:rsidP="00083F9D">
      <w:pPr>
        <w:pStyle w:val="ListParagraph"/>
        <w:numPr>
          <w:ilvl w:val="0"/>
          <w:numId w:val="7"/>
        </w:numPr>
        <w:spacing w:after="80"/>
        <w:ind w:left="284" w:right="-108" w:hanging="357"/>
        <w:contextualSpacing w:val="0"/>
        <w:jc w:val="left"/>
        <w:rPr>
          <w:rFonts w:asciiTheme="majorHAnsi" w:hAnsiTheme="majorHAnsi" w:cstheme="majorHAnsi"/>
          <w:b/>
          <w:sz w:val="20"/>
          <w:szCs w:val="20"/>
        </w:rPr>
      </w:pPr>
      <w:r w:rsidRPr="005C7954">
        <w:rPr>
          <w:rFonts w:asciiTheme="majorHAnsi" w:hAnsiTheme="majorHAnsi"/>
          <w:b/>
          <w:sz w:val="20"/>
          <w:szCs w:val="22"/>
        </w:rPr>
        <w:t xml:space="preserve">Прогноз прибутку на 2024 фінансовий рік </w:t>
      </w:r>
      <w:r w:rsidR="005F287F">
        <w:rPr>
          <w:rFonts w:asciiTheme="majorHAnsi" w:hAnsiTheme="majorHAnsi"/>
          <w:b/>
          <w:sz w:val="20"/>
          <w:szCs w:val="22"/>
        </w:rPr>
        <w:t>у</w:t>
      </w:r>
      <w:r w:rsidRPr="005C7954">
        <w:rPr>
          <w:rFonts w:asciiTheme="majorHAnsi" w:hAnsiTheme="majorHAnsi"/>
          <w:b/>
          <w:sz w:val="20"/>
          <w:szCs w:val="22"/>
        </w:rPr>
        <w:t>же було підвищено в середині липня:</w:t>
      </w:r>
    </w:p>
    <w:p w14:paraId="05405C96" w14:textId="13054217" w:rsidR="00700939" w:rsidRPr="005C7954" w:rsidRDefault="0058377F" w:rsidP="0058377F">
      <w:pPr>
        <w:pStyle w:val="He01FlietextAufzhlung2Ebene"/>
        <w:rPr>
          <w:sz w:val="20"/>
          <w:szCs w:val="20"/>
        </w:rPr>
      </w:pPr>
      <w:r w:rsidRPr="005C7954">
        <w:rPr>
          <w:sz w:val="20"/>
          <w:szCs w:val="20"/>
        </w:rPr>
        <w:t>Зростання продажів в органічному вираженні: від 2,5 до 4,5 % (без змін)</w:t>
      </w:r>
    </w:p>
    <w:p w14:paraId="68AF45A3" w14:textId="77777777" w:rsidR="0058377F" w:rsidRPr="005C7954" w:rsidRDefault="0058377F" w:rsidP="0058377F">
      <w:pPr>
        <w:pStyle w:val="He01FlietextAufzhlung2Ebene"/>
        <w:rPr>
          <w:sz w:val="20"/>
          <w:szCs w:val="20"/>
        </w:rPr>
      </w:pPr>
      <w:r w:rsidRPr="005C7954">
        <w:rPr>
          <w:sz w:val="20"/>
          <w:szCs w:val="20"/>
        </w:rPr>
        <w:t>Скоригована рентабельність продажів: від 13,5 до 14,5 % (попередній прогноз: від 13,0 до 14,0 %)</w:t>
      </w:r>
    </w:p>
    <w:p w14:paraId="799F73CB" w14:textId="4F48F587" w:rsidR="00700939" w:rsidRPr="005C7954" w:rsidRDefault="0058377F" w:rsidP="0058377F">
      <w:pPr>
        <w:pStyle w:val="He01FlietextAufzhlung2Ebene"/>
        <w:rPr>
          <w:sz w:val="20"/>
          <w:szCs w:val="20"/>
        </w:rPr>
      </w:pPr>
      <w:r w:rsidRPr="005C7954">
        <w:rPr>
          <w:sz w:val="20"/>
          <w:szCs w:val="20"/>
        </w:rPr>
        <w:t>Скоригований прибуток на привілейовану акцію (EPS): зростання в діапазоні від +20,0 до +30,0 % при постійному обмінному курсі (попередній прогноз: від +15,0 до +25,0 %)</w:t>
      </w:r>
    </w:p>
    <w:p w14:paraId="54B5106F" w14:textId="0C477253" w:rsidR="00DE6C0E" w:rsidRPr="005C7954" w:rsidRDefault="0058377F" w:rsidP="00F70863">
      <w:pPr>
        <w:pStyle w:val="ListParagraph"/>
        <w:numPr>
          <w:ilvl w:val="0"/>
          <w:numId w:val="7"/>
        </w:numPr>
        <w:spacing w:after="80"/>
        <w:ind w:left="284" w:right="-108" w:hanging="357"/>
        <w:contextualSpacing w:val="0"/>
        <w:jc w:val="left"/>
        <w:rPr>
          <w:sz w:val="20"/>
          <w:szCs w:val="22"/>
        </w:rPr>
      </w:pPr>
      <w:r w:rsidRPr="005C7954">
        <w:rPr>
          <w:rFonts w:asciiTheme="majorHAnsi" w:hAnsiTheme="majorHAnsi"/>
          <w:b/>
          <w:sz w:val="20"/>
          <w:szCs w:val="22"/>
        </w:rPr>
        <w:t>Середньо- та довгострокові фінансові цілі вже мають бути досягнуті в середньостроковій перспективі</w:t>
      </w:r>
    </w:p>
    <w:p w14:paraId="1ACA27E9" w14:textId="77777777" w:rsidR="00DE6C0E" w:rsidRPr="005C7954" w:rsidRDefault="00DE6C0E" w:rsidP="00DE6C0E">
      <w:pPr>
        <w:spacing w:after="80"/>
        <w:ind w:left="-73" w:right="-108"/>
        <w:jc w:val="left"/>
        <w:rPr>
          <w:sz w:val="20"/>
          <w:szCs w:val="22"/>
        </w:rPr>
      </w:pPr>
    </w:p>
    <w:p w14:paraId="71024B74" w14:textId="2E0D0CF3" w:rsidR="00417640" w:rsidRPr="005C7954" w:rsidRDefault="00521891" w:rsidP="00417640">
      <w:pPr>
        <w:rPr>
          <w:rFonts w:cs="Segoe UI"/>
          <w:sz w:val="20"/>
          <w:szCs w:val="20"/>
        </w:rPr>
      </w:pPr>
      <w:r w:rsidRPr="005C7954">
        <w:rPr>
          <w:rFonts w:asciiTheme="majorHAnsi" w:hAnsiTheme="majorHAnsi"/>
          <w:noProof/>
          <w:szCs w:val="22"/>
          <w:lang w:val="ru-RU" w:eastAsia="ru-RU"/>
        </w:rPr>
        <mc:AlternateContent>
          <mc:Choice Requires="wps">
            <w:drawing>
              <wp:anchor distT="45720" distB="45720" distL="114300" distR="114300" simplePos="0" relativeHeight="251659264" behindDoc="0" locked="0" layoutInCell="1" allowOverlap="1" wp14:anchorId="36052722" wp14:editId="3B063FBA">
                <wp:simplePos x="0" y="0"/>
                <wp:positionH relativeFrom="margin">
                  <wp:posOffset>-70485</wp:posOffset>
                </wp:positionH>
                <wp:positionV relativeFrom="paragraph">
                  <wp:posOffset>1401445</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17083" w14:textId="1FBEDC37" w:rsidR="00033476" w:rsidRPr="003F11AB" w:rsidRDefault="003F11AB" w:rsidP="00033476">
                            <w:pPr>
                              <w:autoSpaceDE w:val="0"/>
                              <w:autoSpaceDN w:val="0"/>
                              <w:adjustRightInd w:val="0"/>
                              <w:spacing w:after="60" w:line="240" w:lineRule="auto"/>
                              <w:rPr>
                                <w:sz w:val="16"/>
                                <w:szCs w:val="16"/>
                              </w:rPr>
                            </w:pPr>
                            <w:r>
                              <w:rPr>
                                <w:sz w:val="16"/>
                              </w:rPr>
                              <w:t>* Скориговано на одноразові витрати та доходи, а також на витрати на реструктуризацію.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52722" id="_x0000_t202" coordsize="21600,21600" o:spt="202" path="m,l,21600r21600,l21600,xe">
                <v:stroke joinstyle="miter"/>
                <v:path gradientshapeok="t" o:connecttype="rect"/>
              </v:shapetype>
              <v:shape id="Textfeld 8" o:spid="_x0000_s1026" type="#_x0000_t202" style="position:absolute;left:0;text-align:left;margin-left:-5.55pt;margin-top:110.35pt;width:423.25pt;height:2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" stroked="f">
                <v:textbox>
                  <w:txbxContent>
                    <w:p w14:paraId="7B317083" w14:textId="1FBEDC37" w:rsidR="00033476" w:rsidRPr="003F11AB" w:rsidRDefault="003F11AB" w:rsidP="00033476">
                      <w:pPr>
                        <w:autoSpaceDE w:val="0"/>
                        <w:autoSpaceDN w:val="0"/>
                        <w:adjustRightInd w:val="0"/>
                        <w:spacing w:after="60" w:line="240" w:lineRule="auto"/>
                        <w:rPr>
                          <w:sz w:val="16"/>
                          <w:szCs w:val="16"/>
                        </w:rPr>
                      </w:pPr>
                      <w:r>
                        <w:rPr>
                          <w:sz w:val="16"/>
                        </w:rPr>
                        <w:t>* Скориговано на одноразові витрати та доходи, а також на витрати на реструктуризацію.</w:t>
                      </w:r>
                    </w:p>
                  </w:txbxContent>
                </v:textbox>
                <w10:wrap anchorx="margin"/>
              </v:shape>
            </w:pict>
          </mc:Fallback>
        </mc:AlternateContent>
      </w:r>
      <w:r w:rsidRPr="005C7954">
        <w:rPr>
          <w:sz w:val="20"/>
          <w:szCs w:val="22"/>
        </w:rPr>
        <w:t>Дюссельдорф –</w:t>
      </w:r>
      <w:bookmarkStart w:id="2" w:name="_Hlk109033326"/>
      <w:r w:rsidRPr="005C7954">
        <w:rPr>
          <w:sz w:val="20"/>
          <w:szCs w:val="22"/>
        </w:rPr>
        <w:t xml:space="preserve"> </w:t>
      </w:r>
      <w:bookmarkEnd w:id="2"/>
      <w:r w:rsidRPr="005C7954">
        <w:rPr>
          <w:sz w:val="20"/>
          <w:szCs w:val="22"/>
        </w:rPr>
        <w:t>У першій половині 2024 року компанія «</w:t>
      </w:r>
      <w:proofErr w:type="spellStart"/>
      <w:r w:rsidRPr="005C7954">
        <w:rPr>
          <w:sz w:val="20"/>
          <w:szCs w:val="22"/>
        </w:rPr>
        <w:t>Хенкель</w:t>
      </w:r>
      <w:proofErr w:type="spellEnd"/>
      <w:r w:rsidRPr="005C7954">
        <w:rPr>
          <w:sz w:val="20"/>
          <w:szCs w:val="22"/>
        </w:rPr>
        <w:t xml:space="preserve">» зафіксувала хороше органічне зростання продажів і дуже сильне збільшення прибутку в постійно складному економічному середовищі. Таким чином, компанія успішно продовжує свій шлях прибуткового зростання. </w:t>
      </w:r>
      <w:bookmarkEnd w:id="1"/>
      <w:r w:rsidRPr="005C7954">
        <w:rPr>
          <w:sz w:val="20"/>
          <w:szCs w:val="22"/>
        </w:rPr>
        <w:t>«</w:t>
      </w:r>
      <w:r w:rsidR="00F56EC0">
        <w:rPr>
          <w:sz w:val="20"/>
          <w:szCs w:val="22"/>
        </w:rPr>
        <w:t xml:space="preserve">Загалом </w:t>
      </w:r>
      <w:r w:rsidRPr="005C7954">
        <w:rPr>
          <w:sz w:val="20"/>
          <w:szCs w:val="22"/>
        </w:rPr>
        <w:t xml:space="preserve">ми досягли дуже хороших бізнес-показників у першому півріччі. Це свідчить про те, що </w:t>
      </w:r>
      <w:r w:rsidRPr="005C7954">
        <w:rPr>
          <w:sz w:val="20"/>
          <w:szCs w:val="22"/>
        </w:rPr>
        <w:lastRenderedPageBreak/>
        <w:t xml:space="preserve">ми на правильному шляху реалізації нашої стратегії і що наша зосередженість на цілеспрямованому зростанні приносить відчутний успіх», – сказав </w:t>
      </w:r>
      <w:proofErr w:type="spellStart"/>
      <w:r w:rsidR="00355BAC" w:rsidRPr="00803B8A">
        <w:rPr>
          <w:rFonts w:cs="Arial"/>
          <w:szCs w:val="22"/>
        </w:rPr>
        <w:t>Карстен</w:t>
      </w:r>
      <w:proofErr w:type="spellEnd"/>
      <w:r w:rsidR="00355BAC" w:rsidRPr="00803B8A">
        <w:rPr>
          <w:rFonts w:cs="Arial"/>
          <w:szCs w:val="22"/>
        </w:rPr>
        <w:t xml:space="preserve"> </w:t>
      </w:r>
      <w:proofErr w:type="spellStart"/>
      <w:r w:rsidR="00355BAC" w:rsidRPr="00803B8A">
        <w:rPr>
          <w:rFonts w:cs="Arial"/>
          <w:szCs w:val="22"/>
        </w:rPr>
        <w:t>Кнобель</w:t>
      </w:r>
      <w:proofErr w:type="spellEnd"/>
      <w:r w:rsidR="00355BAC" w:rsidRPr="00803B8A">
        <w:rPr>
          <w:rFonts w:cs="Arial"/>
          <w:szCs w:val="22"/>
        </w:rPr>
        <w:t xml:space="preserve"> </w:t>
      </w:r>
      <w:r w:rsidR="00355BAC" w:rsidRPr="00710CC6">
        <w:rPr>
          <w:rFonts w:cs="Segoe UI"/>
        </w:rPr>
        <w:t>(</w:t>
      </w:r>
      <w:r w:rsidR="00355BAC" w:rsidRPr="00304AA0">
        <w:rPr>
          <w:rFonts w:cs="Segoe UI"/>
        </w:rPr>
        <w:t>Carsten</w:t>
      </w:r>
      <w:r w:rsidR="00355BAC" w:rsidRPr="00710CC6">
        <w:rPr>
          <w:rFonts w:cs="Segoe UI"/>
        </w:rPr>
        <w:t xml:space="preserve">  </w:t>
      </w:r>
      <w:proofErr w:type="spellStart"/>
      <w:r w:rsidR="00355BAC" w:rsidRPr="00304AA0">
        <w:rPr>
          <w:rFonts w:cs="Segoe UI"/>
        </w:rPr>
        <w:t>Knobel</w:t>
      </w:r>
      <w:proofErr w:type="spellEnd"/>
      <w:r w:rsidR="00355BAC" w:rsidRPr="00710CC6">
        <w:rPr>
          <w:rFonts w:cs="Segoe UI"/>
        </w:rPr>
        <w:t>)</w:t>
      </w:r>
      <w:r w:rsidR="00355BAC" w:rsidRPr="00327A72">
        <w:rPr>
          <w:rFonts w:cs="Segoe UI"/>
        </w:rPr>
        <w:t xml:space="preserve"> </w:t>
      </w:r>
      <w:r w:rsidR="00355BAC" w:rsidRPr="00710CC6">
        <w:rPr>
          <w:rFonts w:cs="Segoe UI"/>
        </w:rPr>
        <w:t>голова правління Ради директорів компанії «</w:t>
      </w:r>
      <w:proofErr w:type="spellStart"/>
      <w:r w:rsidR="00355BAC" w:rsidRPr="00710CC6">
        <w:rPr>
          <w:rFonts w:cs="Segoe UI"/>
        </w:rPr>
        <w:t>Хенкель</w:t>
      </w:r>
      <w:proofErr w:type="spellEnd"/>
      <w:r w:rsidR="00355BAC" w:rsidRPr="00710CC6">
        <w:rPr>
          <w:rFonts w:cs="Segoe UI"/>
        </w:rPr>
        <w:t>»</w:t>
      </w:r>
      <w:r w:rsidR="00355BAC">
        <w:rPr>
          <w:rFonts w:cs="Segoe UI"/>
        </w:rPr>
        <w:t>.</w:t>
      </w:r>
      <w:r w:rsidRPr="005C7954">
        <w:rPr>
          <w:sz w:val="20"/>
          <w:szCs w:val="22"/>
        </w:rPr>
        <w:t xml:space="preserve">. </w:t>
      </w:r>
    </w:p>
    <w:p w14:paraId="7DE4421C" w14:textId="10696E26" w:rsidR="00B62B2A" w:rsidRPr="005C7954" w:rsidRDefault="00B62B2A" w:rsidP="005018C2">
      <w:pPr>
        <w:rPr>
          <w:rFonts w:cs="Segoe UI"/>
          <w:sz w:val="20"/>
          <w:szCs w:val="20"/>
        </w:rPr>
      </w:pPr>
      <w:r w:rsidRPr="005C7954">
        <w:rPr>
          <w:sz w:val="20"/>
          <w:szCs w:val="22"/>
        </w:rPr>
        <w:t xml:space="preserve">«У першому півріччі органічне зростання продажів </w:t>
      </w:r>
      <w:r w:rsidR="00F56EC0">
        <w:rPr>
          <w:sz w:val="20"/>
          <w:szCs w:val="22"/>
        </w:rPr>
        <w:t xml:space="preserve">і </w:t>
      </w:r>
      <w:r w:rsidRPr="005C7954">
        <w:rPr>
          <w:sz w:val="20"/>
          <w:szCs w:val="22"/>
        </w:rPr>
        <w:t>збільшення прибутків відбулося в обох бізнес-підрозділах. Злиття наших споживчих бізнес-підрозділ</w:t>
      </w:r>
      <w:r w:rsidR="001230D7">
        <w:rPr>
          <w:sz w:val="20"/>
          <w:szCs w:val="22"/>
        </w:rPr>
        <w:t xml:space="preserve">ів </w:t>
      </w:r>
      <w:r w:rsidRPr="005C7954">
        <w:rPr>
          <w:sz w:val="20"/>
          <w:szCs w:val="22"/>
        </w:rPr>
        <w:t xml:space="preserve">є успішним, а реалізація наших стратегічних заходів та ініціатив має дуже позитивний вплив на розвиток продажів, валової маржі та прибутку. У нашому клейовому бізнес-напрямі, де ми ще більше наблизили організаційну структуру до наших клієнтів, зміни, які </w:t>
      </w:r>
      <w:r w:rsidRPr="00B71031">
        <w:rPr>
          <w:sz w:val="20"/>
          <w:szCs w:val="22"/>
        </w:rPr>
        <w:t>ми ініціювали, також суттєво с</w:t>
      </w:r>
      <w:r w:rsidRPr="005C7954">
        <w:rPr>
          <w:sz w:val="20"/>
          <w:szCs w:val="22"/>
        </w:rPr>
        <w:t>прияють позитивному розвитку компанії «</w:t>
      </w:r>
      <w:proofErr w:type="spellStart"/>
      <w:r w:rsidRPr="005C7954">
        <w:rPr>
          <w:sz w:val="20"/>
          <w:szCs w:val="22"/>
        </w:rPr>
        <w:t>Хенкель</w:t>
      </w:r>
      <w:proofErr w:type="spellEnd"/>
      <w:r w:rsidRPr="005C7954">
        <w:rPr>
          <w:sz w:val="20"/>
          <w:szCs w:val="22"/>
        </w:rPr>
        <w:t xml:space="preserve">». Наш вільний грошовий потік був сильним, перевищив і без того високий рівень першої половини 2023 року. Все це дозволяє нам і надалі цілеспрямовано інвестувати в наш бізнес і наше майбутнє: в бренди, технології </w:t>
      </w:r>
      <w:r w:rsidR="0043208D">
        <w:rPr>
          <w:sz w:val="20"/>
          <w:szCs w:val="22"/>
        </w:rPr>
        <w:t xml:space="preserve">й </w:t>
      </w:r>
      <w:r w:rsidRPr="005C7954">
        <w:rPr>
          <w:sz w:val="20"/>
          <w:szCs w:val="22"/>
        </w:rPr>
        <w:t xml:space="preserve">інновації. Крім того, ми впроваджуємо важливі ініціативи у сфері сталого розвитку та </w:t>
      </w:r>
      <w:proofErr w:type="spellStart"/>
      <w:r w:rsidRPr="005C7954">
        <w:rPr>
          <w:sz w:val="20"/>
          <w:szCs w:val="22"/>
        </w:rPr>
        <w:t>цифровізації</w:t>
      </w:r>
      <w:proofErr w:type="spellEnd"/>
      <w:r w:rsidRPr="005C7954">
        <w:rPr>
          <w:sz w:val="20"/>
          <w:szCs w:val="22"/>
        </w:rPr>
        <w:t xml:space="preserve"> для подальшого посилення наших конкурентних позицій», – додав </w:t>
      </w:r>
      <w:proofErr w:type="spellStart"/>
      <w:r w:rsidRPr="005C7954">
        <w:rPr>
          <w:sz w:val="20"/>
          <w:szCs w:val="22"/>
        </w:rPr>
        <w:t>Карстен</w:t>
      </w:r>
      <w:proofErr w:type="spellEnd"/>
      <w:r w:rsidRPr="005C7954">
        <w:rPr>
          <w:sz w:val="20"/>
          <w:szCs w:val="22"/>
        </w:rPr>
        <w:t xml:space="preserve"> </w:t>
      </w:r>
      <w:proofErr w:type="spellStart"/>
      <w:r w:rsidRPr="005C7954">
        <w:rPr>
          <w:sz w:val="20"/>
          <w:szCs w:val="22"/>
        </w:rPr>
        <w:t>Кнобель</w:t>
      </w:r>
      <w:proofErr w:type="spellEnd"/>
      <w:r w:rsidRPr="005C7954">
        <w:rPr>
          <w:sz w:val="20"/>
          <w:szCs w:val="22"/>
        </w:rPr>
        <w:t>.</w:t>
      </w:r>
    </w:p>
    <w:p w14:paraId="642A570F" w14:textId="77777777" w:rsidR="00B62B2A" w:rsidRPr="005C7954" w:rsidRDefault="00B62B2A" w:rsidP="005018C2">
      <w:pPr>
        <w:rPr>
          <w:rFonts w:cs="Segoe UI"/>
          <w:sz w:val="20"/>
          <w:szCs w:val="20"/>
        </w:rPr>
      </w:pPr>
    </w:p>
    <w:p w14:paraId="068A7763" w14:textId="752F3CEE" w:rsidR="00DC5CDA" w:rsidRPr="005C7954" w:rsidRDefault="00354B07" w:rsidP="00DE6C0E">
      <w:pPr>
        <w:rPr>
          <w:rFonts w:cs="Segoe UI"/>
          <w:sz w:val="20"/>
          <w:szCs w:val="20"/>
        </w:rPr>
      </w:pPr>
      <w:r w:rsidRPr="005C7954">
        <w:rPr>
          <w:sz w:val="20"/>
          <w:szCs w:val="22"/>
        </w:rPr>
        <w:t xml:space="preserve">«Після сильних бізнес-показників у першому півріччі ми впевнені в результатах частини року, що залишилася, і тому в середині липня підвищили наш прогноз прибутку на 2024 фінансовий рік. Ми виконуємо </w:t>
      </w:r>
      <w:bookmarkStart w:id="3" w:name="_Hlk173508051"/>
      <w:r w:rsidRPr="005C7954">
        <w:rPr>
          <w:sz w:val="20"/>
          <w:szCs w:val="22"/>
        </w:rPr>
        <w:t>взяті на себе зобов'язання</w:t>
      </w:r>
      <w:bookmarkEnd w:id="3"/>
      <w:r w:rsidRPr="005C7954">
        <w:rPr>
          <w:sz w:val="20"/>
          <w:szCs w:val="22"/>
        </w:rPr>
        <w:t xml:space="preserve"> </w:t>
      </w:r>
      <w:r w:rsidR="0043208D">
        <w:rPr>
          <w:sz w:val="20"/>
          <w:szCs w:val="22"/>
        </w:rPr>
        <w:t xml:space="preserve">та </w:t>
      </w:r>
      <w:r w:rsidRPr="005C7954">
        <w:rPr>
          <w:sz w:val="20"/>
          <w:szCs w:val="22"/>
        </w:rPr>
        <w:t xml:space="preserve">перебуваємо на правильному шляху до подальшого прибуткового зростання. Це також відображено у коригуванні наших середньо- та довгострокових фінансових планів: ми впевнені, що досягнемо цільових показників продажів </w:t>
      </w:r>
      <w:r w:rsidR="0043208D">
        <w:rPr>
          <w:sz w:val="20"/>
          <w:szCs w:val="22"/>
        </w:rPr>
        <w:t xml:space="preserve">і </w:t>
      </w:r>
      <w:r w:rsidRPr="005C7954">
        <w:rPr>
          <w:sz w:val="20"/>
          <w:szCs w:val="22"/>
        </w:rPr>
        <w:t>прибутків вже у середньостроковій перспективі».</w:t>
      </w:r>
    </w:p>
    <w:p w14:paraId="1F73CADD" w14:textId="77777777" w:rsidR="00033476" w:rsidRPr="005C7954" w:rsidRDefault="00033476" w:rsidP="00033476">
      <w:pPr>
        <w:rPr>
          <w:rFonts w:cs="Segoe UI"/>
          <w:sz w:val="20"/>
          <w:szCs w:val="20"/>
        </w:rPr>
      </w:pPr>
    </w:p>
    <w:p w14:paraId="383A3F60" w14:textId="0CEED235" w:rsidR="00033476" w:rsidRPr="005C7954" w:rsidRDefault="009D3E2E" w:rsidP="00033476">
      <w:pPr>
        <w:spacing w:after="120"/>
        <w:ind w:right="-108"/>
        <w:jc w:val="left"/>
        <w:rPr>
          <w:rFonts w:cs="Segoe UI"/>
          <w:b/>
          <w:bCs/>
          <w:sz w:val="20"/>
          <w:szCs w:val="20"/>
        </w:rPr>
      </w:pPr>
      <w:r w:rsidRPr="005C7954">
        <w:rPr>
          <w:b/>
          <w:sz w:val="20"/>
          <w:szCs w:val="22"/>
        </w:rPr>
        <w:t>Прогноз на 2024 фінансовий рік</w:t>
      </w:r>
    </w:p>
    <w:p w14:paraId="2FA16D84" w14:textId="7088E4B0" w:rsidR="00DE6C0E" w:rsidRPr="005C7954" w:rsidRDefault="00E61A7F" w:rsidP="00DE6C0E">
      <w:pPr>
        <w:rPr>
          <w:rFonts w:cs="Segoe UI"/>
          <w:sz w:val="20"/>
          <w:szCs w:val="20"/>
        </w:rPr>
      </w:pPr>
      <w:r w:rsidRPr="005C7954">
        <w:rPr>
          <w:sz w:val="20"/>
          <w:szCs w:val="22"/>
        </w:rPr>
        <w:t>Прогноз на поточний фінансовий рік, який було оновлено 3 травня 2024 року, було підвищено 17 липня в частині очікуваного прибутку. Це пов'язано, головним чином, з вищими очікуваннями щодо прибутку в бізнес-підрозділі «Споживчі бренди», в той час як компанія збільшує інвестиції в маркетинг для підтримки інновацій. У прогнозі й надалі враховуються очікування підвищення цін на прямі матеріали у другому півріччі. Наразі компанія «</w:t>
      </w:r>
      <w:proofErr w:type="spellStart"/>
      <w:r w:rsidRPr="005C7954">
        <w:rPr>
          <w:sz w:val="20"/>
          <w:szCs w:val="22"/>
        </w:rPr>
        <w:t>Хенкель</w:t>
      </w:r>
      <w:proofErr w:type="spellEnd"/>
      <w:r w:rsidRPr="005C7954">
        <w:rPr>
          <w:sz w:val="20"/>
          <w:szCs w:val="22"/>
        </w:rPr>
        <w:t>» очікує так</w:t>
      </w:r>
      <w:r w:rsidR="001230D7">
        <w:rPr>
          <w:sz w:val="20"/>
          <w:szCs w:val="22"/>
        </w:rPr>
        <w:t xml:space="preserve">ого </w:t>
      </w:r>
      <w:r w:rsidRPr="005C7954">
        <w:rPr>
          <w:sz w:val="20"/>
          <w:szCs w:val="22"/>
        </w:rPr>
        <w:t>розвит</w:t>
      </w:r>
      <w:r w:rsidR="001230D7">
        <w:rPr>
          <w:sz w:val="20"/>
          <w:szCs w:val="22"/>
        </w:rPr>
        <w:t xml:space="preserve">ку </w:t>
      </w:r>
      <w:r w:rsidRPr="005C7954">
        <w:rPr>
          <w:sz w:val="20"/>
          <w:szCs w:val="22"/>
        </w:rPr>
        <w:t>продажів і прибутків у 2024 фінансовому році</w:t>
      </w:r>
      <w:r w:rsidR="0043208D">
        <w:rPr>
          <w:sz w:val="20"/>
          <w:szCs w:val="22"/>
        </w:rPr>
        <w:t>.</w:t>
      </w:r>
    </w:p>
    <w:p w14:paraId="7CD8C817" w14:textId="77777777" w:rsidR="000D738C" w:rsidRPr="005C7954" w:rsidRDefault="000D738C" w:rsidP="00B81A6C">
      <w:pPr>
        <w:rPr>
          <w:rFonts w:cs="Segoe UI"/>
          <w:sz w:val="20"/>
          <w:szCs w:val="20"/>
        </w:rPr>
      </w:pPr>
    </w:p>
    <w:p w14:paraId="0EE70A87" w14:textId="2B29E4B5" w:rsidR="00E61A7F" w:rsidRPr="005C7954" w:rsidRDefault="00E61A7F" w:rsidP="00E61A7F">
      <w:pPr>
        <w:rPr>
          <w:rFonts w:cs="Segoe UI"/>
          <w:sz w:val="20"/>
          <w:szCs w:val="20"/>
        </w:rPr>
      </w:pPr>
      <w:r w:rsidRPr="005C7954">
        <w:rPr>
          <w:sz w:val="20"/>
          <w:szCs w:val="22"/>
        </w:rPr>
        <w:t>На рівні Групи «</w:t>
      </w:r>
      <w:proofErr w:type="spellStart"/>
      <w:r w:rsidRPr="005C7954">
        <w:rPr>
          <w:sz w:val="20"/>
          <w:szCs w:val="22"/>
        </w:rPr>
        <w:t>Хенкель</w:t>
      </w:r>
      <w:proofErr w:type="spellEnd"/>
      <w:r w:rsidRPr="005C7954">
        <w:rPr>
          <w:sz w:val="20"/>
          <w:szCs w:val="22"/>
        </w:rPr>
        <w:t xml:space="preserve">» продовжує очікувати </w:t>
      </w:r>
      <w:r w:rsidRPr="005C7954">
        <w:rPr>
          <w:b/>
          <w:bCs/>
          <w:sz w:val="20"/>
          <w:szCs w:val="22"/>
        </w:rPr>
        <w:t>органічне зростання продажів</w:t>
      </w:r>
      <w:r w:rsidRPr="005C7954">
        <w:rPr>
          <w:sz w:val="20"/>
          <w:szCs w:val="22"/>
        </w:rPr>
        <w:t xml:space="preserve"> на рівні 2,5</w:t>
      </w:r>
      <w:r w:rsidR="0043208D">
        <w:rPr>
          <w:sz w:val="20"/>
          <w:szCs w:val="22"/>
        </w:rPr>
        <w:t>–</w:t>
      </w:r>
      <w:r w:rsidRPr="005C7954">
        <w:rPr>
          <w:sz w:val="20"/>
          <w:szCs w:val="22"/>
        </w:rPr>
        <w:t>4,5 % у 2024 фінансовому році. Для бізнес-підрозділу «Клейові технології» органічне зростання продажів, як і раніше, очікується в межах 2,0</w:t>
      </w:r>
      <w:r w:rsidR="0043208D">
        <w:rPr>
          <w:sz w:val="20"/>
          <w:szCs w:val="22"/>
        </w:rPr>
        <w:t>–</w:t>
      </w:r>
      <w:r w:rsidRPr="005C7954">
        <w:rPr>
          <w:sz w:val="20"/>
          <w:szCs w:val="22"/>
        </w:rPr>
        <w:t>4,0 %, а для бізнес-підрозділу «Споживчі бренди» – в межах 3,0</w:t>
      </w:r>
      <w:r w:rsidR="0043208D">
        <w:rPr>
          <w:sz w:val="20"/>
          <w:szCs w:val="22"/>
        </w:rPr>
        <w:t>–</w:t>
      </w:r>
      <w:r w:rsidRPr="005C7954">
        <w:rPr>
          <w:sz w:val="20"/>
          <w:szCs w:val="22"/>
        </w:rPr>
        <w:t xml:space="preserve">5,0%. </w:t>
      </w:r>
      <w:r w:rsidRPr="005C7954">
        <w:rPr>
          <w:b/>
          <w:bCs/>
          <w:sz w:val="20"/>
          <w:szCs w:val="22"/>
        </w:rPr>
        <w:t>Скоригована рентабельність продажів</w:t>
      </w:r>
      <w:r w:rsidRPr="005C7954">
        <w:rPr>
          <w:sz w:val="20"/>
          <w:szCs w:val="22"/>
        </w:rPr>
        <w:t xml:space="preserve"> (маржа EBIT) на рівні Групи тепер очікується в діапазоні від 13,5 до 14,0 % (попередній прогноз: від 13,0 до 14,0 %). Для бізнес-підрозділу «Клейові технології» скоригована рентабельність продажів, як і раніше, очікується в діапазоні 16,0</w:t>
      </w:r>
      <w:r w:rsidR="0043208D">
        <w:rPr>
          <w:sz w:val="20"/>
          <w:szCs w:val="22"/>
        </w:rPr>
        <w:t>–</w:t>
      </w:r>
      <w:r w:rsidRPr="005C7954">
        <w:rPr>
          <w:sz w:val="20"/>
          <w:szCs w:val="22"/>
        </w:rPr>
        <w:t>17,0 %. Для бізнес-підрозділу «Споживчі бренди» скоригована рентабельність продажів тепер очікується в межах 13,0</w:t>
      </w:r>
      <w:r w:rsidR="0043208D">
        <w:rPr>
          <w:sz w:val="20"/>
          <w:szCs w:val="22"/>
        </w:rPr>
        <w:t>–</w:t>
      </w:r>
      <w:r w:rsidRPr="005C7954">
        <w:rPr>
          <w:sz w:val="20"/>
          <w:szCs w:val="22"/>
        </w:rPr>
        <w:t>14,0 % (попередній прогноз: від 12,0 до 13,0 %)</w:t>
      </w:r>
      <w:r w:rsidR="001230D7">
        <w:rPr>
          <w:sz w:val="20"/>
          <w:szCs w:val="22"/>
        </w:rPr>
        <w:t>.</w:t>
      </w:r>
      <w:r w:rsidRPr="005C7954">
        <w:rPr>
          <w:sz w:val="20"/>
          <w:szCs w:val="22"/>
        </w:rPr>
        <w:t xml:space="preserve"> Щодо </w:t>
      </w:r>
      <w:r w:rsidRPr="005C7954">
        <w:rPr>
          <w:b/>
          <w:bCs/>
          <w:sz w:val="20"/>
          <w:szCs w:val="22"/>
        </w:rPr>
        <w:t>скоригованого прибутку на привілейовану акцію</w:t>
      </w:r>
      <w:r w:rsidRPr="005C7954">
        <w:rPr>
          <w:sz w:val="20"/>
          <w:szCs w:val="22"/>
        </w:rPr>
        <w:t xml:space="preserve"> (EPS) при постійному обмінному курсі «</w:t>
      </w:r>
      <w:proofErr w:type="spellStart"/>
      <w:r w:rsidRPr="005C7954">
        <w:rPr>
          <w:sz w:val="20"/>
          <w:szCs w:val="22"/>
        </w:rPr>
        <w:t>Хенкель</w:t>
      </w:r>
      <w:proofErr w:type="spellEnd"/>
      <w:r w:rsidRPr="005C7954">
        <w:rPr>
          <w:sz w:val="20"/>
          <w:szCs w:val="22"/>
        </w:rPr>
        <w:t>» тепер очікує зростання в діапазоні від +20,0 до +30,0 % (попередній прогноз: від +15,0 до +25,0 %).</w:t>
      </w:r>
    </w:p>
    <w:p w14:paraId="7935A069" w14:textId="77777777" w:rsidR="005C7954" w:rsidRDefault="005C7954" w:rsidP="00196828">
      <w:pPr>
        <w:spacing w:after="120"/>
        <w:jc w:val="left"/>
        <w:rPr>
          <w:b/>
          <w:sz w:val="20"/>
          <w:szCs w:val="22"/>
        </w:rPr>
      </w:pPr>
    </w:p>
    <w:p w14:paraId="579F3741" w14:textId="77777777" w:rsidR="005C7954" w:rsidRDefault="005C7954" w:rsidP="00196828">
      <w:pPr>
        <w:spacing w:after="120"/>
        <w:jc w:val="left"/>
        <w:rPr>
          <w:b/>
          <w:sz w:val="20"/>
          <w:szCs w:val="22"/>
        </w:rPr>
      </w:pPr>
    </w:p>
    <w:p w14:paraId="5988F815" w14:textId="1957C7F8" w:rsidR="00E61A7F" w:rsidRPr="005C7954" w:rsidRDefault="00E61A7F" w:rsidP="00196828">
      <w:pPr>
        <w:spacing w:after="120"/>
        <w:jc w:val="left"/>
        <w:rPr>
          <w:rFonts w:cs="Segoe UI"/>
          <w:b/>
          <w:bCs/>
          <w:sz w:val="20"/>
          <w:szCs w:val="20"/>
        </w:rPr>
      </w:pPr>
      <w:r w:rsidRPr="005C7954">
        <w:rPr>
          <w:b/>
          <w:sz w:val="20"/>
          <w:szCs w:val="22"/>
        </w:rPr>
        <w:t>Динаміка продажів і прибутків у першому півріччі 2024 року</w:t>
      </w:r>
    </w:p>
    <w:p w14:paraId="6E31627B" w14:textId="50D24C9D" w:rsidR="000B31E4" w:rsidRPr="005C7954" w:rsidRDefault="000B31E4" w:rsidP="000B31E4">
      <w:pPr>
        <w:rPr>
          <w:rFonts w:cs="Segoe UI"/>
          <w:sz w:val="20"/>
          <w:szCs w:val="20"/>
        </w:rPr>
      </w:pPr>
      <w:r w:rsidRPr="005C7954">
        <w:rPr>
          <w:sz w:val="20"/>
          <w:szCs w:val="22"/>
        </w:rPr>
        <w:t>В умовах постійно складного ринкового середовища компанія «</w:t>
      </w:r>
      <w:proofErr w:type="spellStart"/>
      <w:r w:rsidRPr="005C7954">
        <w:rPr>
          <w:sz w:val="20"/>
          <w:szCs w:val="22"/>
        </w:rPr>
        <w:t>Хенкель</w:t>
      </w:r>
      <w:proofErr w:type="spellEnd"/>
      <w:r w:rsidRPr="005C7954">
        <w:rPr>
          <w:sz w:val="20"/>
          <w:szCs w:val="22"/>
        </w:rPr>
        <w:t>» досягла обсягу продажів Групи розмір</w:t>
      </w:r>
      <w:r w:rsidR="0043208D">
        <w:rPr>
          <w:sz w:val="20"/>
          <w:szCs w:val="22"/>
        </w:rPr>
        <w:t>ом</w:t>
      </w:r>
      <w:r w:rsidRPr="005C7954">
        <w:rPr>
          <w:sz w:val="20"/>
          <w:szCs w:val="22"/>
        </w:rPr>
        <w:t xml:space="preserve"> 10 813 млн євро в першій половині 2024 року, що еквівалентно номінальному зростанню на -1,0 %. Після того як на динаміку номінальних продажів у попередніх кварталах негативно вплинув продаж бізнесу в Росії, у другому кварталі 2024 року «</w:t>
      </w:r>
      <w:proofErr w:type="spellStart"/>
      <w:r w:rsidRPr="005C7954">
        <w:rPr>
          <w:sz w:val="20"/>
          <w:szCs w:val="22"/>
        </w:rPr>
        <w:t>Хенкель</w:t>
      </w:r>
      <w:proofErr w:type="spellEnd"/>
      <w:r w:rsidRPr="005C7954">
        <w:rPr>
          <w:sz w:val="20"/>
          <w:szCs w:val="22"/>
        </w:rPr>
        <w:t>» знову змогла досягти зростання номінальних продажів (2-й квартал: 5 496 млн євро, +3,4 %). Вплив валютних курсів призвів до зниження продажів на -1,9 % (2</w:t>
      </w:r>
      <w:r w:rsidR="0091420B">
        <w:rPr>
          <w:sz w:val="20"/>
          <w:szCs w:val="22"/>
        </w:rPr>
        <w:t>-й</w:t>
      </w:r>
      <w:r w:rsidRPr="005C7954">
        <w:rPr>
          <w:sz w:val="20"/>
          <w:szCs w:val="22"/>
        </w:rPr>
        <w:t xml:space="preserve"> квартал: +0,2 %). Вплив придбань </w:t>
      </w:r>
      <w:r w:rsidR="0043208D">
        <w:rPr>
          <w:sz w:val="20"/>
          <w:szCs w:val="22"/>
        </w:rPr>
        <w:t xml:space="preserve">і </w:t>
      </w:r>
      <w:r w:rsidRPr="005C7954">
        <w:rPr>
          <w:sz w:val="20"/>
          <w:szCs w:val="22"/>
        </w:rPr>
        <w:t xml:space="preserve">продажу активів призвів до зниження продажів на -2,1 % (2-й квартал: +0,3 %). Хоча продаж нашого бізнесу в Росії у квітні 2023 року мав негативний вплив, нещодавно завершені придбання в обох бізнес-підрозділах – </w:t>
      </w:r>
      <w:proofErr w:type="spellStart"/>
      <w:r w:rsidRPr="005C7954">
        <w:rPr>
          <w:sz w:val="20"/>
          <w:szCs w:val="22"/>
        </w:rPr>
        <w:t>Seal</w:t>
      </w:r>
      <w:proofErr w:type="spellEnd"/>
      <w:r w:rsidRPr="005C7954">
        <w:rPr>
          <w:sz w:val="20"/>
          <w:szCs w:val="22"/>
        </w:rPr>
        <w:t xml:space="preserve"> </w:t>
      </w:r>
      <w:proofErr w:type="spellStart"/>
      <w:r w:rsidRPr="005C7954">
        <w:rPr>
          <w:sz w:val="20"/>
          <w:szCs w:val="22"/>
        </w:rPr>
        <w:t>for</w:t>
      </w:r>
      <w:proofErr w:type="spellEnd"/>
      <w:r w:rsidRPr="005C7954">
        <w:rPr>
          <w:sz w:val="20"/>
          <w:szCs w:val="22"/>
        </w:rPr>
        <w:t xml:space="preserve"> </w:t>
      </w:r>
      <w:proofErr w:type="spellStart"/>
      <w:r w:rsidRPr="005C7954">
        <w:rPr>
          <w:sz w:val="20"/>
          <w:szCs w:val="22"/>
        </w:rPr>
        <w:t>Life</w:t>
      </w:r>
      <w:proofErr w:type="spellEnd"/>
      <w:r w:rsidRPr="005C7954">
        <w:rPr>
          <w:sz w:val="20"/>
          <w:szCs w:val="22"/>
        </w:rPr>
        <w:t xml:space="preserve"> та </w:t>
      </w:r>
      <w:proofErr w:type="spellStart"/>
      <w:r w:rsidRPr="005C7954">
        <w:rPr>
          <w:sz w:val="20"/>
          <w:szCs w:val="22"/>
        </w:rPr>
        <w:t>Vidal</w:t>
      </w:r>
      <w:proofErr w:type="spellEnd"/>
      <w:r w:rsidRPr="005C7954">
        <w:rPr>
          <w:sz w:val="20"/>
          <w:szCs w:val="22"/>
        </w:rPr>
        <w:t xml:space="preserve"> </w:t>
      </w:r>
      <w:proofErr w:type="spellStart"/>
      <w:r w:rsidRPr="005C7954">
        <w:rPr>
          <w:sz w:val="20"/>
          <w:szCs w:val="22"/>
        </w:rPr>
        <w:t>Sassoon</w:t>
      </w:r>
      <w:proofErr w:type="spellEnd"/>
      <w:r w:rsidRPr="005C7954">
        <w:rPr>
          <w:sz w:val="20"/>
          <w:szCs w:val="22"/>
        </w:rPr>
        <w:t xml:space="preserve"> – зробили позитивний внесок. В </w:t>
      </w:r>
      <w:r w:rsidRPr="005C7954">
        <w:rPr>
          <w:b/>
          <w:bCs/>
          <w:sz w:val="20"/>
          <w:szCs w:val="22"/>
        </w:rPr>
        <w:t>органічному</w:t>
      </w:r>
      <w:r w:rsidRPr="005C7954">
        <w:rPr>
          <w:sz w:val="20"/>
          <w:szCs w:val="22"/>
        </w:rPr>
        <w:t xml:space="preserve"> вираженні, тобто з урахуванням курсових різниць </w:t>
      </w:r>
      <w:r w:rsidR="0091420B">
        <w:rPr>
          <w:sz w:val="20"/>
          <w:szCs w:val="22"/>
        </w:rPr>
        <w:t xml:space="preserve">і </w:t>
      </w:r>
      <w:r w:rsidRPr="005C7954">
        <w:rPr>
          <w:sz w:val="20"/>
          <w:szCs w:val="22"/>
        </w:rPr>
        <w:t>придбань/продажу активів, «</w:t>
      </w:r>
      <w:proofErr w:type="spellStart"/>
      <w:r w:rsidRPr="005C7954">
        <w:rPr>
          <w:sz w:val="20"/>
          <w:szCs w:val="22"/>
        </w:rPr>
        <w:t>Хенкель</w:t>
      </w:r>
      <w:proofErr w:type="spellEnd"/>
      <w:r w:rsidRPr="005C7954">
        <w:rPr>
          <w:sz w:val="20"/>
          <w:szCs w:val="22"/>
        </w:rPr>
        <w:t>» досягла значного зростання продажів на 2,9 % (2-й квартал: +2,8 %).</w:t>
      </w:r>
    </w:p>
    <w:p w14:paraId="371F28DF" w14:textId="77777777" w:rsidR="000B31E4" w:rsidRPr="005C7954" w:rsidRDefault="000B31E4" w:rsidP="000B31E4">
      <w:pPr>
        <w:rPr>
          <w:rFonts w:cs="Segoe UI"/>
          <w:sz w:val="20"/>
          <w:szCs w:val="20"/>
        </w:rPr>
      </w:pPr>
    </w:p>
    <w:p w14:paraId="4131D5F6" w14:textId="49BC4517" w:rsidR="00DC5CDA" w:rsidRPr="005C7954" w:rsidRDefault="002B35E0" w:rsidP="00DC5CDA">
      <w:pPr>
        <w:rPr>
          <w:rFonts w:cs="Segoe UI"/>
          <w:sz w:val="20"/>
          <w:szCs w:val="20"/>
        </w:rPr>
      </w:pPr>
      <w:r w:rsidRPr="005C7954">
        <w:rPr>
          <w:sz w:val="20"/>
          <w:szCs w:val="22"/>
        </w:rPr>
        <w:t xml:space="preserve">У першому півріччі 2024 року бізнес-підрозділ </w:t>
      </w:r>
      <w:r w:rsidRPr="005C7954">
        <w:rPr>
          <w:b/>
          <w:bCs/>
          <w:sz w:val="20"/>
          <w:szCs w:val="22"/>
        </w:rPr>
        <w:t>«Клейові технології»</w:t>
      </w:r>
      <w:r w:rsidRPr="005C7954">
        <w:rPr>
          <w:sz w:val="20"/>
          <w:szCs w:val="22"/>
        </w:rPr>
        <w:t xml:space="preserve"> продемонстрував хороше органічне зростання продажів на 2,0 % за рахунок бізнес-напрямів «Мобільність та електроніка», а також «Домашній ремонт, будівництво і товари для професіоналів» (2-й квартал: +2,6 %). Бізнес-підрозділ </w:t>
      </w:r>
      <w:r w:rsidRPr="005C7954">
        <w:rPr>
          <w:b/>
          <w:bCs/>
          <w:sz w:val="20"/>
          <w:szCs w:val="22"/>
        </w:rPr>
        <w:t>«Споживчі бренди»</w:t>
      </w:r>
      <w:r w:rsidRPr="005C7954">
        <w:rPr>
          <w:sz w:val="20"/>
          <w:szCs w:val="22"/>
        </w:rPr>
        <w:t xml:space="preserve"> досягнув дуже сильного органічного зростання продажів на 4,3 %, до якого долучилися всі бізнес-напрями (2-й квартал: +3,3 %). Зростання продажів в обох бізнес-підрозділах відбулося завдяки позитивній ціновій динаміці. На рівні Групи розвиток обсягів, на який продовжують впливати показники портфеля </w:t>
      </w:r>
      <w:r w:rsidR="0091420B">
        <w:rPr>
          <w:sz w:val="20"/>
          <w:szCs w:val="22"/>
        </w:rPr>
        <w:t>«</w:t>
      </w:r>
      <w:r w:rsidRPr="005C7954">
        <w:rPr>
          <w:sz w:val="20"/>
          <w:szCs w:val="22"/>
        </w:rPr>
        <w:t>Споживчих брендів</w:t>
      </w:r>
      <w:r w:rsidR="0091420B">
        <w:rPr>
          <w:sz w:val="20"/>
          <w:szCs w:val="22"/>
        </w:rPr>
        <w:t>»</w:t>
      </w:r>
      <w:r w:rsidRPr="005C7954">
        <w:rPr>
          <w:sz w:val="20"/>
          <w:szCs w:val="22"/>
        </w:rPr>
        <w:t xml:space="preserve">, продемонстрував дещо позитивну динаміку порівняно з першим півріччям 2023 року </w:t>
      </w:r>
      <w:r w:rsidR="0091420B">
        <w:rPr>
          <w:sz w:val="20"/>
          <w:szCs w:val="22"/>
        </w:rPr>
        <w:t xml:space="preserve">та </w:t>
      </w:r>
      <w:r w:rsidRPr="005C7954">
        <w:rPr>
          <w:sz w:val="20"/>
          <w:szCs w:val="22"/>
        </w:rPr>
        <w:t xml:space="preserve">послідовне покращення порівняно з першим кварталом 2024 року. </w:t>
      </w:r>
    </w:p>
    <w:p w14:paraId="7BAD4C7B" w14:textId="77777777" w:rsidR="00033476" w:rsidRPr="005C7954" w:rsidRDefault="00033476" w:rsidP="00033476">
      <w:pPr>
        <w:rPr>
          <w:rFonts w:cs="Segoe UI"/>
          <w:sz w:val="20"/>
          <w:szCs w:val="20"/>
          <w:highlight w:val="yellow"/>
        </w:rPr>
      </w:pPr>
    </w:p>
    <w:p w14:paraId="3E184C96" w14:textId="61EA0F02" w:rsidR="00483617" w:rsidRPr="005C7954" w:rsidRDefault="00483617" w:rsidP="00033476">
      <w:pPr>
        <w:rPr>
          <w:rFonts w:cs="Segoe UI"/>
          <w:sz w:val="20"/>
          <w:szCs w:val="20"/>
        </w:rPr>
      </w:pPr>
      <w:r w:rsidRPr="005C7954">
        <w:rPr>
          <w:sz w:val="20"/>
          <w:szCs w:val="22"/>
        </w:rPr>
        <w:t xml:space="preserve">У першому півріччі органічне зростання продажів у регіоні </w:t>
      </w:r>
      <w:r w:rsidRPr="005C7954">
        <w:rPr>
          <w:b/>
          <w:bCs/>
          <w:sz w:val="20"/>
          <w:szCs w:val="22"/>
        </w:rPr>
        <w:t>Європ</w:t>
      </w:r>
      <w:r w:rsidR="001230D7">
        <w:rPr>
          <w:b/>
          <w:bCs/>
          <w:sz w:val="20"/>
          <w:szCs w:val="22"/>
        </w:rPr>
        <w:t>а</w:t>
      </w:r>
      <w:r w:rsidRPr="005C7954">
        <w:rPr>
          <w:sz w:val="20"/>
          <w:szCs w:val="22"/>
        </w:rPr>
        <w:t xml:space="preserve"> </w:t>
      </w:r>
      <w:r w:rsidR="001230D7">
        <w:rPr>
          <w:sz w:val="20"/>
          <w:szCs w:val="22"/>
        </w:rPr>
        <w:t xml:space="preserve">становило </w:t>
      </w:r>
      <w:r w:rsidRPr="005C7954">
        <w:rPr>
          <w:sz w:val="20"/>
          <w:szCs w:val="22"/>
        </w:rPr>
        <w:t xml:space="preserve">1,8 % (2-й квартал: +1,2 %). У регіоні </w:t>
      </w:r>
      <w:r w:rsidRPr="005C7954">
        <w:rPr>
          <w:b/>
          <w:bCs/>
          <w:sz w:val="20"/>
          <w:szCs w:val="22"/>
        </w:rPr>
        <w:t>IMEA</w:t>
      </w:r>
      <w:r w:rsidRPr="005C7954">
        <w:rPr>
          <w:sz w:val="20"/>
          <w:szCs w:val="22"/>
        </w:rPr>
        <w:t xml:space="preserve"> компанія «</w:t>
      </w:r>
      <w:proofErr w:type="spellStart"/>
      <w:r w:rsidRPr="005C7954">
        <w:rPr>
          <w:sz w:val="20"/>
          <w:szCs w:val="22"/>
        </w:rPr>
        <w:t>Хенкель</w:t>
      </w:r>
      <w:proofErr w:type="spellEnd"/>
      <w:r w:rsidRPr="005C7954">
        <w:rPr>
          <w:sz w:val="20"/>
          <w:szCs w:val="22"/>
        </w:rPr>
        <w:t xml:space="preserve">» досягла значного двозначного органічного зростання продажів на 21,0 % (2-й квартал: +13,7 %). У регіоні </w:t>
      </w:r>
      <w:r w:rsidRPr="005C7954">
        <w:rPr>
          <w:b/>
          <w:bCs/>
          <w:sz w:val="20"/>
          <w:szCs w:val="22"/>
        </w:rPr>
        <w:t>Північн</w:t>
      </w:r>
      <w:r w:rsidR="001230D7">
        <w:rPr>
          <w:b/>
          <w:bCs/>
          <w:sz w:val="20"/>
          <w:szCs w:val="22"/>
        </w:rPr>
        <w:t>а</w:t>
      </w:r>
      <w:r w:rsidRPr="005C7954">
        <w:rPr>
          <w:b/>
          <w:bCs/>
          <w:sz w:val="20"/>
          <w:szCs w:val="22"/>
        </w:rPr>
        <w:t xml:space="preserve"> Америк</w:t>
      </w:r>
      <w:r w:rsidR="001230D7">
        <w:rPr>
          <w:b/>
          <w:bCs/>
          <w:sz w:val="20"/>
          <w:szCs w:val="22"/>
        </w:rPr>
        <w:t>а</w:t>
      </w:r>
      <w:r w:rsidRPr="005C7954">
        <w:rPr>
          <w:sz w:val="20"/>
          <w:szCs w:val="22"/>
        </w:rPr>
        <w:t xml:space="preserve"> зафіксовано органічне зростання продажів на -1,6 % (2-й квартал: -0,2 %). У регіоні </w:t>
      </w:r>
      <w:r w:rsidRPr="005C7954">
        <w:rPr>
          <w:b/>
          <w:bCs/>
          <w:sz w:val="20"/>
          <w:szCs w:val="22"/>
        </w:rPr>
        <w:t>Латинськ</w:t>
      </w:r>
      <w:r w:rsidR="001230D7">
        <w:rPr>
          <w:b/>
          <w:bCs/>
          <w:sz w:val="20"/>
          <w:szCs w:val="22"/>
        </w:rPr>
        <w:t>а</w:t>
      </w:r>
      <w:r w:rsidRPr="005C7954">
        <w:rPr>
          <w:b/>
          <w:bCs/>
          <w:sz w:val="20"/>
          <w:szCs w:val="22"/>
        </w:rPr>
        <w:t xml:space="preserve"> Америк</w:t>
      </w:r>
      <w:r w:rsidR="001230D7">
        <w:rPr>
          <w:b/>
          <w:bCs/>
          <w:sz w:val="20"/>
          <w:szCs w:val="22"/>
        </w:rPr>
        <w:t>а</w:t>
      </w:r>
      <w:r w:rsidRPr="005C7954">
        <w:rPr>
          <w:sz w:val="20"/>
          <w:szCs w:val="22"/>
        </w:rPr>
        <w:t xml:space="preserve"> зафіксовано стабільне органічне зростання продажів на 0,0 % (2-й квартал: +2,7 %). В </w:t>
      </w:r>
      <w:proofErr w:type="spellStart"/>
      <w:r w:rsidRPr="005C7954">
        <w:rPr>
          <w:b/>
          <w:bCs/>
          <w:sz w:val="20"/>
          <w:szCs w:val="22"/>
        </w:rPr>
        <w:t>Азійсько</w:t>
      </w:r>
      <w:proofErr w:type="spellEnd"/>
      <w:r w:rsidRPr="005C7954">
        <w:rPr>
          <w:b/>
          <w:bCs/>
          <w:sz w:val="20"/>
          <w:szCs w:val="22"/>
        </w:rPr>
        <w:t>-Тихоокеанському</w:t>
      </w:r>
      <w:r w:rsidRPr="005C7954">
        <w:rPr>
          <w:sz w:val="20"/>
          <w:szCs w:val="22"/>
        </w:rPr>
        <w:t xml:space="preserve"> регіоні було досягнуто органічне зростання продажів на 5,5 % (2-й квартал: +7,5 %). </w:t>
      </w:r>
    </w:p>
    <w:p w14:paraId="56B7EA49" w14:textId="77777777" w:rsidR="00E67B4F" w:rsidRPr="005C7954" w:rsidRDefault="00E67B4F" w:rsidP="00033476">
      <w:pPr>
        <w:rPr>
          <w:rFonts w:cs="Segoe UI"/>
          <w:bCs/>
          <w:sz w:val="20"/>
          <w:szCs w:val="20"/>
        </w:rPr>
      </w:pPr>
    </w:p>
    <w:p w14:paraId="498F94F2" w14:textId="6B4EAB79" w:rsidR="002B35E0" w:rsidRPr="005C7954" w:rsidRDefault="002B35E0" w:rsidP="00033476">
      <w:pPr>
        <w:rPr>
          <w:rFonts w:cs="Segoe UI"/>
          <w:bCs/>
          <w:sz w:val="20"/>
          <w:szCs w:val="20"/>
        </w:rPr>
      </w:pPr>
      <w:r w:rsidRPr="005C7954">
        <w:rPr>
          <w:b/>
          <w:bCs/>
          <w:sz w:val="20"/>
          <w:szCs w:val="22"/>
        </w:rPr>
        <w:t>Скоригований операційний прибуток (скоригований показник EBIT)</w:t>
      </w:r>
      <w:r w:rsidRPr="005C7954">
        <w:rPr>
          <w:sz w:val="20"/>
          <w:szCs w:val="22"/>
        </w:rPr>
        <w:t xml:space="preserve"> значно збільшився</w:t>
      </w:r>
      <w:r w:rsidR="001230D7">
        <w:rPr>
          <w:sz w:val="20"/>
          <w:szCs w:val="22"/>
        </w:rPr>
        <w:t xml:space="preserve">: </w:t>
      </w:r>
      <w:r w:rsidRPr="005C7954">
        <w:rPr>
          <w:sz w:val="20"/>
          <w:szCs w:val="22"/>
        </w:rPr>
        <w:t xml:space="preserve">з 1 254 млн євро у першому півріччі 2023 року на 28,4 % </w:t>
      </w:r>
      <w:r w:rsidR="001230D7">
        <w:rPr>
          <w:sz w:val="20"/>
          <w:szCs w:val="22"/>
        </w:rPr>
        <w:t xml:space="preserve">– </w:t>
      </w:r>
      <w:r w:rsidRPr="005C7954">
        <w:rPr>
          <w:sz w:val="20"/>
          <w:szCs w:val="22"/>
        </w:rPr>
        <w:t xml:space="preserve">до 1 610 млн євро, зокрема завдяки значному зростанню валової маржі. </w:t>
      </w:r>
    </w:p>
    <w:p w14:paraId="75C429F8" w14:textId="77777777" w:rsidR="002B35E0" w:rsidRPr="005C7954" w:rsidRDefault="002B35E0" w:rsidP="00033476">
      <w:pPr>
        <w:rPr>
          <w:rFonts w:cs="Segoe UI"/>
          <w:bCs/>
          <w:sz w:val="20"/>
          <w:szCs w:val="20"/>
        </w:rPr>
      </w:pPr>
    </w:p>
    <w:p w14:paraId="27213617" w14:textId="44152270" w:rsidR="002B35E0" w:rsidRPr="005C7954" w:rsidRDefault="0091420B" w:rsidP="00033476">
      <w:pPr>
        <w:rPr>
          <w:rFonts w:cs="Segoe UI"/>
          <w:bCs/>
          <w:sz w:val="20"/>
          <w:szCs w:val="20"/>
        </w:rPr>
      </w:pPr>
      <w:r>
        <w:rPr>
          <w:sz w:val="20"/>
          <w:szCs w:val="22"/>
        </w:rPr>
        <w:t xml:space="preserve">У </w:t>
      </w:r>
      <w:r w:rsidR="002B35E0" w:rsidRPr="005C7954">
        <w:rPr>
          <w:sz w:val="20"/>
          <w:szCs w:val="22"/>
        </w:rPr>
        <w:t xml:space="preserve">результаті було зафіксовано дуже сильне зростання </w:t>
      </w:r>
      <w:r w:rsidR="002B35E0" w:rsidRPr="0091420B">
        <w:rPr>
          <w:b/>
          <w:sz w:val="20"/>
          <w:szCs w:val="22"/>
        </w:rPr>
        <w:t>с</w:t>
      </w:r>
      <w:r w:rsidR="002B35E0" w:rsidRPr="005C7954">
        <w:rPr>
          <w:b/>
          <w:bCs/>
          <w:sz w:val="20"/>
          <w:szCs w:val="22"/>
        </w:rPr>
        <w:t>коригованої рентабельності продажів (скоригована маржа EBIT)</w:t>
      </w:r>
      <w:r w:rsidR="002B35E0" w:rsidRPr="005C7954">
        <w:rPr>
          <w:sz w:val="20"/>
          <w:szCs w:val="22"/>
        </w:rPr>
        <w:t xml:space="preserve"> Групи компаній «</w:t>
      </w:r>
      <w:proofErr w:type="spellStart"/>
      <w:r w:rsidR="002B35E0" w:rsidRPr="005C7954">
        <w:rPr>
          <w:sz w:val="20"/>
          <w:szCs w:val="22"/>
        </w:rPr>
        <w:t>Хенкель</w:t>
      </w:r>
      <w:proofErr w:type="spellEnd"/>
      <w:r w:rsidR="002B35E0" w:rsidRPr="005C7954">
        <w:rPr>
          <w:sz w:val="20"/>
          <w:szCs w:val="22"/>
        </w:rPr>
        <w:t>» на 340 базисних пунктів</w:t>
      </w:r>
      <w:r>
        <w:rPr>
          <w:sz w:val="20"/>
          <w:szCs w:val="22"/>
        </w:rPr>
        <w:t xml:space="preserve"> –</w:t>
      </w:r>
      <w:r w:rsidR="002B35E0" w:rsidRPr="005C7954">
        <w:rPr>
          <w:sz w:val="20"/>
          <w:szCs w:val="22"/>
        </w:rPr>
        <w:t xml:space="preserve"> з 11,5 % до 14,9 %.</w:t>
      </w:r>
    </w:p>
    <w:p w14:paraId="0504B383" w14:textId="77777777" w:rsidR="000B31E4" w:rsidRPr="005C7954" w:rsidRDefault="000B31E4" w:rsidP="00033476">
      <w:pPr>
        <w:rPr>
          <w:rFonts w:cs="Segoe UI"/>
          <w:b/>
          <w:sz w:val="20"/>
          <w:szCs w:val="20"/>
        </w:rPr>
      </w:pPr>
    </w:p>
    <w:p w14:paraId="4BB67E6C" w14:textId="497443C4" w:rsidR="006823EE" w:rsidRPr="005C7954" w:rsidRDefault="002B35E0" w:rsidP="00033476">
      <w:pPr>
        <w:rPr>
          <w:rFonts w:cs="Segoe UI"/>
          <w:bCs/>
          <w:sz w:val="20"/>
          <w:szCs w:val="20"/>
        </w:rPr>
      </w:pPr>
      <w:r w:rsidRPr="005C7954">
        <w:rPr>
          <w:b/>
          <w:bCs/>
          <w:sz w:val="20"/>
          <w:szCs w:val="22"/>
        </w:rPr>
        <w:t>Прибуток на одну привілейовану акцію</w:t>
      </w:r>
      <w:r w:rsidRPr="005C7954">
        <w:rPr>
          <w:sz w:val="20"/>
          <w:szCs w:val="22"/>
        </w:rPr>
        <w:t xml:space="preserve"> значно зріс </w:t>
      </w:r>
      <w:r w:rsidR="001230D7">
        <w:rPr>
          <w:sz w:val="20"/>
          <w:szCs w:val="22"/>
        </w:rPr>
        <w:t xml:space="preserve">– </w:t>
      </w:r>
      <w:r w:rsidRPr="005C7954">
        <w:rPr>
          <w:sz w:val="20"/>
          <w:szCs w:val="22"/>
        </w:rPr>
        <w:t xml:space="preserve">до 2,46 євро (у попередньому році: 1,35 євро). Скоригований прибуток на привілейовану акцію зріс на 30,5 % </w:t>
      </w:r>
      <w:r w:rsidR="001230D7">
        <w:rPr>
          <w:sz w:val="20"/>
          <w:szCs w:val="22"/>
        </w:rPr>
        <w:t>–</w:t>
      </w:r>
      <w:r w:rsidR="001230D7">
        <w:t xml:space="preserve"> </w:t>
      </w:r>
      <w:r w:rsidRPr="005C7954">
        <w:rPr>
          <w:sz w:val="20"/>
          <w:szCs w:val="22"/>
        </w:rPr>
        <w:t xml:space="preserve">до 2,78 євро порівняно з </w:t>
      </w:r>
      <w:r w:rsidRPr="005C7954">
        <w:rPr>
          <w:sz w:val="20"/>
          <w:szCs w:val="22"/>
        </w:rPr>
        <w:lastRenderedPageBreak/>
        <w:t>2,13 євро у попередньому році. Таке суттєве зростання було переважно зумовлене збільшенням скоригованого операційного прибутку. При незмінному обмінному курсі скоригований прибуток на привілейовану акцію збільшився на чітк</w:t>
      </w:r>
      <w:r w:rsidR="001230D7">
        <w:rPr>
          <w:sz w:val="20"/>
          <w:szCs w:val="22"/>
        </w:rPr>
        <w:t xml:space="preserve">ий </w:t>
      </w:r>
      <w:r w:rsidRPr="005C7954">
        <w:rPr>
          <w:sz w:val="20"/>
          <w:szCs w:val="22"/>
        </w:rPr>
        <w:t>двозначн</w:t>
      </w:r>
      <w:r w:rsidR="001230D7">
        <w:rPr>
          <w:sz w:val="20"/>
          <w:szCs w:val="22"/>
        </w:rPr>
        <w:t xml:space="preserve">ий показник </w:t>
      </w:r>
      <w:r w:rsidRPr="005C7954">
        <w:rPr>
          <w:sz w:val="20"/>
          <w:szCs w:val="22"/>
        </w:rPr>
        <w:t>32,9 %.</w:t>
      </w:r>
    </w:p>
    <w:p w14:paraId="4117A15C" w14:textId="77777777" w:rsidR="005018C2" w:rsidRPr="005C7954" w:rsidRDefault="005018C2" w:rsidP="00033476">
      <w:pPr>
        <w:rPr>
          <w:rFonts w:cs="Segoe UI"/>
          <w:sz w:val="20"/>
          <w:szCs w:val="20"/>
        </w:rPr>
      </w:pPr>
    </w:p>
    <w:p w14:paraId="3291D73E" w14:textId="3A396316" w:rsidR="00033476" w:rsidRPr="005C7954" w:rsidRDefault="000B31E4" w:rsidP="00033476">
      <w:pPr>
        <w:rPr>
          <w:rFonts w:cs="Segoe UI"/>
          <w:sz w:val="20"/>
          <w:szCs w:val="20"/>
        </w:rPr>
      </w:pPr>
      <w:r w:rsidRPr="005C7954">
        <w:rPr>
          <w:b/>
          <w:bCs/>
          <w:sz w:val="20"/>
          <w:szCs w:val="22"/>
        </w:rPr>
        <w:t>Чистий оборотний капітал</w:t>
      </w:r>
      <w:r w:rsidRPr="005C7954">
        <w:rPr>
          <w:sz w:val="20"/>
          <w:szCs w:val="22"/>
        </w:rPr>
        <w:t xml:space="preserve"> зменшився на 0,9 відсотков</w:t>
      </w:r>
      <w:r w:rsidR="0091420B">
        <w:rPr>
          <w:sz w:val="20"/>
          <w:szCs w:val="22"/>
        </w:rPr>
        <w:t xml:space="preserve">ого </w:t>
      </w:r>
      <w:r w:rsidRPr="005C7954">
        <w:rPr>
          <w:sz w:val="20"/>
          <w:szCs w:val="22"/>
        </w:rPr>
        <w:t>пункт</w:t>
      </w:r>
      <w:r w:rsidR="0091420B">
        <w:rPr>
          <w:sz w:val="20"/>
          <w:szCs w:val="22"/>
        </w:rPr>
        <w:t>у</w:t>
      </w:r>
      <w:r w:rsidRPr="005C7954">
        <w:rPr>
          <w:sz w:val="20"/>
          <w:szCs w:val="22"/>
        </w:rPr>
        <w:t xml:space="preserve"> порівняно з попереднім роком </w:t>
      </w:r>
      <w:r w:rsidR="0091420B">
        <w:rPr>
          <w:sz w:val="20"/>
          <w:szCs w:val="22"/>
        </w:rPr>
        <w:t xml:space="preserve">– </w:t>
      </w:r>
      <w:r w:rsidRPr="005C7954">
        <w:rPr>
          <w:sz w:val="20"/>
          <w:szCs w:val="22"/>
        </w:rPr>
        <w:t>з 6,1 % до 5,2 %.</w:t>
      </w:r>
    </w:p>
    <w:p w14:paraId="1FFB4343" w14:textId="77777777" w:rsidR="00033476" w:rsidRPr="005C7954" w:rsidRDefault="00033476" w:rsidP="00033476">
      <w:pPr>
        <w:rPr>
          <w:rFonts w:cs="Segoe UI"/>
          <w:sz w:val="20"/>
          <w:szCs w:val="20"/>
          <w:highlight w:val="yellow"/>
        </w:rPr>
      </w:pPr>
    </w:p>
    <w:p w14:paraId="63418D73" w14:textId="32AD8428" w:rsidR="00B33C35" w:rsidRPr="005C7954" w:rsidRDefault="00E843A4" w:rsidP="00B33C35">
      <w:pPr>
        <w:autoSpaceDE w:val="0"/>
        <w:autoSpaceDN w:val="0"/>
        <w:adjustRightInd w:val="0"/>
        <w:rPr>
          <w:sz w:val="20"/>
          <w:szCs w:val="22"/>
        </w:rPr>
      </w:pPr>
      <w:r w:rsidRPr="005C7954">
        <w:rPr>
          <w:b/>
          <w:bCs/>
          <w:sz w:val="20"/>
          <w:szCs w:val="22"/>
        </w:rPr>
        <w:t>Вільний грошовий потік</w:t>
      </w:r>
      <w:r w:rsidRPr="005C7954">
        <w:rPr>
          <w:sz w:val="20"/>
          <w:szCs w:val="22"/>
        </w:rPr>
        <w:t xml:space="preserve"> досяг 772 млн євро і, таким чином, був вищим, ніж у першому півріччі 2023 року (749 млн євро). Це в основному пов'язано з вищим грошовим потоком від операційної діяльності. </w:t>
      </w:r>
    </w:p>
    <w:p w14:paraId="6D917835" w14:textId="77777777" w:rsidR="00033476" w:rsidRPr="005C7954" w:rsidRDefault="00033476" w:rsidP="00033476">
      <w:pPr>
        <w:autoSpaceDE w:val="0"/>
        <w:autoSpaceDN w:val="0"/>
        <w:adjustRightInd w:val="0"/>
        <w:rPr>
          <w:rFonts w:cs="Segoe UI"/>
          <w:sz w:val="20"/>
          <w:szCs w:val="20"/>
          <w:highlight w:val="yellow"/>
        </w:rPr>
      </w:pPr>
    </w:p>
    <w:p w14:paraId="7063C506" w14:textId="5367169A" w:rsidR="00E843A4" w:rsidRPr="005C7954" w:rsidRDefault="00E843A4" w:rsidP="00E843A4">
      <w:pPr>
        <w:rPr>
          <w:rFonts w:cs="Segoe UI"/>
          <w:sz w:val="20"/>
          <w:szCs w:val="20"/>
        </w:rPr>
      </w:pPr>
      <w:r w:rsidRPr="005C7954">
        <w:rPr>
          <w:sz w:val="20"/>
          <w:szCs w:val="22"/>
        </w:rPr>
        <w:t xml:space="preserve">Станом на 30 червня 2024 року </w:t>
      </w:r>
      <w:r w:rsidRPr="005C7954">
        <w:rPr>
          <w:b/>
          <w:bCs/>
          <w:sz w:val="20"/>
          <w:szCs w:val="22"/>
        </w:rPr>
        <w:t>чиста фінансова позиція</w:t>
      </w:r>
      <w:r w:rsidRPr="005C7954">
        <w:rPr>
          <w:sz w:val="20"/>
          <w:szCs w:val="22"/>
        </w:rPr>
        <w:t xml:space="preserve"> становила -1 440 млн євро (31 грудня 2023 року: 12 млн євро).</w:t>
      </w:r>
    </w:p>
    <w:p w14:paraId="7DBD33CF" w14:textId="77777777" w:rsidR="00033476" w:rsidRPr="005C7954" w:rsidRDefault="00033476" w:rsidP="00033476">
      <w:pPr>
        <w:spacing w:line="240" w:lineRule="auto"/>
        <w:jc w:val="left"/>
        <w:rPr>
          <w:rFonts w:cs="Segoe UI"/>
          <w:color w:val="3B3B3B"/>
          <w:sz w:val="20"/>
          <w:szCs w:val="22"/>
          <w:shd w:val="clear" w:color="auto" w:fill="FFFFFF"/>
        </w:rPr>
      </w:pPr>
    </w:p>
    <w:p w14:paraId="5683DF1E" w14:textId="7FDDCD46" w:rsidR="00033476" w:rsidRPr="005C7954" w:rsidRDefault="003F11AB" w:rsidP="00033476">
      <w:pPr>
        <w:spacing w:after="120"/>
        <w:rPr>
          <w:rFonts w:cs="Segoe UI"/>
          <w:b/>
          <w:bCs/>
          <w:sz w:val="20"/>
          <w:szCs w:val="20"/>
          <w:highlight w:val="yellow"/>
        </w:rPr>
      </w:pPr>
      <w:r w:rsidRPr="005C7954">
        <w:rPr>
          <w:b/>
          <w:sz w:val="20"/>
          <w:szCs w:val="22"/>
        </w:rPr>
        <w:t>Розвиток бізнес-підрозділів у першому півріччі 2024 року</w:t>
      </w:r>
    </w:p>
    <w:p w14:paraId="65DE810D" w14:textId="6843FA73" w:rsidR="00266359" w:rsidRPr="005C7954" w:rsidRDefault="003B2EAB" w:rsidP="00033476">
      <w:pPr>
        <w:rPr>
          <w:rFonts w:cs="Segoe UI"/>
          <w:bCs/>
          <w:sz w:val="20"/>
          <w:szCs w:val="20"/>
        </w:rPr>
      </w:pPr>
      <w:bookmarkStart w:id="4" w:name="SNAMD_dc825768bfb2420dbdc0e075b6c733f3"/>
      <w:bookmarkStart w:id="5" w:name="SNERR_085cbfa1dc5245baabab2f6ce609ab4b"/>
      <w:r w:rsidRPr="005C7954">
        <w:rPr>
          <w:color w:val="000000" w:themeColor="text1"/>
          <w:sz w:val="20"/>
          <w:szCs w:val="22"/>
        </w:rPr>
        <w:t xml:space="preserve">У першому півріччі 2024 року </w:t>
      </w:r>
      <w:r w:rsidRPr="005C7954">
        <w:rPr>
          <w:b/>
          <w:bCs/>
          <w:color w:val="000000" w:themeColor="text1"/>
          <w:sz w:val="20"/>
          <w:szCs w:val="22"/>
        </w:rPr>
        <w:t>бізнес-підрозділ «Клейові технології»</w:t>
      </w:r>
      <w:r w:rsidRPr="005C7954">
        <w:rPr>
          <w:color w:val="000000" w:themeColor="text1"/>
          <w:sz w:val="20"/>
          <w:szCs w:val="22"/>
        </w:rPr>
        <w:t xml:space="preserve"> згенерував продажі розмір</w:t>
      </w:r>
      <w:r w:rsidR="0091420B">
        <w:rPr>
          <w:color w:val="000000" w:themeColor="text1"/>
          <w:sz w:val="20"/>
          <w:szCs w:val="22"/>
        </w:rPr>
        <w:t>ом</w:t>
      </w:r>
      <w:r w:rsidRPr="005C7954">
        <w:rPr>
          <w:color w:val="000000" w:themeColor="text1"/>
          <w:sz w:val="20"/>
          <w:szCs w:val="22"/>
        </w:rPr>
        <w:t xml:space="preserve"> 5 475 млн євро, що номінально відповідає показникам попереднього року (2-й квартал: 2 798 млн євро). </w:t>
      </w:r>
      <w:r w:rsidRPr="005C7954">
        <w:rPr>
          <w:b/>
          <w:bCs/>
          <w:sz w:val="20"/>
          <w:szCs w:val="22"/>
        </w:rPr>
        <w:t>В органічному вираженні</w:t>
      </w:r>
      <w:r w:rsidRPr="005C7954">
        <w:rPr>
          <w:sz w:val="20"/>
          <w:szCs w:val="22"/>
        </w:rPr>
        <w:t xml:space="preserve"> продажі зросли на 2,0 % (2-й квартал: 2,6 %).</w:t>
      </w:r>
      <w:r w:rsidRPr="005C7954">
        <w:rPr>
          <w:color w:val="000000" w:themeColor="text1"/>
          <w:sz w:val="20"/>
          <w:szCs w:val="22"/>
        </w:rPr>
        <w:t xml:space="preserve"> Цьому сприяли цінова складова на рівні +0,2 % </w:t>
      </w:r>
      <w:r w:rsidR="0091420B">
        <w:rPr>
          <w:color w:val="000000" w:themeColor="text1"/>
          <w:sz w:val="20"/>
          <w:szCs w:val="22"/>
        </w:rPr>
        <w:t xml:space="preserve">і </w:t>
      </w:r>
      <w:r w:rsidRPr="005C7954">
        <w:rPr>
          <w:color w:val="000000" w:themeColor="text1"/>
          <w:sz w:val="20"/>
          <w:szCs w:val="22"/>
        </w:rPr>
        <w:t xml:space="preserve">зростання обсягів на 1,8 %. Таким чином, бізнес-підрозділ продемонстрував послідовне покращення динаміки обсягів у другому кварталі порівняно з першим кварталом 2024 року. </w:t>
      </w:r>
      <w:bookmarkEnd w:id="4"/>
      <w:bookmarkEnd w:id="5"/>
    </w:p>
    <w:p w14:paraId="2760A9EF" w14:textId="77777777" w:rsidR="00266359" w:rsidRPr="005C7954" w:rsidRDefault="00266359" w:rsidP="00033476">
      <w:pPr>
        <w:rPr>
          <w:rFonts w:cs="Segoe UI"/>
          <w:bCs/>
          <w:sz w:val="20"/>
          <w:szCs w:val="20"/>
        </w:rPr>
      </w:pPr>
    </w:p>
    <w:p w14:paraId="0069ACDC" w14:textId="4496F443" w:rsidR="00F22CAC" w:rsidRPr="005C7954" w:rsidRDefault="00F22CAC" w:rsidP="00033476">
      <w:pPr>
        <w:rPr>
          <w:rFonts w:eastAsia="Segoe UI" w:cs="Segoe UI"/>
          <w:sz w:val="20"/>
          <w:szCs w:val="16"/>
        </w:rPr>
      </w:pPr>
      <w:r w:rsidRPr="005C7954">
        <w:rPr>
          <w:sz w:val="20"/>
          <w:szCs w:val="22"/>
        </w:rPr>
        <w:t xml:space="preserve">У бізнес-напрямі </w:t>
      </w:r>
      <w:r w:rsidRPr="005C7954">
        <w:rPr>
          <w:b/>
          <w:bCs/>
          <w:sz w:val="20"/>
          <w:szCs w:val="22"/>
        </w:rPr>
        <w:t>«Мобільність та електроніка»</w:t>
      </w:r>
      <w:r w:rsidRPr="005C7954">
        <w:rPr>
          <w:sz w:val="20"/>
          <w:szCs w:val="22"/>
        </w:rPr>
        <w:t xml:space="preserve"> було досягнуто дуже сильне органічне зростання продажів на 5,3 % (2-й квартал: +6,8 %). Це зростання було підтримане всіма бізнес-напрямами і, зокрема, підрозділом електроніки, який продемонстрував двозначне органічне зростання продажів порівняно зі слабким попереднім періодом. У бізнес-напрямі </w:t>
      </w:r>
      <w:r w:rsidRPr="005C7954">
        <w:rPr>
          <w:b/>
          <w:bCs/>
          <w:sz w:val="20"/>
          <w:szCs w:val="22"/>
        </w:rPr>
        <w:t>«Упаковка і споживчі товари»</w:t>
      </w:r>
      <w:r w:rsidRPr="005C7954">
        <w:rPr>
          <w:sz w:val="20"/>
          <w:szCs w:val="22"/>
        </w:rPr>
        <w:t xml:space="preserve"> було зафіксовано органічне зростання продажів на рівні -0,6 % (2-й квартал: -1,0 %). У напрямі упаковки негативну динаміку цін компенсувало збільшення обсягів. Загалом у сегменті споживчих товарів зафіксовано незначне зниження порівняно з високими показниками попереднього року. Бізнес-напрям </w:t>
      </w:r>
      <w:r w:rsidRPr="005C7954">
        <w:rPr>
          <w:b/>
          <w:bCs/>
          <w:sz w:val="20"/>
          <w:szCs w:val="22"/>
        </w:rPr>
        <w:t>«Домашній ремонт, будівництво і товари для професіоналів»</w:t>
      </w:r>
      <w:r w:rsidRPr="005C7954">
        <w:rPr>
          <w:sz w:val="20"/>
          <w:szCs w:val="22"/>
        </w:rPr>
        <w:t xml:space="preserve"> продемонстрував органічне зростання продажів на 1,0 % (2-й квартал: +1,7 %), причому свій внесок зробили напрями «Будівництво» та «Товари для споживачів і домашнього ремонту». З іншого боку, в сегменті «Промислове виробництво і технічне обслуговування» було зафіксовано незначне падіння внаслідок послаблення попиту. </w:t>
      </w:r>
    </w:p>
    <w:p w14:paraId="4C553E0C" w14:textId="77777777" w:rsidR="00E843A4" w:rsidRPr="005C7954" w:rsidRDefault="00E843A4" w:rsidP="00033476">
      <w:pPr>
        <w:rPr>
          <w:rFonts w:cs="Segoe UI"/>
          <w:bCs/>
          <w:sz w:val="20"/>
          <w:szCs w:val="20"/>
        </w:rPr>
      </w:pPr>
    </w:p>
    <w:p w14:paraId="65F1CFA3" w14:textId="6E259357" w:rsidR="00B241F2" w:rsidRPr="005C7954" w:rsidRDefault="003B2EAB" w:rsidP="00033476">
      <w:pPr>
        <w:rPr>
          <w:rFonts w:cs="Segoe UI"/>
          <w:bCs/>
          <w:sz w:val="20"/>
          <w:szCs w:val="20"/>
        </w:rPr>
      </w:pPr>
      <w:r w:rsidRPr="005C7954">
        <w:rPr>
          <w:b/>
          <w:bCs/>
          <w:sz w:val="20"/>
          <w:szCs w:val="22"/>
        </w:rPr>
        <w:t>Скоригований операційний прибуток</w:t>
      </w:r>
      <w:r w:rsidRPr="005C7954">
        <w:rPr>
          <w:sz w:val="20"/>
          <w:szCs w:val="22"/>
        </w:rPr>
        <w:t xml:space="preserve"> зріс на 21,8 % </w:t>
      </w:r>
      <w:r w:rsidR="005D62A3">
        <w:rPr>
          <w:sz w:val="20"/>
          <w:szCs w:val="22"/>
        </w:rPr>
        <w:t xml:space="preserve">– </w:t>
      </w:r>
      <w:r w:rsidRPr="005C7954">
        <w:rPr>
          <w:sz w:val="20"/>
          <w:szCs w:val="22"/>
        </w:rPr>
        <w:t>до 933 млн євро в першому півріччі 2024 року порівняно з 766 млн євро за аналогічний період попереднього року. Скоригована рентабельність продажів значно зросла</w:t>
      </w:r>
      <w:r w:rsidR="001230D7">
        <w:rPr>
          <w:sz w:val="20"/>
          <w:szCs w:val="22"/>
        </w:rPr>
        <w:t xml:space="preserve"> –</w:t>
      </w:r>
      <w:r w:rsidRPr="005C7954">
        <w:rPr>
          <w:sz w:val="20"/>
          <w:szCs w:val="22"/>
        </w:rPr>
        <w:t xml:space="preserve"> на 310 базисних пунктів до 17,0 %. Зниження витрат на сировину, позитивний ефект асортименту </w:t>
      </w:r>
      <w:r w:rsidR="005D62A3">
        <w:rPr>
          <w:sz w:val="20"/>
          <w:szCs w:val="22"/>
        </w:rPr>
        <w:t xml:space="preserve">й </w:t>
      </w:r>
      <w:r w:rsidRPr="005C7954">
        <w:rPr>
          <w:sz w:val="20"/>
          <w:szCs w:val="22"/>
        </w:rPr>
        <w:t>ефективність ланцюга постачання мали особливо позитивний вплив на валовий прибуток.</w:t>
      </w:r>
    </w:p>
    <w:p w14:paraId="1DDE2A6A" w14:textId="362410C7" w:rsidR="00266359" w:rsidRPr="005C7954" w:rsidRDefault="00E31E3B" w:rsidP="00535180">
      <w:pPr>
        <w:rPr>
          <w:rFonts w:cs="Segoe UI"/>
          <w:sz w:val="20"/>
          <w:szCs w:val="20"/>
        </w:rPr>
      </w:pPr>
      <w:r w:rsidRPr="005C7954">
        <w:rPr>
          <w:sz w:val="20"/>
          <w:szCs w:val="22"/>
        </w:rPr>
        <w:t xml:space="preserve">За перші шість місяців 2024 року бізнес-підрозділ </w:t>
      </w:r>
      <w:r w:rsidRPr="005C7954">
        <w:rPr>
          <w:b/>
          <w:bCs/>
          <w:sz w:val="20"/>
          <w:szCs w:val="22"/>
        </w:rPr>
        <w:t>«Споживчі бренди»</w:t>
      </w:r>
      <w:r w:rsidRPr="005C7954">
        <w:rPr>
          <w:sz w:val="20"/>
          <w:szCs w:val="22"/>
        </w:rPr>
        <w:t xml:space="preserve"> згенерував продажі розмір</w:t>
      </w:r>
      <w:r w:rsidR="005D62A3">
        <w:rPr>
          <w:sz w:val="20"/>
          <w:szCs w:val="22"/>
        </w:rPr>
        <w:t>ом</w:t>
      </w:r>
      <w:r w:rsidRPr="005C7954">
        <w:rPr>
          <w:sz w:val="20"/>
          <w:szCs w:val="22"/>
        </w:rPr>
        <w:t xml:space="preserve"> 5 266 млн євро (2-й квартал: 2 662 млн євро). Це відповідає номінальному зниженню на </w:t>
      </w:r>
      <w:r w:rsidRPr="005C7954">
        <w:rPr>
          <w:sz w:val="20"/>
          <w:szCs w:val="22"/>
        </w:rPr>
        <w:lastRenderedPageBreak/>
        <w:t xml:space="preserve">-1,8 відсотка. </w:t>
      </w:r>
      <w:r w:rsidRPr="005C7954">
        <w:rPr>
          <w:b/>
          <w:bCs/>
          <w:sz w:val="20"/>
          <w:szCs w:val="22"/>
        </w:rPr>
        <w:t>В органічному вираженні</w:t>
      </w:r>
      <w:r w:rsidRPr="005C7954">
        <w:rPr>
          <w:sz w:val="20"/>
          <w:szCs w:val="22"/>
        </w:rPr>
        <w:t xml:space="preserve"> продажі зросли на 4,3 % (2-й квартал: +3,3 %). Цьому сприяла цінова складова на рівні +5,1 %. Передусім з огляду на триваючі заходи з оптимізації портфеля, обсяги дещо зменшилися на -0,9 %. Однак динаміка обсягів демонструвала послідовне покращення у другому кварталі порівняно з першим кварталом 2024 року.</w:t>
      </w:r>
    </w:p>
    <w:p w14:paraId="00DEB354" w14:textId="77777777" w:rsidR="00266359" w:rsidRPr="005C7954" w:rsidRDefault="00266359" w:rsidP="00535180">
      <w:pPr>
        <w:rPr>
          <w:rFonts w:cs="Segoe UI"/>
          <w:sz w:val="20"/>
          <w:szCs w:val="20"/>
        </w:rPr>
      </w:pPr>
    </w:p>
    <w:p w14:paraId="57C18E66" w14:textId="3A73DD7E" w:rsidR="00266359" w:rsidRPr="005C7954" w:rsidRDefault="00E31E3B" w:rsidP="00535180">
      <w:pPr>
        <w:rPr>
          <w:sz w:val="20"/>
          <w:szCs w:val="22"/>
        </w:rPr>
      </w:pPr>
      <w:r w:rsidRPr="005C7954">
        <w:rPr>
          <w:sz w:val="20"/>
          <w:szCs w:val="22"/>
        </w:rPr>
        <w:t xml:space="preserve">Бізнес-напрям </w:t>
      </w:r>
      <w:r w:rsidRPr="005C7954">
        <w:rPr>
          <w:b/>
          <w:bCs/>
          <w:sz w:val="20"/>
          <w:szCs w:val="22"/>
        </w:rPr>
        <w:t>«Засоби для прання та догляду за оселею»</w:t>
      </w:r>
      <w:r w:rsidRPr="005C7954">
        <w:rPr>
          <w:sz w:val="20"/>
          <w:szCs w:val="22"/>
        </w:rPr>
        <w:t xml:space="preserve"> продемонстрував значне органічне зростання продажів на 3,1 % (2-й квартал: +1,5 %). Напрям «Засоби для прання» досяг позитивного органічного зростання продажів, переважно завдяки двозначному збільшенню продажів у категорії «Засоби для догляду за тканинами» та хорошому зростанню продажів у категорії «Засоби для чищення тканин». Значне зростання в сегменті «Засоби для догляду за оселею» відбулося насамперед завдяки двозначному збільшенню продажів у категоріях «Засоби для миття посуду» та «Засоби для догляду за туалетом». У першому півріччі в бізнес-напрямі </w:t>
      </w:r>
      <w:r w:rsidRPr="005C7954">
        <w:rPr>
          <w:b/>
          <w:bCs/>
          <w:sz w:val="20"/>
          <w:szCs w:val="22"/>
        </w:rPr>
        <w:t>«Засоби для волосся»</w:t>
      </w:r>
      <w:r w:rsidRPr="005C7954">
        <w:rPr>
          <w:sz w:val="20"/>
          <w:szCs w:val="22"/>
        </w:rPr>
        <w:t xml:space="preserve"> було досягнуто значне органічне зростання продажів на 7,3 % (2-й квартал: +7,7 %). Споживчий бізнес продемонстрував двозначне зростання, головним чином завдяки категорії «Засоби для укладання волосся», в якій також було зафіксовано двозначне органічне зростання продажів за аналогічний період попередніх років. У сегменті «Товари для професіоналів»» зафіксовано високе органічне зростання продажів. У бізнес-напрямі </w:t>
      </w:r>
      <w:r w:rsidRPr="005C7954">
        <w:rPr>
          <w:b/>
          <w:bCs/>
          <w:sz w:val="20"/>
          <w:szCs w:val="22"/>
        </w:rPr>
        <w:t>«Інші споживчі товари»</w:t>
      </w:r>
      <w:r w:rsidRPr="005C7954">
        <w:rPr>
          <w:sz w:val="20"/>
          <w:szCs w:val="22"/>
        </w:rPr>
        <w:t xml:space="preserve"> було зафіксовано хороші показники органічного зростання продажів на 2,3 % (2-й квартал: +0,7 %). </w:t>
      </w:r>
    </w:p>
    <w:p w14:paraId="5FCF0009" w14:textId="77777777" w:rsidR="00266359" w:rsidRPr="005C7954" w:rsidRDefault="00266359" w:rsidP="00535180">
      <w:pPr>
        <w:rPr>
          <w:sz w:val="20"/>
          <w:szCs w:val="22"/>
        </w:rPr>
      </w:pPr>
    </w:p>
    <w:p w14:paraId="59CD1488" w14:textId="20A46295" w:rsidR="00E31E3B" w:rsidRPr="005C7954" w:rsidRDefault="00B04955" w:rsidP="00E31E3B">
      <w:pPr>
        <w:rPr>
          <w:rFonts w:cs="Segoe UI"/>
          <w:sz w:val="20"/>
          <w:szCs w:val="20"/>
          <w:highlight w:val="yellow"/>
        </w:rPr>
      </w:pPr>
      <w:r w:rsidRPr="005C7954">
        <w:rPr>
          <w:b/>
          <w:bCs/>
          <w:sz w:val="20"/>
          <w:szCs w:val="22"/>
        </w:rPr>
        <w:t>Скоригований операційний прибуток</w:t>
      </w:r>
      <w:r w:rsidRPr="005C7954">
        <w:rPr>
          <w:sz w:val="20"/>
          <w:szCs w:val="22"/>
        </w:rPr>
        <w:t xml:space="preserve"> </w:t>
      </w:r>
      <w:r w:rsidR="005D62A3">
        <w:rPr>
          <w:sz w:val="20"/>
          <w:szCs w:val="22"/>
        </w:rPr>
        <w:t xml:space="preserve">становив </w:t>
      </w:r>
      <w:r w:rsidRPr="005C7954">
        <w:rPr>
          <w:sz w:val="20"/>
          <w:szCs w:val="22"/>
        </w:rPr>
        <w:t xml:space="preserve">753 млн євро і, таким чином, зріс на 34,8 % порівняно з минулорічним періодом. Це зростання було зумовлене зміною відпускних цін та економією, досягнутою завдяки створенню інтегрованого бізнес-підрозділу «Споживчі бренди», а також заходам з оптимізації портфеля та валоризації. </w:t>
      </w:r>
      <w:r w:rsidRPr="005C7954">
        <w:rPr>
          <w:b/>
          <w:bCs/>
          <w:sz w:val="20"/>
          <w:szCs w:val="22"/>
        </w:rPr>
        <w:t>Скоригована рентабельність продажів</w:t>
      </w:r>
      <w:r w:rsidRPr="005C7954">
        <w:rPr>
          <w:sz w:val="20"/>
          <w:szCs w:val="22"/>
        </w:rPr>
        <w:t xml:space="preserve"> значно зросла </w:t>
      </w:r>
      <w:r w:rsidR="009D0FB3">
        <w:rPr>
          <w:sz w:val="20"/>
          <w:szCs w:val="22"/>
        </w:rPr>
        <w:t xml:space="preserve">– </w:t>
      </w:r>
      <w:r w:rsidRPr="005C7954">
        <w:rPr>
          <w:sz w:val="20"/>
          <w:szCs w:val="22"/>
        </w:rPr>
        <w:t>на 390 базисних пунктів до 14,3 %.</w:t>
      </w:r>
    </w:p>
    <w:p w14:paraId="3C9D2CBA" w14:textId="77777777" w:rsidR="003F11AB" w:rsidRPr="005C7954" w:rsidRDefault="003F11AB" w:rsidP="00E10F79">
      <w:pPr>
        <w:spacing w:after="120"/>
        <w:rPr>
          <w:rFonts w:cs="Segoe UI"/>
          <w:b/>
          <w:sz w:val="20"/>
          <w:szCs w:val="20"/>
        </w:rPr>
      </w:pPr>
    </w:p>
    <w:p w14:paraId="198D3956" w14:textId="0C9D42C9" w:rsidR="00E10F79" w:rsidRPr="005C7954" w:rsidRDefault="00B5592E" w:rsidP="00E10F79">
      <w:pPr>
        <w:spacing w:after="120"/>
        <w:rPr>
          <w:rFonts w:cs="Segoe UI"/>
          <w:b/>
          <w:sz w:val="20"/>
          <w:szCs w:val="20"/>
        </w:rPr>
      </w:pPr>
      <w:r w:rsidRPr="005C7954">
        <w:rPr>
          <w:b/>
          <w:sz w:val="20"/>
          <w:szCs w:val="22"/>
        </w:rPr>
        <w:t>Впровадження програми цілеспрямованого зростання послідовно просувається вперед</w:t>
      </w:r>
    </w:p>
    <w:p w14:paraId="5261333A" w14:textId="5D66C21F" w:rsidR="00033476" w:rsidRPr="005C7954" w:rsidRDefault="00E10F79" w:rsidP="00E10F79">
      <w:pPr>
        <w:spacing w:after="120"/>
        <w:rPr>
          <w:rFonts w:cs="Segoe UI"/>
          <w:bCs/>
          <w:sz w:val="20"/>
          <w:szCs w:val="20"/>
        </w:rPr>
      </w:pPr>
      <w:r w:rsidRPr="005C7954">
        <w:rPr>
          <w:sz w:val="20"/>
          <w:szCs w:val="22"/>
        </w:rPr>
        <w:t>У першій половині 2024 року компанія «</w:t>
      </w:r>
      <w:proofErr w:type="spellStart"/>
      <w:r w:rsidRPr="005C7954">
        <w:rPr>
          <w:sz w:val="20"/>
          <w:szCs w:val="22"/>
        </w:rPr>
        <w:t>Хенкель</w:t>
      </w:r>
      <w:proofErr w:type="spellEnd"/>
      <w:r w:rsidRPr="005C7954">
        <w:rPr>
          <w:sz w:val="20"/>
          <w:szCs w:val="22"/>
        </w:rPr>
        <w:t xml:space="preserve">» продовжила послідовно реалізовувати стратегічні пріоритети своєї програми цілеспрямованого зростання </w:t>
      </w:r>
      <w:r w:rsidR="009D0FB3">
        <w:rPr>
          <w:sz w:val="20"/>
          <w:szCs w:val="22"/>
        </w:rPr>
        <w:t xml:space="preserve">та </w:t>
      </w:r>
      <w:r w:rsidRPr="005C7954">
        <w:rPr>
          <w:sz w:val="20"/>
          <w:szCs w:val="22"/>
        </w:rPr>
        <w:t>досягла значного прогресу в усіх сферах.</w:t>
      </w:r>
      <w:bookmarkStart w:id="6" w:name="_Hlk109204398"/>
    </w:p>
    <w:p w14:paraId="31D483CD" w14:textId="4A3210DA" w:rsidR="00B71798" w:rsidRPr="005C7954" w:rsidRDefault="00E10F79" w:rsidP="00033476">
      <w:pPr>
        <w:autoSpaceDE w:val="0"/>
        <w:autoSpaceDN w:val="0"/>
        <w:adjustRightInd w:val="0"/>
        <w:rPr>
          <w:rFonts w:cs="Segoe UI"/>
          <w:sz w:val="20"/>
          <w:szCs w:val="20"/>
        </w:rPr>
      </w:pPr>
      <w:r w:rsidRPr="005C7954">
        <w:rPr>
          <w:sz w:val="20"/>
          <w:szCs w:val="22"/>
        </w:rPr>
        <w:t xml:space="preserve">У першому півріччі 2024 року успішно просувався процес </w:t>
      </w:r>
      <w:r w:rsidRPr="005C7954">
        <w:rPr>
          <w:b/>
          <w:bCs/>
          <w:sz w:val="20"/>
          <w:szCs w:val="22"/>
        </w:rPr>
        <w:t>злиття</w:t>
      </w:r>
      <w:r w:rsidRPr="005C7954">
        <w:rPr>
          <w:sz w:val="20"/>
          <w:szCs w:val="22"/>
        </w:rPr>
        <w:t xml:space="preserve"> колишніх бізнес-підрозділів «Засоби для прання та догляду за оселею» і «Косметичні засоби» у єдиний бізнес-підрозділ </w:t>
      </w:r>
      <w:r w:rsidRPr="005C7954">
        <w:rPr>
          <w:b/>
          <w:bCs/>
          <w:sz w:val="20"/>
          <w:szCs w:val="22"/>
        </w:rPr>
        <w:t>«Споживчі бренди»</w:t>
      </w:r>
      <w:r w:rsidRPr="005C7954">
        <w:rPr>
          <w:sz w:val="20"/>
          <w:szCs w:val="22"/>
        </w:rPr>
        <w:t>, який відбується у два етапи. Компанія «</w:t>
      </w:r>
      <w:proofErr w:type="spellStart"/>
      <w:r w:rsidRPr="005C7954">
        <w:rPr>
          <w:sz w:val="20"/>
          <w:szCs w:val="22"/>
        </w:rPr>
        <w:t>Хенкель</w:t>
      </w:r>
      <w:proofErr w:type="spellEnd"/>
      <w:r w:rsidRPr="005C7954">
        <w:rPr>
          <w:sz w:val="20"/>
          <w:szCs w:val="22"/>
        </w:rPr>
        <w:t>» досягла подальшої економії в цьому процесі. Загалом компанія планує заощадити 525 млн євро від обох етапів інтеграції. Вони мають бути реалізовані в повному обсязі до кінця 2026 року.</w:t>
      </w:r>
      <w:bookmarkEnd w:id="6"/>
    </w:p>
    <w:p w14:paraId="2EA727BA" w14:textId="77777777" w:rsidR="00B71798" w:rsidRPr="005C7954" w:rsidRDefault="00B71798" w:rsidP="00033476">
      <w:pPr>
        <w:autoSpaceDE w:val="0"/>
        <w:autoSpaceDN w:val="0"/>
        <w:adjustRightInd w:val="0"/>
        <w:rPr>
          <w:rFonts w:cs="Segoe UI"/>
          <w:sz w:val="20"/>
          <w:szCs w:val="20"/>
          <w:lang w:eastAsia="de-DE"/>
        </w:rPr>
      </w:pPr>
    </w:p>
    <w:p w14:paraId="0F8E76AF" w14:textId="77777777" w:rsidR="00DB3910" w:rsidRPr="005C7954" w:rsidRDefault="00DB3910">
      <w:pPr>
        <w:spacing w:line="240" w:lineRule="auto"/>
        <w:jc w:val="left"/>
        <w:rPr>
          <w:rFonts w:cs="Segoe UI"/>
          <w:sz w:val="20"/>
          <w:szCs w:val="20"/>
        </w:rPr>
      </w:pPr>
      <w:r w:rsidRPr="005C7954">
        <w:rPr>
          <w:sz w:val="20"/>
          <w:szCs w:val="22"/>
        </w:rPr>
        <w:br w:type="page"/>
      </w:r>
    </w:p>
    <w:p w14:paraId="0860B868" w14:textId="6F2045AE" w:rsidR="00E10F79" w:rsidRPr="005C7954" w:rsidRDefault="005D62A3" w:rsidP="00660196">
      <w:pPr>
        <w:autoSpaceDE w:val="0"/>
        <w:autoSpaceDN w:val="0"/>
        <w:adjustRightInd w:val="0"/>
        <w:rPr>
          <w:rFonts w:cs="Segoe UI"/>
          <w:sz w:val="20"/>
          <w:szCs w:val="20"/>
        </w:rPr>
      </w:pPr>
      <w:r>
        <w:rPr>
          <w:sz w:val="20"/>
          <w:szCs w:val="22"/>
        </w:rPr>
        <w:lastRenderedPageBreak/>
        <w:t xml:space="preserve">У межах </w:t>
      </w:r>
      <w:r w:rsidR="00E10F79" w:rsidRPr="005C7954">
        <w:rPr>
          <w:sz w:val="20"/>
          <w:szCs w:val="22"/>
        </w:rPr>
        <w:t>другого етапу інтеграції, який зосереджується на досконалості ланцюга постачання у бізнес-підрозділі «Споживчі бренди», так званий принцип «1-1-1» було запроваджено вже майже в 30 країнах. Це стосується просування комерційної інтеграції з оптимізованими логістичними процесами відповідно до принципу «одне обличчя до клієнта». Це означає: одне замовлення, одна доставка, один рахунок-фактура. Крім того, було оптимізовано та консолідовано виробничу та логістичну мережу, наприклад, у США та країнах Східної Європи в сегменті «Засоби для прання та догляду за оселею». Загалом ці заходи вже привели до загального зниження рівня складності приблизно на 16 відсотків.</w:t>
      </w:r>
    </w:p>
    <w:p w14:paraId="69832396" w14:textId="77777777" w:rsidR="00E10F79" w:rsidRPr="005C7954" w:rsidRDefault="00E10F79" w:rsidP="00E10F79">
      <w:pPr>
        <w:autoSpaceDE w:val="0"/>
        <w:autoSpaceDN w:val="0"/>
        <w:adjustRightInd w:val="0"/>
        <w:rPr>
          <w:rFonts w:cs="Segoe UI"/>
          <w:sz w:val="20"/>
          <w:szCs w:val="20"/>
          <w:lang w:eastAsia="de-DE"/>
        </w:rPr>
      </w:pPr>
    </w:p>
    <w:p w14:paraId="75F71581" w14:textId="441E11E8" w:rsidR="00033476" w:rsidRPr="005C7954" w:rsidRDefault="006F1022" w:rsidP="00033476">
      <w:pPr>
        <w:autoSpaceDE w:val="0"/>
        <w:autoSpaceDN w:val="0"/>
        <w:adjustRightInd w:val="0"/>
        <w:rPr>
          <w:rFonts w:cs="Segoe UI"/>
          <w:sz w:val="20"/>
          <w:szCs w:val="20"/>
        </w:rPr>
      </w:pPr>
      <w:r>
        <w:rPr>
          <w:sz w:val="20"/>
          <w:szCs w:val="22"/>
        </w:rPr>
        <w:t xml:space="preserve">Компанія </w:t>
      </w:r>
      <w:r w:rsidR="004647C5" w:rsidRPr="005C7954">
        <w:rPr>
          <w:sz w:val="20"/>
          <w:szCs w:val="22"/>
        </w:rPr>
        <w:t>«</w:t>
      </w:r>
      <w:proofErr w:type="spellStart"/>
      <w:r w:rsidR="004647C5" w:rsidRPr="005C7954">
        <w:rPr>
          <w:sz w:val="20"/>
          <w:szCs w:val="22"/>
        </w:rPr>
        <w:t>Хенкель</w:t>
      </w:r>
      <w:proofErr w:type="spellEnd"/>
      <w:r w:rsidR="004647C5" w:rsidRPr="005C7954">
        <w:rPr>
          <w:sz w:val="20"/>
          <w:szCs w:val="22"/>
        </w:rPr>
        <w:t xml:space="preserve">» також ще більше сконцентрувала свій портфель споживчих брендів. Останнім часом основну увагу було зосереджено на сегменті «Засоби для прання та догляду за оселею» </w:t>
      </w:r>
      <w:r w:rsidR="00C13E55">
        <w:rPr>
          <w:sz w:val="20"/>
          <w:szCs w:val="22"/>
        </w:rPr>
        <w:t xml:space="preserve">в </w:t>
      </w:r>
      <w:r w:rsidR="004647C5" w:rsidRPr="005C7954">
        <w:rPr>
          <w:sz w:val="20"/>
          <w:szCs w:val="22"/>
        </w:rPr>
        <w:t>Північній Америці.</w:t>
      </w:r>
    </w:p>
    <w:p w14:paraId="2300E31C" w14:textId="77777777" w:rsidR="00033476" w:rsidRPr="005C7954" w:rsidRDefault="00033476" w:rsidP="00033476">
      <w:pPr>
        <w:autoSpaceDE w:val="0"/>
        <w:autoSpaceDN w:val="0"/>
        <w:adjustRightInd w:val="0"/>
        <w:rPr>
          <w:rFonts w:cs="Segoe UI"/>
          <w:sz w:val="20"/>
          <w:szCs w:val="20"/>
          <w:highlight w:val="yellow"/>
          <w:lang w:eastAsia="de-DE"/>
        </w:rPr>
      </w:pPr>
    </w:p>
    <w:p w14:paraId="6E722B39" w14:textId="5F62F53F" w:rsidR="00A45717" w:rsidRPr="005C7954" w:rsidRDefault="004647C5" w:rsidP="00564534">
      <w:pPr>
        <w:autoSpaceDE w:val="0"/>
        <w:autoSpaceDN w:val="0"/>
        <w:adjustRightInd w:val="0"/>
        <w:rPr>
          <w:rFonts w:cs="Segoe UI"/>
          <w:bCs/>
          <w:sz w:val="20"/>
          <w:szCs w:val="20"/>
        </w:rPr>
      </w:pPr>
      <w:r w:rsidRPr="005C7954">
        <w:rPr>
          <w:sz w:val="20"/>
          <w:szCs w:val="22"/>
        </w:rPr>
        <w:t xml:space="preserve">Для подальшого зміцнення своєї </w:t>
      </w:r>
      <w:r w:rsidRPr="005C7954">
        <w:rPr>
          <w:b/>
          <w:bCs/>
          <w:sz w:val="20"/>
          <w:szCs w:val="22"/>
        </w:rPr>
        <w:t>конкурентоспроможності</w:t>
      </w:r>
      <w:r w:rsidRPr="005C7954">
        <w:rPr>
          <w:sz w:val="20"/>
          <w:szCs w:val="22"/>
        </w:rPr>
        <w:t xml:space="preserve"> «</w:t>
      </w:r>
      <w:proofErr w:type="spellStart"/>
      <w:r w:rsidRPr="005C7954">
        <w:rPr>
          <w:sz w:val="20"/>
          <w:szCs w:val="22"/>
        </w:rPr>
        <w:t>Хенкель</w:t>
      </w:r>
      <w:proofErr w:type="spellEnd"/>
      <w:r w:rsidRPr="005C7954">
        <w:rPr>
          <w:sz w:val="20"/>
          <w:szCs w:val="22"/>
        </w:rPr>
        <w:t xml:space="preserve">» зосереджується на потужних інноваціях у привабливих сферах бізнесу. Це також сприяло зростанню обох бізнес-підрозділів у першій половині 2024 року. </w:t>
      </w:r>
      <w:bookmarkStart w:id="7" w:name="_Hlk140221026"/>
      <w:bookmarkStart w:id="8" w:name="_Hlk109382178"/>
      <w:r w:rsidRPr="005C7954">
        <w:rPr>
          <w:sz w:val="20"/>
          <w:szCs w:val="22"/>
        </w:rPr>
        <w:t xml:space="preserve">У бізнес-підрозділі </w:t>
      </w:r>
      <w:r w:rsidRPr="005C7954">
        <w:rPr>
          <w:b/>
          <w:bCs/>
          <w:sz w:val="20"/>
          <w:szCs w:val="22"/>
        </w:rPr>
        <w:t>«Клейові технології»</w:t>
      </w:r>
      <w:r w:rsidRPr="005C7954">
        <w:rPr>
          <w:sz w:val="20"/>
          <w:szCs w:val="22"/>
        </w:rPr>
        <w:t xml:space="preserve"> компанія «</w:t>
      </w:r>
      <w:proofErr w:type="spellStart"/>
      <w:r w:rsidRPr="005C7954">
        <w:rPr>
          <w:sz w:val="20"/>
          <w:szCs w:val="22"/>
        </w:rPr>
        <w:t>Хенкель</w:t>
      </w:r>
      <w:proofErr w:type="spellEnd"/>
      <w:r w:rsidRPr="005C7954">
        <w:rPr>
          <w:sz w:val="20"/>
          <w:szCs w:val="22"/>
        </w:rPr>
        <w:t xml:space="preserve">» слідує тенденції до більш інтегрованих автомобільних компонентів, що зумовлює попит на інноваційні клейові рішення. Одним </w:t>
      </w:r>
      <w:r w:rsidR="006F1022">
        <w:rPr>
          <w:sz w:val="20"/>
          <w:szCs w:val="22"/>
        </w:rPr>
        <w:t>і</w:t>
      </w:r>
      <w:r w:rsidRPr="005C7954">
        <w:rPr>
          <w:sz w:val="20"/>
          <w:szCs w:val="22"/>
        </w:rPr>
        <w:t>з прикладів є інтеграція електронних компонентів, які забезпечують високі переваги для автомобілів незалежно від силового агрегату. Водночас це дуже складна сфера з дуже специфічними вимогами до терморегуляції клейових розчинів, що наносяться. «</w:t>
      </w:r>
      <w:proofErr w:type="spellStart"/>
      <w:r w:rsidRPr="005C7954">
        <w:rPr>
          <w:sz w:val="20"/>
          <w:szCs w:val="22"/>
        </w:rPr>
        <w:t>Хенкель</w:t>
      </w:r>
      <w:proofErr w:type="spellEnd"/>
      <w:r w:rsidRPr="005C7954">
        <w:rPr>
          <w:sz w:val="20"/>
          <w:szCs w:val="22"/>
        </w:rPr>
        <w:t xml:space="preserve">» є одним </w:t>
      </w:r>
      <w:r w:rsidR="006F1022">
        <w:rPr>
          <w:sz w:val="20"/>
          <w:szCs w:val="22"/>
        </w:rPr>
        <w:t>і</w:t>
      </w:r>
      <w:r w:rsidRPr="005C7954">
        <w:rPr>
          <w:sz w:val="20"/>
          <w:szCs w:val="22"/>
        </w:rPr>
        <w:t xml:space="preserve">з небагатьох гравців, які рано розпізнали цю тенденцію </w:t>
      </w:r>
      <w:r w:rsidR="006F1022">
        <w:rPr>
          <w:sz w:val="20"/>
          <w:szCs w:val="22"/>
        </w:rPr>
        <w:t xml:space="preserve">та </w:t>
      </w:r>
      <w:r w:rsidRPr="005C7954">
        <w:rPr>
          <w:sz w:val="20"/>
          <w:szCs w:val="22"/>
        </w:rPr>
        <w:t xml:space="preserve">почали співпрацювати з провідними виробниками обладнання та ключовими постачальниками, розробляючи інноваційні рішення. Потенціал зростання ринку таких інтегрованих компонентів очікується на рівні понад 20 відсотків протягом наступних кількох років. </w:t>
      </w:r>
      <w:bookmarkEnd w:id="7"/>
      <w:r w:rsidRPr="005C7954">
        <w:rPr>
          <w:sz w:val="20"/>
          <w:szCs w:val="22"/>
        </w:rPr>
        <w:t xml:space="preserve">У бізнес-підрозділі </w:t>
      </w:r>
      <w:r w:rsidRPr="005C7954">
        <w:rPr>
          <w:b/>
          <w:bCs/>
          <w:sz w:val="20"/>
          <w:szCs w:val="22"/>
        </w:rPr>
        <w:t>«Споживчі бренди»</w:t>
      </w:r>
      <w:r w:rsidRPr="005C7954">
        <w:rPr>
          <w:sz w:val="20"/>
          <w:szCs w:val="22"/>
        </w:rPr>
        <w:t xml:space="preserve"> дуже сильне органічне зростання продажів </w:t>
      </w:r>
      <w:r w:rsidR="006F1022">
        <w:rPr>
          <w:sz w:val="20"/>
          <w:szCs w:val="22"/>
        </w:rPr>
        <w:t>(</w:t>
      </w:r>
      <w:r w:rsidRPr="005C7954">
        <w:rPr>
          <w:sz w:val="20"/>
          <w:szCs w:val="22"/>
        </w:rPr>
        <w:t>на понад 7 %</w:t>
      </w:r>
      <w:r w:rsidR="006F1022">
        <w:rPr>
          <w:sz w:val="20"/>
          <w:szCs w:val="22"/>
        </w:rPr>
        <w:t xml:space="preserve">) </w:t>
      </w:r>
      <w:r w:rsidRPr="005C7954">
        <w:rPr>
          <w:sz w:val="20"/>
          <w:szCs w:val="22"/>
        </w:rPr>
        <w:t xml:space="preserve">у сегменті «Волосся» було забезпечене, зокрема, брендом </w:t>
      </w:r>
      <w:proofErr w:type="spellStart"/>
      <w:r w:rsidRPr="005C7954">
        <w:rPr>
          <w:sz w:val="20"/>
          <w:szCs w:val="22"/>
        </w:rPr>
        <w:t>Schwarzkopf</w:t>
      </w:r>
      <w:proofErr w:type="spellEnd"/>
      <w:r w:rsidRPr="005C7954">
        <w:rPr>
          <w:sz w:val="20"/>
          <w:szCs w:val="22"/>
        </w:rPr>
        <w:t xml:space="preserve"> – як у споживчому, так і в професійному сегментах. Цей бізнес-напрям </w:t>
      </w:r>
      <w:r w:rsidR="006F1022">
        <w:rPr>
          <w:sz w:val="20"/>
          <w:szCs w:val="22"/>
        </w:rPr>
        <w:t>у</w:t>
      </w:r>
      <w:r w:rsidRPr="005C7954">
        <w:rPr>
          <w:sz w:val="20"/>
          <w:szCs w:val="22"/>
        </w:rPr>
        <w:t>же чотири квартали поспіль демонструє позитивну динаміку обсягів. Водночас частка ринку зросла на 40 базисних пунктів у сегментах «Засоби для укладання волосся» та «Фарбування». Крім того, перезапуск бренд</w:t>
      </w:r>
      <w:r w:rsidR="006F1022">
        <w:rPr>
          <w:sz w:val="20"/>
          <w:szCs w:val="22"/>
        </w:rPr>
        <w:t>а</w:t>
      </w:r>
      <w:r w:rsidRPr="005C7954">
        <w:rPr>
          <w:sz w:val="20"/>
          <w:szCs w:val="22"/>
        </w:rPr>
        <w:t xml:space="preserve"> </w:t>
      </w:r>
      <w:proofErr w:type="spellStart"/>
      <w:r w:rsidRPr="005C7954">
        <w:rPr>
          <w:sz w:val="20"/>
          <w:szCs w:val="22"/>
        </w:rPr>
        <w:t>Gliss</w:t>
      </w:r>
      <w:proofErr w:type="spellEnd"/>
      <w:r w:rsidRPr="005C7954">
        <w:rPr>
          <w:sz w:val="20"/>
          <w:szCs w:val="22"/>
        </w:rPr>
        <w:t xml:space="preserve"> з новими формулами для 100% сильнішого волосся призвів до двозначного органічного зростання продажів бренд</w:t>
      </w:r>
      <w:r w:rsidR="00C13E55">
        <w:rPr>
          <w:sz w:val="20"/>
          <w:szCs w:val="22"/>
        </w:rPr>
        <w:t>а</w:t>
      </w:r>
      <w:r w:rsidRPr="005C7954">
        <w:rPr>
          <w:sz w:val="20"/>
          <w:szCs w:val="22"/>
        </w:rPr>
        <w:t xml:space="preserve"> в першому півріччі.</w:t>
      </w:r>
    </w:p>
    <w:p w14:paraId="057C6209" w14:textId="77777777" w:rsidR="00A45717" w:rsidRPr="005C7954" w:rsidRDefault="00A45717" w:rsidP="00A45717">
      <w:pPr>
        <w:autoSpaceDE w:val="0"/>
        <w:autoSpaceDN w:val="0"/>
        <w:adjustRightInd w:val="0"/>
        <w:rPr>
          <w:rFonts w:cs="Segoe UI"/>
          <w:bCs/>
          <w:sz w:val="20"/>
          <w:szCs w:val="20"/>
        </w:rPr>
      </w:pPr>
    </w:p>
    <w:p w14:paraId="5D3F3F74" w14:textId="45089CA9" w:rsidR="00A45717" w:rsidRPr="005C7954" w:rsidRDefault="00A45717" w:rsidP="00E806A5">
      <w:pPr>
        <w:rPr>
          <w:rFonts w:cs="Segoe UI"/>
          <w:sz w:val="20"/>
          <w:szCs w:val="20"/>
        </w:rPr>
      </w:pPr>
      <w:bookmarkStart w:id="9" w:name="_Hlk140061007"/>
      <w:bookmarkEnd w:id="8"/>
      <w:r w:rsidRPr="005C7954">
        <w:rPr>
          <w:sz w:val="20"/>
          <w:szCs w:val="22"/>
        </w:rPr>
        <w:t>«Загалом ми дуже задоволені успішними результатами діяльності компанії «</w:t>
      </w:r>
      <w:proofErr w:type="spellStart"/>
      <w:r w:rsidRPr="005C7954">
        <w:rPr>
          <w:sz w:val="20"/>
          <w:szCs w:val="22"/>
        </w:rPr>
        <w:t>Хенкель</w:t>
      </w:r>
      <w:proofErr w:type="spellEnd"/>
      <w:r w:rsidRPr="005C7954">
        <w:rPr>
          <w:sz w:val="20"/>
          <w:szCs w:val="22"/>
        </w:rPr>
        <w:t xml:space="preserve">» у першому півріччі </w:t>
      </w:r>
      <w:r w:rsidR="006F1022">
        <w:rPr>
          <w:sz w:val="20"/>
          <w:szCs w:val="22"/>
        </w:rPr>
        <w:t xml:space="preserve">та </w:t>
      </w:r>
      <w:r w:rsidRPr="005C7954">
        <w:rPr>
          <w:sz w:val="20"/>
          <w:szCs w:val="22"/>
        </w:rPr>
        <w:t xml:space="preserve">пишаємося значним прогресом, якого досягли в реалізації нашої стратегічної програми зростання, – зазначив </w:t>
      </w:r>
      <w:proofErr w:type="spellStart"/>
      <w:r w:rsidRPr="005C7954">
        <w:rPr>
          <w:sz w:val="20"/>
          <w:szCs w:val="22"/>
        </w:rPr>
        <w:t>Карстен</w:t>
      </w:r>
      <w:proofErr w:type="spellEnd"/>
      <w:r w:rsidRPr="005C7954">
        <w:rPr>
          <w:sz w:val="20"/>
          <w:szCs w:val="22"/>
        </w:rPr>
        <w:t xml:space="preserve"> </w:t>
      </w:r>
      <w:proofErr w:type="spellStart"/>
      <w:r w:rsidRPr="005C7954">
        <w:rPr>
          <w:sz w:val="20"/>
          <w:szCs w:val="22"/>
        </w:rPr>
        <w:t>Кнобель</w:t>
      </w:r>
      <w:proofErr w:type="spellEnd"/>
      <w:r w:rsidRPr="005C7954">
        <w:rPr>
          <w:sz w:val="20"/>
          <w:szCs w:val="22"/>
        </w:rPr>
        <w:t xml:space="preserve">. </w:t>
      </w:r>
      <w:r w:rsidR="006F1022">
        <w:rPr>
          <w:sz w:val="20"/>
          <w:szCs w:val="22"/>
        </w:rPr>
        <w:t xml:space="preserve">– </w:t>
      </w:r>
      <w:r w:rsidRPr="005C7954">
        <w:rPr>
          <w:sz w:val="20"/>
          <w:szCs w:val="22"/>
        </w:rPr>
        <w:t>Ми втілюємо в життя те, за що взяли на себе зобов'язання, і те, що ми оголосили. І ми досягаємо відчутного прогресу: в нашому бізнесі, продажах і доходах. Ми змінюємо «</w:t>
      </w:r>
      <w:proofErr w:type="spellStart"/>
      <w:r w:rsidRPr="005C7954">
        <w:rPr>
          <w:sz w:val="20"/>
          <w:szCs w:val="22"/>
        </w:rPr>
        <w:t>Хенкель</w:t>
      </w:r>
      <w:proofErr w:type="spellEnd"/>
      <w:r w:rsidRPr="005C7954">
        <w:rPr>
          <w:sz w:val="20"/>
          <w:szCs w:val="22"/>
        </w:rPr>
        <w:t>» сміливими рішеннями заради успішного майбутнього. Маючи чітку стратегію, ми на правильному шляху до подальшого прибуткового зростання».</w:t>
      </w:r>
    </w:p>
    <w:bookmarkEnd w:id="9"/>
    <w:p w14:paraId="54FF503C" w14:textId="77777777" w:rsidR="00E806A5" w:rsidRPr="005C7954" w:rsidRDefault="00E806A5" w:rsidP="00F9022A">
      <w:pPr>
        <w:rPr>
          <w:rFonts w:cs="Segoe UI"/>
          <w:sz w:val="20"/>
          <w:szCs w:val="20"/>
        </w:rPr>
      </w:pPr>
    </w:p>
    <w:p w14:paraId="0C5C015B" w14:textId="77777777" w:rsidR="00372619" w:rsidRPr="005C7954" w:rsidRDefault="00372619" w:rsidP="0058377F">
      <w:pPr>
        <w:rPr>
          <w:rStyle w:val="AboutandContactHeadline"/>
          <w:sz w:val="16"/>
          <w:szCs w:val="16"/>
        </w:rPr>
      </w:pPr>
    </w:p>
    <w:p w14:paraId="773968E4" w14:textId="77777777" w:rsidR="00660196" w:rsidRPr="005C7954" w:rsidRDefault="00660196">
      <w:pPr>
        <w:spacing w:line="240" w:lineRule="auto"/>
        <w:jc w:val="left"/>
        <w:rPr>
          <w:rStyle w:val="AboutandContactHeadline"/>
          <w:sz w:val="16"/>
          <w:szCs w:val="16"/>
        </w:rPr>
      </w:pPr>
      <w:r w:rsidRPr="005C7954">
        <w:rPr>
          <w:sz w:val="20"/>
          <w:szCs w:val="22"/>
        </w:rPr>
        <w:br w:type="page"/>
      </w:r>
    </w:p>
    <w:p w14:paraId="1E354DB0" w14:textId="77777777" w:rsidR="00CE3D74" w:rsidRPr="00803B8A" w:rsidRDefault="00CE3D74" w:rsidP="00CE3D74">
      <w:pPr>
        <w:pStyle w:val="He02berschriftEbene2"/>
        <w:pageBreakBefore/>
        <w:rPr>
          <w:sz w:val="18"/>
          <w:szCs w:val="18"/>
          <w:lang w:val="uk-UA"/>
        </w:rPr>
      </w:pPr>
      <w:bookmarkStart w:id="10" w:name="SNWID_5c850bcf49ca407c99bf1fdd504ac12f"/>
      <w:r w:rsidRPr="00803B8A">
        <w:rPr>
          <w:sz w:val="18"/>
          <w:szCs w:val="18"/>
          <w:lang w:val="uk-UA"/>
        </w:rPr>
        <w:lastRenderedPageBreak/>
        <w:t>Про компанію Henkel</w:t>
      </w:r>
    </w:p>
    <w:p w14:paraId="7DF212DB" w14:textId="77777777" w:rsidR="00CE3D74" w:rsidRPr="00803B8A" w:rsidRDefault="00CE3D74" w:rsidP="00CE3D74">
      <w:pPr>
        <w:pStyle w:val="He01Flietext"/>
        <w:jc w:val="both"/>
        <w:rPr>
          <w:sz w:val="18"/>
          <w:szCs w:val="18"/>
        </w:rPr>
      </w:pPr>
      <w:r w:rsidRPr="00803B8A">
        <w:rPr>
          <w:sz w:val="18"/>
          <w:szCs w:val="18"/>
        </w:rPr>
        <w:t xml:space="preserve">Завдяки своїм брендам, інноваціям і технологіям компанія </w:t>
      </w:r>
      <w:r w:rsidRPr="00803B8A">
        <w:rPr>
          <w:spacing w:val="-2"/>
          <w:sz w:val="18"/>
          <w:szCs w:val="18"/>
        </w:rPr>
        <w:t>Henkel</w:t>
      </w:r>
      <w:r w:rsidRPr="00803B8A">
        <w:rPr>
          <w:sz w:val="18"/>
          <w:szCs w:val="18"/>
        </w:rPr>
        <w:t xml:space="preserve"> займає провідні позиції на світовому ринку в промисловому та споживчому бізнесі. Підрозділ «Клейові технології» є світовим лідером на ринку клеїв, герметиків і функціональних покриттів. Підрозділ «Споживчі бренди» утримує провідні позиції на багатьох ринках і в багатьох категоріях по всьому світу, особливо у сфері засобів для прання та догляду за будинком і волоссям. Три найсильніші бренди компанії </w:t>
      </w:r>
      <w:r>
        <w:rPr>
          <w:sz w:val="18"/>
          <w:szCs w:val="18"/>
        </w:rPr>
        <w:t>–</w:t>
      </w:r>
      <w:r w:rsidRPr="00803B8A">
        <w:rPr>
          <w:sz w:val="18"/>
          <w:szCs w:val="18"/>
        </w:rPr>
        <w:t xml:space="preserve"> </w:t>
      </w:r>
      <w:proofErr w:type="spellStart"/>
      <w:r w:rsidRPr="00803B8A">
        <w:rPr>
          <w:sz w:val="18"/>
          <w:szCs w:val="18"/>
        </w:rPr>
        <w:t>Loctite</w:t>
      </w:r>
      <w:proofErr w:type="spellEnd"/>
      <w:r w:rsidRPr="00803B8A">
        <w:rPr>
          <w:sz w:val="18"/>
          <w:szCs w:val="18"/>
        </w:rPr>
        <w:t xml:space="preserve">, </w:t>
      </w:r>
      <w:proofErr w:type="spellStart"/>
      <w:r w:rsidRPr="00803B8A">
        <w:rPr>
          <w:sz w:val="18"/>
          <w:szCs w:val="18"/>
        </w:rPr>
        <w:t>Persil</w:t>
      </w:r>
      <w:proofErr w:type="spellEnd"/>
      <w:r w:rsidRPr="00803B8A">
        <w:rPr>
          <w:sz w:val="18"/>
          <w:szCs w:val="18"/>
        </w:rPr>
        <w:t xml:space="preserve"> та </w:t>
      </w:r>
      <w:proofErr w:type="spellStart"/>
      <w:r w:rsidRPr="00803B8A">
        <w:rPr>
          <w:sz w:val="18"/>
          <w:szCs w:val="18"/>
        </w:rPr>
        <w:t>Schwarzkopf</w:t>
      </w:r>
      <w:proofErr w:type="spellEnd"/>
      <w:r w:rsidRPr="00803B8A">
        <w:rPr>
          <w:sz w:val="18"/>
          <w:szCs w:val="18"/>
        </w:rPr>
        <w:t xml:space="preserve">. У 2023 фінансовому році обсяг продажів компанії </w:t>
      </w:r>
      <w:r w:rsidRPr="00803B8A">
        <w:rPr>
          <w:spacing w:val="-2"/>
          <w:sz w:val="18"/>
          <w:szCs w:val="18"/>
        </w:rPr>
        <w:t>Henkel</w:t>
      </w:r>
      <w:r w:rsidRPr="00803B8A">
        <w:rPr>
          <w:sz w:val="18"/>
          <w:szCs w:val="18"/>
        </w:rPr>
        <w:t xml:space="preserve"> </w:t>
      </w:r>
      <w:r>
        <w:rPr>
          <w:sz w:val="18"/>
          <w:szCs w:val="18"/>
        </w:rPr>
        <w:t xml:space="preserve">становив </w:t>
      </w:r>
      <w:r w:rsidRPr="00803B8A">
        <w:rPr>
          <w:sz w:val="18"/>
          <w:szCs w:val="18"/>
        </w:rPr>
        <w:t xml:space="preserve">понад 21,5 млрд євро, а скоригований операційний прибуток </w:t>
      </w:r>
      <w:r>
        <w:rPr>
          <w:sz w:val="18"/>
          <w:szCs w:val="18"/>
        </w:rPr>
        <w:t>–</w:t>
      </w:r>
      <w:r w:rsidRPr="00803B8A">
        <w:rPr>
          <w:sz w:val="18"/>
          <w:szCs w:val="18"/>
        </w:rPr>
        <w:t xml:space="preserve"> близько 2,6</w:t>
      </w:r>
      <w:r>
        <w:rPr>
          <w:sz w:val="18"/>
          <w:szCs w:val="18"/>
        </w:rPr>
        <w:t> </w:t>
      </w:r>
      <w:r w:rsidRPr="00803B8A">
        <w:rPr>
          <w:sz w:val="18"/>
          <w:szCs w:val="18"/>
        </w:rPr>
        <w:t xml:space="preserve">млрд євро. Привілейовані акції компанії </w:t>
      </w:r>
      <w:r w:rsidRPr="00803B8A">
        <w:rPr>
          <w:spacing w:val="-2"/>
          <w:sz w:val="18"/>
          <w:szCs w:val="18"/>
        </w:rPr>
        <w:t>Henkel</w:t>
      </w:r>
      <w:r w:rsidRPr="00803B8A">
        <w:rPr>
          <w:sz w:val="18"/>
          <w:szCs w:val="18"/>
        </w:rPr>
        <w:t xml:space="preserve"> входять до німецького фондового індексу DAX. Сталий розвиток має давні традиції в компанії </w:t>
      </w:r>
      <w:r w:rsidRPr="00803B8A">
        <w:rPr>
          <w:spacing w:val="-2"/>
          <w:sz w:val="18"/>
          <w:szCs w:val="18"/>
        </w:rPr>
        <w:t>Henkel</w:t>
      </w:r>
      <w:r w:rsidRPr="00803B8A">
        <w:rPr>
          <w:sz w:val="18"/>
          <w:szCs w:val="18"/>
        </w:rPr>
        <w:t xml:space="preserve">, і компанія має чітку стратегію сталого розвитку з конкретними цілями. Компанія </w:t>
      </w:r>
      <w:r w:rsidRPr="00803B8A">
        <w:rPr>
          <w:spacing w:val="-2"/>
          <w:sz w:val="18"/>
          <w:szCs w:val="18"/>
        </w:rPr>
        <w:t>Henkel</w:t>
      </w:r>
      <w:r w:rsidRPr="00803B8A">
        <w:rPr>
          <w:sz w:val="18"/>
          <w:szCs w:val="18"/>
        </w:rPr>
        <w:t xml:space="preserve"> була заснована в 1876 році і сьогодні налічує близько 48 000 співробітників по всьому світу, яких об’єднує сильна корпоративна культура, спільні цінності та спільна мета: «</w:t>
      </w:r>
      <w:proofErr w:type="spellStart"/>
      <w:r w:rsidRPr="00803B8A">
        <w:rPr>
          <w:sz w:val="18"/>
          <w:szCs w:val="18"/>
        </w:rPr>
        <w:t>Першопрохідці</w:t>
      </w:r>
      <w:proofErr w:type="spellEnd"/>
      <w:r w:rsidRPr="00803B8A">
        <w:rPr>
          <w:sz w:val="18"/>
          <w:szCs w:val="18"/>
        </w:rPr>
        <w:t xml:space="preserve"> в душі на благо поколінь». Більш детальну інформацію можна знайти на сайті </w:t>
      </w:r>
      <w:hyperlink r:id="rId12" w:history="1">
        <w:r w:rsidRPr="00803B8A">
          <w:rPr>
            <w:rStyle w:val="Hyperlink"/>
          </w:rPr>
          <w:t>www.henkel.com</w:t>
        </w:r>
      </w:hyperlink>
      <w:r w:rsidRPr="00803B8A">
        <w:rPr>
          <w:sz w:val="18"/>
          <w:szCs w:val="18"/>
        </w:rPr>
        <w:t>.</w:t>
      </w:r>
    </w:p>
    <w:p w14:paraId="4ACA450F" w14:textId="77777777" w:rsidR="00CE3D74" w:rsidRPr="00803B8A" w:rsidRDefault="00CE3D74" w:rsidP="00CE3D74">
      <w:pPr>
        <w:pStyle w:val="He01Flietext"/>
        <w:jc w:val="both"/>
        <w:rPr>
          <w:rStyle w:val="AboutandContactBody"/>
          <w:rFonts w:eastAsia="Times New Roman" w:cs="Times New Roman"/>
          <w:sz w:val="14"/>
          <w:szCs w:val="14"/>
        </w:rPr>
      </w:pPr>
      <w:r w:rsidRPr="00803B8A">
        <w:rPr>
          <w:rStyle w:val="AboutandContactBody"/>
          <w:rFonts w:eastAsia="Times New Roman" w:cs="Times New Roman"/>
          <w:sz w:val="14"/>
          <w:szCs w:val="14"/>
        </w:rPr>
        <w:t xml:space="preserve">Цей документ містить заяви, що стосуються майбутнього розвитку бізнесу, фінансових показників та інших подій, які можуть мати </w:t>
      </w:r>
      <w:r>
        <w:rPr>
          <w:rStyle w:val="AboutandContactBody"/>
          <w:rFonts w:eastAsia="Times New Roman" w:cs="Times New Roman"/>
          <w:sz w:val="14"/>
          <w:szCs w:val="14"/>
        </w:rPr>
        <w:t xml:space="preserve">стосунок </w:t>
      </w:r>
      <w:r w:rsidRPr="00803B8A">
        <w:rPr>
          <w:rStyle w:val="AboutandContactBody"/>
          <w:rFonts w:eastAsia="Times New Roman" w:cs="Times New Roman"/>
          <w:sz w:val="14"/>
          <w:szCs w:val="14"/>
        </w:rPr>
        <w:t xml:space="preserve">до компанії Henkel у майбутньому і які можуть являти собою прогнозні заяви. Заяви щодо майбутнього характеризуються використанням таких слів, як «очікувати», «мати намір», «планувати», «передбачати», «вважати», «оцінювати» та подібних термінів. Такі заяви ґрунтуються на поточних оцінках і припущеннях, зроблених корпоративним керівництвом компанії Henkel AG &amp; </w:t>
      </w:r>
      <w:proofErr w:type="spellStart"/>
      <w:r w:rsidRPr="00803B8A">
        <w:rPr>
          <w:rStyle w:val="AboutandContactBody"/>
          <w:rFonts w:eastAsia="Times New Roman" w:cs="Times New Roman"/>
          <w:sz w:val="14"/>
          <w:szCs w:val="14"/>
        </w:rPr>
        <w:t>Co</w:t>
      </w:r>
      <w:proofErr w:type="spellEnd"/>
      <w:r w:rsidRPr="00803B8A">
        <w:rPr>
          <w:rStyle w:val="AboutandContactBody"/>
          <w:rFonts w:eastAsia="Times New Roman" w:cs="Times New Roman"/>
          <w:sz w:val="14"/>
          <w:szCs w:val="14"/>
        </w:rPr>
        <w:t xml:space="preserve">. </w:t>
      </w:r>
      <w:proofErr w:type="spellStart"/>
      <w:r w:rsidRPr="00803B8A">
        <w:rPr>
          <w:rStyle w:val="AboutandContactBody"/>
          <w:rFonts w:eastAsia="Times New Roman" w:cs="Times New Roman"/>
          <w:sz w:val="14"/>
          <w:szCs w:val="14"/>
        </w:rPr>
        <w:t>KGaA</w:t>
      </w:r>
      <w:proofErr w:type="spellEnd"/>
      <w:r w:rsidRPr="00803B8A">
        <w:rPr>
          <w:rStyle w:val="AboutandContactBody"/>
          <w:rFonts w:eastAsia="Times New Roman" w:cs="Times New Roman"/>
          <w:sz w:val="14"/>
          <w:szCs w:val="14"/>
        </w:rPr>
        <w:t xml:space="preserve">. Такі заяви не слід розуміти як гарантію того, що ці очікування справдяться. Майбутні показники та результати, фактично досягнуті компанією Henkel AG &amp; </w:t>
      </w:r>
      <w:proofErr w:type="spellStart"/>
      <w:r w:rsidRPr="00803B8A">
        <w:rPr>
          <w:rStyle w:val="AboutandContactBody"/>
          <w:rFonts w:eastAsia="Times New Roman" w:cs="Times New Roman"/>
          <w:sz w:val="14"/>
          <w:szCs w:val="14"/>
        </w:rPr>
        <w:t>Co</w:t>
      </w:r>
      <w:proofErr w:type="spellEnd"/>
      <w:r w:rsidRPr="00803B8A">
        <w:rPr>
          <w:rStyle w:val="AboutandContactBody"/>
          <w:rFonts w:eastAsia="Times New Roman" w:cs="Times New Roman"/>
          <w:sz w:val="14"/>
          <w:szCs w:val="14"/>
        </w:rPr>
        <w:t xml:space="preserve">. </w:t>
      </w:r>
      <w:proofErr w:type="spellStart"/>
      <w:r w:rsidRPr="00803B8A">
        <w:rPr>
          <w:rStyle w:val="AboutandContactBody"/>
          <w:rFonts w:eastAsia="Times New Roman" w:cs="Times New Roman"/>
          <w:sz w:val="14"/>
          <w:szCs w:val="14"/>
        </w:rPr>
        <w:t>KGaA</w:t>
      </w:r>
      <w:proofErr w:type="spellEnd"/>
      <w:r w:rsidRPr="00803B8A">
        <w:rPr>
          <w:rStyle w:val="AboutandContactBody"/>
          <w:rFonts w:eastAsia="Times New Roman" w:cs="Times New Roman"/>
          <w:sz w:val="14"/>
          <w:szCs w:val="14"/>
        </w:rPr>
        <w:t xml:space="preserve"> та її дочірніми компаніями залежать від ряду ризиків і </w:t>
      </w:r>
      <w:proofErr w:type="spellStart"/>
      <w:r w:rsidRPr="00803B8A">
        <w:rPr>
          <w:rStyle w:val="AboutandContactBody"/>
          <w:rFonts w:eastAsia="Times New Roman" w:cs="Times New Roman"/>
          <w:sz w:val="14"/>
          <w:szCs w:val="14"/>
        </w:rPr>
        <w:t>невизначеностей</w:t>
      </w:r>
      <w:proofErr w:type="spellEnd"/>
      <w:r w:rsidRPr="00803B8A">
        <w:rPr>
          <w:rStyle w:val="AboutandContactBody"/>
          <w:rFonts w:eastAsia="Times New Roman" w:cs="Times New Roman"/>
          <w:sz w:val="14"/>
          <w:szCs w:val="14"/>
        </w:rPr>
        <w:t xml:space="preserve"> і тому можуть істотно відрізнятися від прогнозних заяв (як позитивно, так і негативно). Багато з цих чинників знаходяться поза межами контролю компанії Henkel і не можуть бути точно оцінені заздалегідь, наприклад, майбутні економічні умови, дії конкурентів та інших учасників ринку. Компанія Henkel не планує і не бере на себе зобов’язання оновлювати прогнозні заяви.</w:t>
      </w:r>
    </w:p>
    <w:p w14:paraId="4CC820B2" w14:textId="77777777" w:rsidR="00CE3D74" w:rsidRPr="00803B8A" w:rsidRDefault="00CE3D74" w:rsidP="00CE3D74">
      <w:pPr>
        <w:pStyle w:val="He01Flietext"/>
        <w:jc w:val="both"/>
        <w:rPr>
          <w:rStyle w:val="AboutandContactBody"/>
          <w:rFonts w:eastAsia="Times New Roman" w:cs="Times New Roman"/>
          <w:sz w:val="14"/>
          <w:szCs w:val="14"/>
        </w:rPr>
      </w:pPr>
      <w:r w:rsidRPr="00803B8A">
        <w:rPr>
          <w:rStyle w:val="AboutandContactBody"/>
          <w:rFonts w:eastAsia="Times New Roman" w:cs="Times New Roman"/>
          <w:sz w:val="14"/>
          <w:szCs w:val="14"/>
        </w:rPr>
        <w:t>Цей документ містить додаткові фінансові показники, які не мають чіткого визначення у відповідній системі фінансової звітності і які є або можуть бути альтернативними показниками діяльності. Такі додаткові фінансові показники не повинні розглядатися ізольовано або як альтернатива показникам чистих активів, фінансового стану або результатів діяльності компанії Henkel, представленим відповідно до застосовної концептуальної основи фінансової звітності в її консолідованій фінансовій звітності. Інші компанії, які повідомляють або описують подібні альтернативні показники ефективності, можуть розраховувати їх по-різному.</w:t>
      </w:r>
    </w:p>
    <w:p w14:paraId="349B3B1C" w14:textId="77777777" w:rsidR="00CE3D74" w:rsidRPr="00803B8A" w:rsidRDefault="00CE3D74" w:rsidP="00CE3D74">
      <w:pPr>
        <w:pStyle w:val="He01Flietext"/>
        <w:jc w:val="both"/>
        <w:rPr>
          <w:rStyle w:val="AboutandContactBody"/>
          <w:rFonts w:eastAsia="Times New Roman" w:cs="Times New Roman"/>
          <w:sz w:val="14"/>
          <w:szCs w:val="14"/>
        </w:rPr>
      </w:pPr>
      <w:r w:rsidRPr="00803B8A">
        <w:rPr>
          <w:rStyle w:val="AboutandContactBody"/>
          <w:rFonts w:eastAsia="Times New Roman" w:cs="Times New Roman"/>
          <w:sz w:val="14"/>
          <w:szCs w:val="14"/>
        </w:rPr>
        <w:t>Цей документ виданий виключно з інформаційною метою і не є інвестиційною консультацією або пропозицією щодо продажу чи запрошенням до подання пропозицій щодо купівлі будь-яких цінних паперів.</w:t>
      </w:r>
    </w:p>
    <w:bookmarkEnd w:id="10"/>
    <w:p w14:paraId="05D86623" w14:textId="77777777" w:rsidR="005C7954" w:rsidRPr="008359B8" w:rsidRDefault="005C7954" w:rsidP="005C7954">
      <w:pPr>
        <w:tabs>
          <w:tab w:val="left" w:pos="1080"/>
          <w:tab w:val="left" w:pos="4500"/>
        </w:tabs>
        <w:spacing w:line="264" w:lineRule="auto"/>
        <w:rPr>
          <w:rFonts w:asciiTheme="majorHAnsi" w:eastAsia="PMingLiU" w:hAnsiTheme="majorHAnsi" w:cs="Calibri Light"/>
          <w:b/>
          <w:sz w:val="18"/>
          <w:szCs w:val="18"/>
        </w:rPr>
      </w:pPr>
    </w:p>
    <w:p w14:paraId="59D2F70C" w14:textId="77777777" w:rsidR="005C7954" w:rsidRPr="008359B8" w:rsidRDefault="005C7954" w:rsidP="005C7954">
      <w:pPr>
        <w:spacing w:line="240" w:lineRule="auto"/>
        <w:jc w:val="left"/>
        <w:rPr>
          <w:rFonts w:asciiTheme="majorHAnsi" w:eastAsia="PMingLiU" w:hAnsiTheme="majorHAnsi" w:cs="Calibri Light"/>
          <w:b/>
          <w:sz w:val="18"/>
          <w:szCs w:val="18"/>
        </w:rPr>
      </w:pPr>
    </w:p>
    <w:p w14:paraId="0029BA2C" w14:textId="77777777" w:rsidR="00355BAC" w:rsidRPr="00710CC6" w:rsidRDefault="00355BAC" w:rsidP="00355BAC">
      <w:pPr>
        <w:rPr>
          <w:rFonts w:cs="Segoe UI"/>
          <w:color w:val="000000"/>
          <w:sz w:val="18"/>
          <w:szCs w:val="18"/>
          <w:u w:val="single"/>
          <w:lang w:val="ru-RU"/>
        </w:rPr>
      </w:pPr>
      <w:r w:rsidRPr="00710CC6">
        <w:rPr>
          <w:rFonts w:cs="Segoe UI"/>
          <w:color w:val="000000"/>
          <w:sz w:val="18"/>
          <w:szCs w:val="18"/>
          <w:u w:val="single"/>
          <w:lang w:val="ru-RU"/>
        </w:rPr>
        <w:t xml:space="preserve">За </w:t>
      </w:r>
      <w:proofErr w:type="spellStart"/>
      <w:r w:rsidRPr="00710CC6">
        <w:rPr>
          <w:rFonts w:cs="Segoe UI"/>
          <w:color w:val="000000"/>
          <w:sz w:val="18"/>
          <w:szCs w:val="18"/>
          <w:u w:val="single"/>
          <w:lang w:val="ru-RU"/>
        </w:rPr>
        <w:t>додатковою</w:t>
      </w:r>
      <w:proofErr w:type="spellEnd"/>
      <w:r w:rsidRPr="00710CC6">
        <w:rPr>
          <w:rFonts w:cs="Segoe UI"/>
          <w:color w:val="000000"/>
          <w:sz w:val="18"/>
          <w:szCs w:val="18"/>
          <w:u w:val="single"/>
          <w:lang w:val="ru-RU"/>
        </w:rPr>
        <w:t xml:space="preserve"> </w:t>
      </w:r>
      <w:proofErr w:type="spellStart"/>
      <w:r w:rsidRPr="00710CC6">
        <w:rPr>
          <w:rFonts w:cs="Segoe UI"/>
          <w:color w:val="000000"/>
          <w:sz w:val="18"/>
          <w:szCs w:val="18"/>
          <w:u w:val="single"/>
          <w:lang w:val="ru-RU"/>
        </w:rPr>
        <w:t>інформацією</w:t>
      </w:r>
      <w:proofErr w:type="spellEnd"/>
      <w:r w:rsidRPr="00710CC6">
        <w:rPr>
          <w:rFonts w:cs="Segoe UI"/>
          <w:color w:val="000000"/>
          <w:sz w:val="18"/>
          <w:szCs w:val="18"/>
          <w:u w:val="single"/>
          <w:lang w:val="ru-RU"/>
        </w:rPr>
        <w:t xml:space="preserve">, будь ласка, </w:t>
      </w:r>
      <w:proofErr w:type="spellStart"/>
      <w:r w:rsidRPr="00710CC6">
        <w:rPr>
          <w:rFonts w:cs="Segoe UI"/>
          <w:color w:val="000000"/>
          <w:sz w:val="18"/>
          <w:szCs w:val="18"/>
          <w:u w:val="single"/>
          <w:lang w:val="ru-RU"/>
        </w:rPr>
        <w:t>звертайтеся</w:t>
      </w:r>
      <w:proofErr w:type="spellEnd"/>
      <w:r w:rsidRPr="00710CC6">
        <w:rPr>
          <w:rFonts w:cs="Segoe UI"/>
          <w:color w:val="000000"/>
          <w:sz w:val="18"/>
          <w:szCs w:val="18"/>
          <w:u w:val="single"/>
          <w:lang w:val="ru-RU"/>
        </w:rPr>
        <w:t xml:space="preserve"> до:</w:t>
      </w:r>
    </w:p>
    <w:p w14:paraId="5BD7C88E" w14:textId="77777777" w:rsidR="00355BAC" w:rsidRPr="00710CC6" w:rsidRDefault="00355BAC" w:rsidP="00355BAC">
      <w:pPr>
        <w:rPr>
          <w:rFonts w:cs="Segoe UI"/>
          <w:color w:val="000000"/>
          <w:sz w:val="18"/>
          <w:szCs w:val="18"/>
          <w:u w:val="single"/>
          <w:lang w:val="ru-RU"/>
        </w:rPr>
      </w:pPr>
    </w:p>
    <w:p w14:paraId="0035CDA0" w14:textId="77777777" w:rsidR="00355BAC" w:rsidRPr="00710CC6" w:rsidRDefault="00355BAC" w:rsidP="00355BAC">
      <w:pPr>
        <w:spacing w:line="240" w:lineRule="auto"/>
        <w:rPr>
          <w:rStyle w:val="AboutandContactBody"/>
          <w:rFonts w:cs="Segoe UI"/>
          <w:b/>
          <w:szCs w:val="16"/>
          <w:lang w:val="ru-RU"/>
        </w:rPr>
      </w:pPr>
    </w:p>
    <w:tbl>
      <w:tblPr>
        <w:tblW w:w="9322" w:type="dxa"/>
        <w:tblLayout w:type="fixed"/>
        <w:tblLook w:val="0000" w:firstRow="0" w:lastRow="0" w:firstColumn="0" w:lastColumn="0" w:noHBand="0" w:noVBand="0"/>
      </w:tblPr>
      <w:tblGrid>
        <w:gridCol w:w="4644"/>
        <w:gridCol w:w="4678"/>
      </w:tblGrid>
      <w:tr w:rsidR="00355BAC" w:rsidRPr="00A678F9" w14:paraId="6167319A" w14:textId="77777777" w:rsidTr="00710CC6">
        <w:trPr>
          <w:trHeight w:val="615"/>
        </w:trPr>
        <w:tc>
          <w:tcPr>
            <w:tcW w:w="4644" w:type="dxa"/>
          </w:tcPr>
          <w:p w14:paraId="2B1E336A" w14:textId="77777777" w:rsidR="00355BAC" w:rsidRPr="00710CC6" w:rsidRDefault="00355BAC" w:rsidP="00710CC6">
            <w:pPr>
              <w:rPr>
                <w:rFonts w:cs="Segoe UI"/>
                <w:color w:val="000000"/>
                <w:sz w:val="18"/>
                <w:szCs w:val="18"/>
                <w:lang w:val="ru-RU"/>
              </w:rPr>
            </w:pPr>
            <w:r w:rsidRPr="00710CC6">
              <w:rPr>
                <w:rFonts w:cs="Segoe UI"/>
                <w:color w:val="000000"/>
                <w:sz w:val="18"/>
                <w:szCs w:val="18"/>
                <w:lang w:val="ru-RU"/>
              </w:rPr>
              <w:t xml:space="preserve">Олени </w:t>
            </w:r>
            <w:proofErr w:type="spellStart"/>
            <w:r w:rsidRPr="00710CC6">
              <w:rPr>
                <w:rFonts w:cs="Segoe UI"/>
                <w:color w:val="000000"/>
                <w:sz w:val="18"/>
                <w:szCs w:val="18"/>
                <w:lang w:val="ru-RU"/>
              </w:rPr>
              <w:t>Андрощук</w:t>
            </w:r>
            <w:proofErr w:type="spellEnd"/>
            <w:r w:rsidRPr="00710CC6">
              <w:rPr>
                <w:rFonts w:cs="Segoe UI"/>
                <w:color w:val="000000"/>
                <w:sz w:val="18"/>
                <w:szCs w:val="18"/>
                <w:lang w:val="ru-RU"/>
              </w:rPr>
              <w:t>,</w:t>
            </w:r>
          </w:p>
          <w:p w14:paraId="40A73D81" w14:textId="77777777" w:rsidR="00355BAC" w:rsidRPr="00710CC6" w:rsidRDefault="00355BAC" w:rsidP="00710CC6">
            <w:pPr>
              <w:rPr>
                <w:rFonts w:cs="Segoe UI"/>
                <w:color w:val="000000"/>
                <w:sz w:val="18"/>
                <w:szCs w:val="18"/>
                <w:lang w:val="ru-RU"/>
              </w:rPr>
            </w:pPr>
            <w:proofErr w:type="spellStart"/>
            <w:r w:rsidRPr="00710CC6">
              <w:rPr>
                <w:rFonts w:cs="Segoe UI"/>
                <w:color w:val="000000"/>
                <w:sz w:val="18"/>
                <w:szCs w:val="18"/>
                <w:lang w:val="ru-RU"/>
              </w:rPr>
              <w:t>керівника</w:t>
            </w:r>
            <w:proofErr w:type="spellEnd"/>
            <w:r w:rsidRPr="00710CC6">
              <w:rPr>
                <w:rFonts w:cs="Segoe UI"/>
                <w:color w:val="000000"/>
                <w:sz w:val="18"/>
                <w:szCs w:val="18"/>
                <w:lang w:val="ru-RU"/>
              </w:rPr>
              <w:t xml:space="preserve"> </w:t>
            </w:r>
            <w:proofErr w:type="spellStart"/>
            <w:r w:rsidRPr="00710CC6">
              <w:rPr>
                <w:rFonts w:cs="Segoe UI"/>
                <w:color w:val="000000"/>
                <w:sz w:val="18"/>
                <w:szCs w:val="18"/>
                <w:lang w:val="ru-RU"/>
              </w:rPr>
              <w:t>відділу</w:t>
            </w:r>
            <w:proofErr w:type="spellEnd"/>
          </w:p>
          <w:p w14:paraId="6AEF577A" w14:textId="77777777" w:rsidR="00355BAC" w:rsidRPr="00710CC6" w:rsidRDefault="00355BAC" w:rsidP="00710CC6">
            <w:pPr>
              <w:rPr>
                <w:rFonts w:cs="Segoe UI"/>
                <w:color w:val="000000"/>
                <w:sz w:val="18"/>
                <w:szCs w:val="18"/>
                <w:lang w:val="ru-RU"/>
              </w:rPr>
            </w:pPr>
            <w:proofErr w:type="spellStart"/>
            <w:r w:rsidRPr="00710CC6">
              <w:rPr>
                <w:rFonts w:cs="Segoe UI"/>
                <w:color w:val="000000"/>
                <w:sz w:val="18"/>
                <w:szCs w:val="18"/>
                <w:lang w:val="ru-RU"/>
              </w:rPr>
              <w:t>корпоративних</w:t>
            </w:r>
            <w:proofErr w:type="spellEnd"/>
            <w:r w:rsidRPr="00710CC6">
              <w:rPr>
                <w:rFonts w:cs="Segoe UI"/>
                <w:color w:val="000000"/>
                <w:sz w:val="18"/>
                <w:szCs w:val="18"/>
                <w:lang w:val="ru-RU"/>
              </w:rPr>
              <w:t xml:space="preserve"> </w:t>
            </w:r>
            <w:proofErr w:type="spellStart"/>
            <w:r w:rsidRPr="00710CC6">
              <w:rPr>
                <w:rFonts w:cs="Segoe UI"/>
                <w:color w:val="000000"/>
                <w:sz w:val="18"/>
                <w:szCs w:val="18"/>
                <w:lang w:val="ru-RU"/>
              </w:rPr>
              <w:t>комунікацій</w:t>
            </w:r>
            <w:proofErr w:type="spellEnd"/>
            <w:r w:rsidRPr="00710CC6">
              <w:rPr>
                <w:rFonts w:cs="Segoe UI"/>
                <w:color w:val="000000"/>
                <w:sz w:val="18"/>
                <w:szCs w:val="18"/>
                <w:lang w:val="ru-RU"/>
              </w:rPr>
              <w:t xml:space="preserve"> </w:t>
            </w:r>
          </w:p>
          <w:p w14:paraId="7AFBC672" w14:textId="77777777" w:rsidR="00355BAC" w:rsidRPr="00710CC6" w:rsidRDefault="00355BAC" w:rsidP="00710CC6">
            <w:pPr>
              <w:rPr>
                <w:rFonts w:cs="Segoe UI"/>
                <w:color w:val="000000"/>
                <w:sz w:val="18"/>
                <w:szCs w:val="18"/>
                <w:lang w:val="ru-RU"/>
              </w:rPr>
            </w:pPr>
            <w:r w:rsidRPr="00710CC6">
              <w:rPr>
                <w:rFonts w:cs="Segoe UI"/>
                <w:color w:val="000000"/>
                <w:sz w:val="18"/>
                <w:szCs w:val="18"/>
                <w:lang w:val="ru-RU"/>
              </w:rPr>
              <w:t xml:space="preserve">«Хенкель» в </w:t>
            </w:r>
            <w:proofErr w:type="spellStart"/>
            <w:r w:rsidRPr="00710CC6">
              <w:rPr>
                <w:rFonts w:cs="Segoe UI"/>
                <w:color w:val="000000"/>
                <w:sz w:val="18"/>
                <w:szCs w:val="18"/>
                <w:lang w:val="ru-RU"/>
              </w:rPr>
              <w:t>Україні</w:t>
            </w:r>
            <w:proofErr w:type="spellEnd"/>
          </w:p>
          <w:p w14:paraId="27F90F9B" w14:textId="77777777" w:rsidR="00355BAC" w:rsidRPr="00873F29" w:rsidRDefault="00355BAC" w:rsidP="00710CC6">
            <w:pPr>
              <w:rPr>
                <w:rFonts w:cs="Segoe UI"/>
                <w:color w:val="000000"/>
                <w:sz w:val="18"/>
                <w:szCs w:val="18"/>
                <w:lang w:val="ru-RU"/>
              </w:rPr>
            </w:pPr>
          </w:p>
          <w:p w14:paraId="18D88175" w14:textId="77777777" w:rsidR="00355BAC" w:rsidRPr="00710CC6" w:rsidRDefault="00355BAC" w:rsidP="00710CC6">
            <w:pPr>
              <w:rPr>
                <w:rFonts w:cs="Segoe UI"/>
                <w:color w:val="000000"/>
                <w:sz w:val="18"/>
                <w:szCs w:val="18"/>
                <w:lang w:val="ru-RU"/>
              </w:rPr>
            </w:pPr>
            <w:r w:rsidRPr="00710CC6">
              <w:rPr>
                <w:rFonts w:cs="Segoe UI"/>
                <w:color w:val="000000"/>
                <w:sz w:val="18"/>
                <w:szCs w:val="18"/>
                <w:lang w:val="ru-RU"/>
              </w:rPr>
              <w:t xml:space="preserve">«Хенкель </w:t>
            </w:r>
            <w:proofErr w:type="spellStart"/>
            <w:r w:rsidRPr="00710CC6">
              <w:rPr>
                <w:rFonts w:cs="Segoe UI"/>
                <w:color w:val="000000"/>
                <w:sz w:val="18"/>
                <w:szCs w:val="18"/>
                <w:lang w:val="ru-RU"/>
              </w:rPr>
              <w:t>Україна</w:t>
            </w:r>
            <w:proofErr w:type="spellEnd"/>
            <w:r w:rsidRPr="00710CC6">
              <w:rPr>
                <w:rFonts w:cs="Segoe UI"/>
                <w:color w:val="000000"/>
                <w:sz w:val="18"/>
                <w:szCs w:val="18"/>
                <w:lang w:val="ru-RU"/>
              </w:rPr>
              <w:t xml:space="preserve">» </w:t>
            </w:r>
          </w:p>
          <w:p w14:paraId="44EB184E" w14:textId="77777777" w:rsidR="00355BAC" w:rsidRPr="00AB7332" w:rsidRDefault="00355BAC" w:rsidP="00710CC6">
            <w:pPr>
              <w:rPr>
                <w:rFonts w:cs="Segoe UI"/>
                <w:color w:val="000000"/>
                <w:sz w:val="18"/>
                <w:szCs w:val="18"/>
              </w:rPr>
            </w:pPr>
            <w:proofErr w:type="spellStart"/>
            <w:r w:rsidRPr="00AB7332">
              <w:rPr>
                <w:rFonts w:cs="Segoe UI"/>
                <w:color w:val="000000"/>
                <w:sz w:val="18"/>
                <w:szCs w:val="18"/>
              </w:rPr>
              <w:t>Тел</w:t>
            </w:r>
            <w:proofErr w:type="spellEnd"/>
            <w:r w:rsidRPr="00AB7332">
              <w:rPr>
                <w:rFonts w:cs="Segoe UI"/>
                <w:color w:val="000000"/>
                <w:sz w:val="18"/>
                <w:szCs w:val="18"/>
              </w:rPr>
              <w:t>.: +38 050 389 83 45</w:t>
            </w:r>
          </w:p>
          <w:p w14:paraId="0A104806" w14:textId="77777777" w:rsidR="00355BAC" w:rsidRPr="00AB7332" w:rsidRDefault="00355BAC" w:rsidP="00710CC6">
            <w:pPr>
              <w:rPr>
                <w:rFonts w:cs="Segoe UI"/>
                <w:color w:val="000000"/>
                <w:sz w:val="18"/>
                <w:szCs w:val="18"/>
              </w:rPr>
            </w:pPr>
            <w:r w:rsidRPr="00AB7332">
              <w:rPr>
                <w:rFonts w:cs="Segoe UI"/>
                <w:color w:val="000000"/>
                <w:sz w:val="18"/>
                <w:szCs w:val="18"/>
              </w:rPr>
              <w:t xml:space="preserve">Факс: +38 044 247 51 00 </w:t>
            </w:r>
          </w:p>
          <w:p w14:paraId="2DA7BFEF" w14:textId="77777777" w:rsidR="00355BAC" w:rsidRPr="00AB7332" w:rsidRDefault="00355BAC" w:rsidP="00710CC6">
            <w:pPr>
              <w:rPr>
                <w:rFonts w:cs="Segoe UI"/>
                <w:b/>
                <w:color w:val="000000"/>
                <w:sz w:val="18"/>
                <w:szCs w:val="18"/>
              </w:rPr>
            </w:pPr>
            <w:r w:rsidRPr="00AB7332">
              <w:rPr>
                <w:rFonts w:cs="Segoe UI"/>
                <w:color w:val="000000"/>
                <w:sz w:val="18"/>
                <w:szCs w:val="18"/>
              </w:rPr>
              <w:t>e-</w:t>
            </w:r>
            <w:proofErr w:type="spellStart"/>
            <w:r w:rsidRPr="00AB7332">
              <w:rPr>
                <w:rFonts w:cs="Segoe UI"/>
                <w:color w:val="000000"/>
                <w:sz w:val="18"/>
                <w:szCs w:val="18"/>
              </w:rPr>
              <w:t>mail</w:t>
            </w:r>
            <w:proofErr w:type="spellEnd"/>
            <w:r w:rsidRPr="00AB7332">
              <w:rPr>
                <w:rFonts w:cs="Segoe UI"/>
                <w:color w:val="000000"/>
                <w:sz w:val="18"/>
                <w:szCs w:val="18"/>
              </w:rPr>
              <w:t xml:space="preserve">: </w:t>
            </w:r>
            <w:hyperlink r:id="rId13" w:history="1">
              <w:r w:rsidRPr="00FD2984">
                <w:rPr>
                  <w:rStyle w:val="Hyperlink"/>
                  <w:rFonts w:cs="Segoe UI"/>
                </w:rPr>
                <w:t>elena.androschuk@henkel.com</w:t>
              </w:r>
            </w:hyperlink>
          </w:p>
        </w:tc>
        <w:tc>
          <w:tcPr>
            <w:tcW w:w="4678" w:type="dxa"/>
          </w:tcPr>
          <w:p w14:paraId="177AFEAE" w14:textId="77777777" w:rsidR="00355BAC" w:rsidRPr="00AB7332" w:rsidRDefault="00355BAC" w:rsidP="00710CC6">
            <w:pPr>
              <w:rPr>
                <w:rFonts w:cs="Segoe UI"/>
                <w:color w:val="000000"/>
                <w:sz w:val="18"/>
                <w:szCs w:val="18"/>
              </w:rPr>
            </w:pPr>
            <w:r w:rsidRPr="00AB7332">
              <w:rPr>
                <w:rFonts w:cs="Segoe UI"/>
                <w:color w:val="000000"/>
                <w:sz w:val="18"/>
                <w:szCs w:val="18"/>
              </w:rPr>
              <w:t>Олени Хмари,</w:t>
            </w:r>
          </w:p>
          <w:p w14:paraId="64891E4B" w14:textId="77777777" w:rsidR="00355BAC" w:rsidRPr="00AB7332" w:rsidRDefault="00355BAC" w:rsidP="00710CC6">
            <w:pPr>
              <w:rPr>
                <w:rFonts w:cs="Segoe UI"/>
                <w:color w:val="000000"/>
                <w:sz w:val="18"/>
                <w:szCs w:val="18"/>
              </w:rPr>
            </w:pPr>
            <w:r w:rsidRPr="00AB7332">
              <w:rPr>
                <w:rFonts w:cs="Segoe UI"/>
                <w:color w:val="000000"/>
                <w:sz w:val="18"/>
                <w:szCs w:val="18"/>
              </w:rPr>
              <w:t>керівника PR-</w:t>
            </w:r>
            <w:proofErr w:type="spellStart"/>
            <w:r w:rsidRPr="00AB7332">
              <w:rPr>
                <w:rFonts w:cs="Segoe UI"/>
                <w:color w:val="000000"/>
                <w:sz w:val="18"/>
                <w:szCs w:val="18"/>
              </w:rPr>
              <w:t>проєктів</w:t>
            </w:r>
            <w:proofErr w:type="spellEnd"/>
            <w:r w:rsidRPr="00AB7332">
              <w:rPr>
                <w:rFonts w:cs="Segoe UI"/>
                <w:color w:val="000000"/>
                <w:sz w:val="18"/>
                <w:szCs w:val="18"/>
              </w:rPr>
              <w:t xml:space="preserve"> </w:t>
            </w:r>
          </w:p>
          <w:p w14:paraId="7B5C0F37" w14:textId="77777777" w:rsidR="00355BAC" w:rsidRPr="00AB7332" w:rsidRDefault="00355BAC" w:rsidP="00710CC6">
            <w:pPr>
              <w:rPr>
                <w:rFonts w:cs="Segoe UI"/>
                <w:color w:val="000000"/>
                <w:sz w:val="18"/>
                <w:szCs w:val="18"/>
              </w:rPr>
            </w:pPr>
          </w:p>
          <w:p w14:paraId="15C0A75F" w14:textId="77777777" w:rsidR="00355BAC" w:rsidRPr="00AB7332" w:rsidRDefault="00355BAC" w:rsidP="00710CC6">
            <w:pPr>
              <w:rPr>
                <w:rFonts w:cs="Segoe UI"/>
                <w:color w:val="000000"/>
                <w:sz w:val="18"/>
                <w:szCs w:val="18"/>
              </w:rPr>
            </w:pPr>
          </w:p>
          <w:p w14:paraId="1AE19AB1" w14:textId="77777777" w:rsidR="00355BAC" w:rsidRPr="00AB7332" w:rsidRDefault="00355BAC" w:rsidP="00710CC6">
            <w:pPr>
              <w:rPr>
                <w:rFonts w:cs="Segoe UI"/>
                <w:color w:val="000000"/>
                <w:sz w:val="18"/>
                <w:szCs w:val="18"/>
              </w:rPr>
            </w:pPr>
          </w:p>
          <w:p w14:paraId="5BF82E19" w14:textId="77777777" w:rsidR="00355BAC" w:rsidRPr="00AB7332" w:rsidRDefault="00355BAC" w:rsidP="00710CC6">
            <w:pPr>
              <w:rPr>
                <w:rFonts w:cs="Segoe UI"/>
                <w:color w:val="000000"/>
                <w:sz w:val="18"/>
                <w:szCs w:val="18"/>
              </w:rPr>
            </w:pPr>
            <w:r w:rsidRPr="00AB7332">
              <w:rPr>
                <w:rFonts w:cs="Segoe UI"/>
                <w:color w:val="000000"/>
                <w:sz w:val="18"/>
                <w:szCs w:val="18"/>
              </w:rPr>
              <w:t>Агенція «PR-</w:t>
            </w:r>
            <w:proofErr w:type="spellStart"/>
            <w:r w:rsidRPr="00AB7332">
              <w:rPr>
                <w:rFonts w:cs="Segoe UI"/>
                <w:color w:val="000000"/>
                <w:sz w:val="18"/>
                <w:szCs w:val="18"/>
              </w:rPr>
              <w:t>Service</w:t>
            </w:r>
            <w:proofErr w:type="spellEnd"/>
            <w:r w:rsidRPr="00AB7332">
              <w:rPr>
                <w:rFonts w:cs="Segoe UI"/>
                <w:color w:val="000000"/>
                <w:sz w:val="18"/>
                <w:szCs w:val="18"/>
              </w:rPr>
              <w:t>»</w:t>
            </w:r>
          </w:p>
          <w:p w14:paraId="5B0D5EF4" w14:textId="77777777" w:rsidR="00355BAC" w:rsidRPr="00710CC6" w:rsidRDefault="00355BAC" w:rsidP="00710CC6">
            <w:pPr>
              <w:rPr>
                <w:rFonts w:cs="Segoe UI"/>
                <w:color w:val="000000"/>
                <w:sz w:val="18"/>
                <w:szCs w:val="18"/>
                <w:lang w:val="ru-RU"/>
              </w:rPr>
            </w:pPr>
            <w:r w:rsidRPr="00710CC6">
              <w:rPr>
                <w:rFonts w:cs="Segoe UI"/>
                <w:color w:val="000000"/>
                <w:sz w:val="18"/>
                <w:szCs w:val="18"/>
                <w:lang w:val="ru-RU"/>
              </w:rPr>
              <w:t>Тел./факс: +38 044 501 32 44</w:t>
            </w:r>
          </w:p>
          <w:p w14:paraId="2B00A9BB" w14:textId="77777777" w:rsidR="00355BAC" w:rsidRPr="00710CC6" w:rsidRDefault="00355BAC" w:rsidP="00710CC6">
            <w:pPr>
              <w:rPr>
                <w:rFonts w:cs="Segoe UI"/>
                <w:color w:val="000000"/>
                <w:sz w:val="18"/>
                <w:szCs w:val="18"/>
                <w:lang w:val="ru-RU"/>
              </w:rPr>
            </w:pPr>
            <w:r w:rsidRPr="00710CC6">
              <w:rPr>
                <w:rFonts w:cs="Segoe UI"/>
                <w:color w:val="000000"/>
                <w:sz w:val="18"/>
                <w:szCs w:val="18"/>
                <w:lang w:val="ru-RU"/>
              </w:rPr>
              <w:t>Моб. тел.: +38 050 382 82 74</w:t>
            </w:r>
          </w:p>
          <w:p w14:paraId="537C44C6" w14:textId="77777777" w:rsidR="00355BAC" w:rsidRPr="00B71031" w:rsidRDefault="00355BAC" w:rsidP="00710CC6">
            <w:pPr>
              <w:rPr>
                <w:rFonts w:cs="Segoe UI"/>
                <w:b/>
                <w:color w:val="000000"/>
                <w:sz w:val="18"/>
                <w:szCs w:val="18"/>
                <w:lang w:val="de-DE"/>
              </w:rPr>
            </w:pPr>
            <w:r w:rsidRPr="00AB7332">
              <w:rPr>
                <w:rFonts w:cs="Segoe UI"/>
                <w:color w:val="000000"/>
                <w:sz w:val="18"/>
                <w:szCs w:val="18"/>
              </w:rPr>
              <w:t>e</w:t>
            </w:r>
            <w:r w:rsidRPr="00B71031">
              <w:rPr>
                <w:rFonts w:cs="Segoe UI"/>
                <w:color w:val="000000"/>
                <w:sz w:val="18"/>
                <w:szCs w:val="18"/>
                <w:lang w:val="de-DE"/>
              </w:rPr>
              <w:t>-</w:t>
            </w:r>
            <w:proofErr w:type="spellStart"/>
            <w:r w:rsidRPr="00AB7332">
              <w:rPr>
                <w:rFonts w:cs="Segoe UI"/>
                <w:color w:val="000000"/>
                <w:sz w:val="18"/>
                <w:szCs w:val="18"/>
              </w:rPr>
              <w:t>mail</w:t>
            </w:r>
            <w:proofErr w:type="spellEnd"/>
            <w:r w:rsidRPr="00B71031">
              <w:rPr>
                <w:rFonts w:cs="Segoe UI"/>
                <w:color w:val="000000"/>
                <w:sz w:val="18"/>
                <w:szCs w:val="18"/>
                <w:lang w:val="de-DE"/>
              </w:rPr>
              <w:t xml:space="preserve">: </w:t>
            </w:r>
            <w:hyperlink r:id="rId14" w:history="1">
              <w:r w:rsidRPr="00FD2984">
                <w:rPr>
                  <w:rStyle w:val="Hyperlink"/>
                  <w:rFonts w:cs="Segoe UI"/>
                </w:rPr>
                <w:t>a</w:t>
              </w:r>
              <w:r w:rsidRPr="00B71031">
                <w:rPr>
                  <w:rStyle w:val="Hyperlink"/>
                  <w:rFonts w:cs="Segoe UI"/>
                  <w:lang w:val="de-DE"/>
                </w:rPr>
                <w:t>.</w:t>
              </w:r>
              <w:r w:rsidRPr="00FD2984">
                <w:rPr>
                  <w:rStyle w:val="Hyperlink"/>
                  <w:rFonts w:cs="Segoe UI"/>
                </w:rPr>
                <w:t>khmara</w:t>
              </w:r>
              <w:r w:rsidRPr="00B71031">
                <w:rPr>
                  <w:rStyle w:val="Hyperlink"/>
                  <w:rFonts w:cs="Segoe UI"/>
                  <w:lang w:val="de-DE"/>
                </w:rPr>
                <w:t>@</w:t>
              </w:r>
              <w:r w:rsidRPr="00FD2984">
                <w:rPr>
                  <w:rStyle w:val="Hyperlink"/>
                  <w:rFonts w:cs="Segoe UI"/>
                </w:rPr>
                <w:t>pr</w:t>
              </w:r>
              <w:r w:rsidRPr="00B71031">
                <w:rPr>
                  <w:rStyle w:val="Hyperlink"/>
                  <w:rFonts w:cs="Segoe UI"/>
                  <w:lang w:val="de-DE"/>
                </w:rPr>
                <w:t>-</w:t>
              </w:r>
              <w:r w:rsidRPr="00FD2984">
                <w:rPr>
                  <w:rStyle w:val="Hyperlink"/>
                  <w:rFonts w:cs="Segoe UI"/>
                </w:rPr>
                <w:t>service</w:t>
              </w:r>
              <w:r w:rsidRPr="00B71031">
                <w:rPr>
                  <w:rStyle w:val="Hyperlink"/>
                  <w:rFonts w:cs="Segoe UI"/>
                  <w:lang w:val="de-DE"/>
                </w:rPr>
                <w:t>.</w:t>
              </w:r>
              <w:r w:rsidRPr="00FD2984">
                <w:rPr>
                  <w:rStyle w:val="Hyperlink"/>
                  <w:rFonts w:cs="Segoe UI"/>
                </w:rPr>
                <w:t>com</w:t>
              </w:r>
              <w:r w:rsidRPr="00B71031">
                <w:rPr>
                  <w:rStyle w:val="Hyperlink"/>
                  <w:rFonts w:cs="Segoe UI"/>
                  <w:lang w:val="de-DE"/>
                </w:rPr>
                <w:t>.</w:t>
              </w:r>
              <w:r w:rsidRPr="00FD2984">
                <w:rPr>
                  <w:rStyle w:val="Hyperlink"/>
                  <w:rFonts w:cs="Segoe UI"/>
                </w:rPr>
                <w:t>ua</w:t>
              </w:r>
            </w:hyperlink>
          </w:p>
        </w:tc>
      </w:tr>
    </w:tbl>
    <w:p w14:paraId="23552B25" w14:textId="17E45C12" w:rsidR="00A15D78" w:rsidRPr="005C7954" w:rsidRDefault="00A15D78" w:rsidP="005C7954">
      <w:pPr>
        <w:rPr>
          <w:rStyle w:val="Hyperlink"/>
          <w:rFonts w:eastAsia="PMingLiU"/>
          <w:color w:val="9A141B"/>
          <w:sz w:val="16"/>
          <w:szCs w:val="22"/>
          <w:u w:val="none"/>
        </w:rPr>
      </w:pPr>
    </w:p>
    <w:sectPr w:rsidR="00A15D78" w:rsidRPr="005C7954" w:rsidSect="00A41DBE">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4EC84" w14:textId="77777777" w:rsidR="00591CB5" w:rsidRDefault="00591CB5">
      <w:r>
        <w:separator/>
      </w:r>
    </w:p>
  </w:endnote>
  <w:endnote w:type="continuationSeparator" w:id="0">
    <w:p w14:paraId="5D24A4FE" w14:textId="77777777" w:rsidR="00591CB5" w:rsidRDefault="00591CB5">
      <w:r>
        <w:continuationSeparator/>
      </w:r>
    </w:p>
  </w:endnote>
  <w:endnote w:type="continuationNotice" w:id="1">
    <w:p w14:paraId="1AC81ACC" w14:textId="77777777" w:rsidR="00591CB5" w:rsidRDefault="00591C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0DDFAFCB" w:rsidR="00CF6F33" w:rsidRPr="00112A28" w:rsidRDefault="00112A28" w:rsidP="00112A28">
    <w:pPr>
      <w:pStyle w:val="Footer"/>
      <w:tabs>
        <w:tab w:val="clear" w:pos="7083"/>
        <w:tab w:val="clear" w:pos="8640"/>
        <w:tab w:val="right" w:pos="9071"/>
      </w:tabs>
      <w:jc w:val="both"/>
    </w:pPr>
    <w:r>
      <w:t>Henkel AG &amp; Co. KGaA</w:t>
    </w:r>
    <w:r>
      <w:tab/>
      <w:t xml:space="preserve">Стор. </w:t>
    </w:r>
    <w:r w:rsidRPr="00BF6E82">
      <w:fldChar w:fldCharType="begin"/>
    </w:r>
    <w:r w:rsidRPr="00BF6E82">
      <w:instrText xml:space="preserve"> PAGE  \* Arabic  \* MERGEFORMAT </w:instrText>
    </w:r>
    <w:r w:rsidRPr="00BF6E82">
      <w:fldChar w:fldCharType="separate"/>
    </w:r>
    <w:r w:rsidR="00C13E55">
      <w:t>8</w:t>
    </w:r>
    <w:r w:rsidRPr="00BF6E82">
      <w:fldChar w:fldCharType="end"/>
    </w:r>
    <w:r>
      <w:t>/</w:t>
    </w:r>
    <w:fldSimple w:instr="NUMPAGES  \* Arabic  \* MERGEFORMAT">
      <w:r w:rsidR="00C13E55">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600B6DD1" w:rsidR="00CF6F33" w:rsidRPr="00992A11" w:rsidRDefault="009E5B95" w:rsidP="00992A11">
    <w:pPr>
      <w:pStyle w:val="Footer"/>
    </w:pPr>
    <w:r>
      <w:rPr>
        <w:lang w:val="ru-RU" w:eastAsia="ru-RU"/>
      </w:rPr>
      <w:drawing>
        <wp:inline distT="0" distB="0" distL="0" distR="0" wp14:anchorId="1C787FF5" wp14:editId="19837837">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t xml:space="preserve">Стор.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1230D7">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1230D7">
      <w:t>8</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E657E" w14:textId="77777777" w:rsidR="00591CB5" w:rsidRDefault="00591CB5">
      <w:r>
        <w:separator/>
      </w:r>
    </w:p>
  </w:footnote>
  <w:footnote w:type="continuationSeparator" w:id="0">
    <w:p w14:paraId="0C939B16" w14:textId="77777777" w:rsidR="00591CB5" w:rsidRDefault="00591CB5">
      <w:r>
        <w:continuationSeparator/>
      </w:r>
    </w:p>
  </w:footnote>
  <w:footnote w:type="continuationNotice" w:id="1">
    <w:p w14:paraId="513E1F2F" w14:textId="77777777" w:rsidR="00591CB5" w:rsidRDefault="00591C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099536E3" w:rsidR="00CF6F33" w:rsidRPr="00EB46D9" w:rsidRDefault="0059722C" w:rsidP="00EB46D9">
    <w:pPr>
      <w:pStyle w:val="Header"/>
    </w:pPr>
    <w:r>
      <w:rPr>
        <w:noProof/>
        <w:lang w:val="ru-RU" w:eastAsia="ru-RU"/>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2C7DAC5"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t>Пресреліз</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63122257">
    <w:abstractNumId w:val="2"/>
  </w:num>
  <w:num w:numId="2" w16cid:durableId="1445735301">
    <w:abstractNumId w:val="1"/>
  </w:num>
  <w:num w:numId="3" w16cid:durableId="383142606">
    <w:abstractNumId w:val="16"/>
  </w:num>
  <w:num w:numId="4" w16cid:durableId="1376542163">
    <w:abstractNumId w:val="10"/>
  </w:num>
  <w:num w:numId="5" w16cid:durableId="635793988">
    <w:abstractNumId w:val="7"/>
  </w:num>
  <w:num w:numId="6" w16cid:durableId="1666741141">
    <w:abstractNumId w:val="12"/>
  </w:num>
  <w:num w:numId="7" w16cid:durableId="106043106">
    <w:abstractNumId w:val="9"/>
  </w:num>
  <w:num w:numId="8" w16cid:durableId="1279532543">
    <w:abstractNumId w:val="15"/>
  </w:num>
  <w:num w:numId="9" w16cid:durableId="822158225">
    <w:abstractNumId w:val="0"/>
  </w:num>
  <w:num w:numId="10" w16cid:durableId="1831482014">
    <w:abstractNumId w:val="18"/>
  </w:num>
  <w:num w:numId="11" w16cid:durableId="70396657">
    <w:abstractNumId w:val="8"/>
  </w:num>
  <w:num w:numId="12" w16cid:durableId="473646260">
    <w:abstractNumId w:val="0"/>
  </w:num>
  <w:num w:numId="13" w16cid:durableId="2037999323">
    <w:abstractNumId w:val="3"/>
  </w:num>
  <w:num w:numId="14" w16cid:durableId="1514219523">
    <w:abstractNumId w:val="4"/>
  </w:num>
  <w:num w:numId="15" w16cid:durableId="153837543">
    <w:abstractNumId w:val="17"/>
  </w:num>
  <w:num w:numId="16" w16cid:durableId="573011992">
    <w:abstractNumId w:val="13"/>
  </w:num>
  <w:num w:numId="17" w16cid:durableId="955985941">
    <w:abstractNumId w:val="11"/>
  </w:num>
  <w:num w:numId="18" w16cid:durableId="1565336342">
    <w:abstractNumId w:val="5"/>
  </w:num>
  <w:num w:numId="19" w16cid:durableId="581187563">
    <w:abstractNumId w:val="14"/>
  </w:num>
  <w:num w:numId="20" w16cid:durableId="291520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4F3C"/>
    <w:rsid w:val="000050F2"/>
    <w:rsid w:val="00005267"/>
    <w:rsid w:val="00006346"/>
    <w:rsid w:val="000069EB"/>
    <w:rsid w:val="00006A45"/>
    <w:rsid w:val="000070A8"/>
    <w:rsid w:val="00012E70"/>
    <w:rsid w:val="000136FE"/>
    <w:rsid w:val="00014FC1"/>
    <w:rsid w:val="00016137"/>
    <w:rsid w:val="00020DC3"/>
    <w:rsid w:val="00021C67"/>
    <w:rsid w:val="00024147"/>
    <w:rsid w:val="00024483"/>
    <w:rsid w:val="000256A9"/>
    <w:rsid w:val="00026EEE"/>
    <w:rsid w:val="000301F0"/>
    <w:rsid w:val="00030557"/>
    <w:rsid w:val="00030701"/>
    <w:rsid w:val="00030F51"/>
    <w:rsid w:val="00031E51"/>
    <w:rsid w:val="00033476"/>
    <w:rsid w:val="000343EB"/>
    <w:rsid w:val="00035A84"/>
    <w:rsid w:val="00037933"/>
    <w:rsid w:val="00040390"/>
    <w:rsid w:val="00040816"/>
    <w:rsid w:val="00040CC9"/>
    <w:rsid w:val="00041F81"/>
    <w:rsid w:val="000425ED"/>
    <w:rsid w:val="00045CCB"/>
    <w:rsid w:val="000510FC"/>
    <w:rsid w:val="00051555"/>
    <w:rsid w:val="00051E86"/>
    <w:rsid w:val="00051EDB"/>
    <w:rsid w:val="000527F1"/>
    <w:rsid w:val="00054AFE"/>
    <w:rsid w:val="0005544E"/>
    <w:rsid w:val="000570AE"/>
    <w:rsid w:val="000575F9"/>
    <w:rsid w:val="0006148D"/>
    <w:rsid w:val="000618FC"/>
    <w:rsid w:val="00063BE9"/>
    <w:rsid w:val="00065466"/>
    <w:rsid w:val="000665F3"/>
    <w:rsid w:val="00067071"/>
    <w:rsid w:val="00067F67"/>
    <w:rsid w:val="00070652"/>
    <w:rsid w:val="00070757"/>
    <w:rsid w:val="00071284"/>
    <w:rsid w:val="00073AED"/>
    <w:rsid w:val="00074942"/>
    <w:rsid w:val="000751A7"/>
    <w:rsid w:val="0007558F"/>
    <w:rsid w:val="000773D2"/>
    <w:rsid w:val="0007746E"/>
    <w:rsid w:val="00077AF9"/>
    <w:rsid w:val="00080D10"/>
    <w:rsid w:val="00081241"/>
    <w:rsid w:val="00081692"/>
    <w:rsid w:val="00081EF8"/>
    <w:rsid w:val="00082417"/>
    <w:rsid w:val="0008357F"/>
    <w:rsid w:val="00083A35"/>
    <w:rsid w:val="00083A61"/>
    <w:rsid w:val="00083DAB"/>
    <w:rsid w:val="00083F9D"/>
    <w:rsid w:val="0008406B"/>
    <w:rsid w:val="00084918"/>
    <w:rsid w:val="0008581D"/>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B005C"/>
    <w:rsid w:val="000B10DE"/>
    <w:rsid w:val="000B2E86"/>
    <w:rsid w:val="000B31E4"/>
    <w:rsid w:val="000B5D2F"/>
    <w:rsid w:val="000B5E32"/>
    <w:rsid w:val="000B6244"/>
    <w:rsid w:val="000B695A"/>
    <w:rsid w:val="000B72A8"/>
    <w:rsid w:val="000C210A"/>
    <w:rsid w:val="000C27E5"/>
    <w:rsid w:val="000C30D6"/>
    <w:rsid w:val="000C47D1"/>
    <w:rsid w:val="000C50A1"/>
    <w:rsid w:val="000C56DD"/>
    <w:rsid w:val="000C63F4"/>
    <w:rsid w:val="000C65FB"/>
    <w:rsid w:val="000D11CB"/>
    <w:rsid w:val="000D14C4"/>
    <w:rsid w:val="000D1672"/>
    <w:rsid w:val="000D178A"/>
    <w:rsid w:val="000D18CE"/>
    <w:rsid w:val="000D40C6"/>
    <w:rsid w:val="000D52F6"/>
    <w:rsid w:val="000D6C67"/>
    <w:rsid w:val="000D738C"/>
    <w:rsid w:val="000E0CAB"/>
    <w:rsid w:val="000E11D9"/>
    <w:rsid w:val="000E1B84"/>
    <w:rsid w:val="000E2F62"/>
    <w:rsid w:val="000E36E1"/>
    <w:rsid w:val="000E38ED"/>
    <w:rsid w:val="000E45C7"/>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570F"/>
    <w:rsid w:val="00105975"/>
    <w:rsid w:val="00110090"/>
    <w:rsid w:val="0011116D"/>
    <w:rsid w:val="00111386"/>
    <w:rsid w:val="001118DF"/>
    <w:rsid w:val="00111F4D"/>
    <w:rsid w:val="00112A28"/>
    <w:rsid w:val="00113571"/>
    <w:rsid w:val="001135E4"/>
    <w:rsid w:val="00114B27"/>
    <w:rsid w:val="00114DDF"/>
    <w:rsid w:val="00115230"/>
    <w:rsid w:val="00115B5F"/>
    <w:rsid w:val="001162B4"/>
    <w:rsid w:val="00116DF3"/>
    <w:rsid w:val="00117B1C"/>
    <w:rsid w:val="00122B90"/>
    <w:rsid w:val="00122CBC"/>
    <w:rsid w:val="001230D7"/>
    <w:rsid w:val="0012414B"/>
    <w:rsid w:val="00124FA3"/>
    <w:rsid w:val="00126C65"/>
    <w:rsid w:val="00126D4A"/>
    <w:rsid w:val="00131762"/>
    <w:rsid w:val="001318EB"/>
    <w:rsid w:val="00132DA9"/>
    <w:rsid w:val="0013305B"/>
    <w:rsid w:val="00133B99"/>
    <w:rsid w:val="0013569C"/>
    <w:rsid w:val="00135939"/>
    <w:rsid w:val="001369E3"/>
    <w:rsid w:val="001375DD"/>
    <w:rsid w:val="00142EFB"/>
    <w:rsid w:val="001438BF"/>
    <w:rsid w:val="001443BD"/>
    <w:rsid w:val="00144A87"/>
    <w:rsid w:val="00144DD5"/>
    <w:rsid w:val="0014545C"/>
    <w:rsid w:val="00145B62"/>
    <w:rsid w:val="00146193"/>
    <w:rsid w:val="00152022"/>
    <w:rsid w:val="00152026"/>
    <w:rsid w:val="00152A41"/>
    <w:rsid w:val="001577E9"/>
    <w:rsid w:val="00157A59"/>
    <w:rsid w:val="0016138C"/>
    <w:rsid w:val="00162D60"/>
    <w:rsid w:val="001640D5"/>
    <w:rsid w:val="00164BE6"/>
    <w:rsid w:val="001653D7"/>
    <w:rsid w:val="001659FB"/>
    <w:rsid w:val="00166F97"/>
    <w:rsid w:val="00172C99"/>
    <w:rsid w:val="001731CE"/>
    <w:rsid w:val="00175C72"/>
    <w:rsid w:val="00177B37"/>
    <w:rsid w:val="00180F93"/>
    <w:rsid w:val="00181B06"/>
    <w:rsid w:val="0018672E"/>
    <w:rsid w:val="00187A15"/>
    <w:rsid w:val="00191458"/>
    <w:rsid w:val="00191DD2"/>
    <w:rsid w:val="00196828"/>
    <w:rsid w:val="00196A14"/>
    <w:rsid w:val="00197E9B"/>
    <w:rsid w:val="001A1185"/>
    <w:rsid w:val="001A1FEB"/>
    <w:rsid w:val="001A3D77"/>
    <w:rsid w:val="001A4C03"/>
    <w:rsid w:val="001B3094"/>
    <w:rsid w:val="001B30F7"/>
    <w:rsid w:val="001B31F0"/>
    <w:rsid w:val="001B4862"/>
    <w:rsid w:val="001B5147"/>
    <w:rsid w:val="001B65FF"/>
    <w:rsid w:val="001B710A"/>
    <w:rsid w:val="001B771D"/>
    <w:rsid w:val="001B7C20"/>
    <w:rsid w:val="001C0B32"/>
    <w:rsid w:val="001C2D66"/>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11A1"/>
    <w:rsid w:val="001F1AB5"/>
    <w:rsid w:val="001F1BDF"/>
    <w:rsid w:val="001F1D6D"/>
    <w:rsid w:val="001F35F8"/>
    <w:rsid w:val="001F39FC"/>
    <w:rsid w:val="001F48D9"/>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756B"/>
    <w:rsid w:val="00207E75"/>
    <w:rsid w:val="00210D86"/>
    <w:rsid w:val="0021158F"/>
    <w:rsid w:val="00212488"/>
    <w:rsid w:val="002129A6"/>
    <w:rsid w:val="002151DB"/>
    <w:rsid w:val="0021591A"/>
    <w:rsid w:val="00220628"/>
    <w:rsid w:val="00221A45"/>
    <w:rsid w:val="00221BA0"/>
    <w:rsid w:val="00222DEE"/>
    <w:rsid w:val="002260C7"/>
    <w:rsid w:val="002304D2"/>
    <w:rsid w:val="002338C1"/>
    <w:rsid w:val="00233D04"/>
    <w:rsid w:val="00234ABD"/>
    <w:rsid w:val="00236491"/>
    <w:rsid w:val="00236C3B"/>
    <w:rsid w:val="00236E2A"/>
    <w:rsid w:val="00237F62"/>
    <w:rsid w:val="00241E10"/>
    <w:rsid w:val="00242A6B"/>
    <w:rsid w:val="0024458B"/>
    <w:rsid w:val="0024586A"/>
    <w:rsid w:val="0024601F"/>
    <w:rsid w:val="002502E1"/>
    <w:rsid w:val="00250F80"/>
    <w:rsid w:val="0025124F"/>
    <w:rsid w:val="00251330"/>
    <w:rsid w:val="002518A2"/>
    <w:rsid w:val="002528B3"/>
    <w:rsid w:val="0025551F"/>
    <w:rsid w:val="00255F8C"/>
    <w:rsid w:val="00256174"/>
    <w:rsid w:val="00256F0C"/>
    <w:rsid w:val="00257231"/>
    <w:rsid w:val="00260318"/>
    <w:rsid w:val="00261C23"/>
    <w:rsid w:val="00262C05"/>
    <w:rsid w:val="00263868"/>
    <w:rsid w:val="00266359"/>
    <w:rsid w:val="002715AF"/>
    <w:rsid w:val="002717F0"/>
    <w:rsid w:val="0027301C"/>
    <w:rsid w:val="00273099"/>
    <w:rsid w:val="00281D14"/>
    <w:rsid w:val="00282953"/>
    <w:rsid w:val="00282C13"/>
    <w:rsid w:val="002833D8"/>
    <w:rsid w:val="00285669"/>
    <w:rsid w:val="00286BF6"/>
    <w:rsid w:val="00287337"/>
    <w:rsid w:val="00287DEE"/>
    <w:rsid w:val="002903B7"/>
    <w:rsid w:val="00294EB3"/>
    <w:rsid w:val="00295E54"/>
    <w:rsid w:val="002962D7"/>
    <w:rsid w:val="00296C33"/>
    <w:rsid w:val="002A0462"/>
    <w:rsid w:val="002A0D7B"/>
    <w:rsid w:val="002A0DF7"/>
    <w:rsid w:val="002A268C"/>
    <w:rsid w:val="002A2975"/>
    <w:rsid w:val="002A460D"/>
    <w:rsid w:val="002A4CEA"/>
    <w:rsid w:val="002A505B"/>
    <w:rsid w:val="002A5EE9"/>
    <w:rsid w:val="002A60E0"/>
    <w:rsid w:val="002B03A5"/>
    <w:rsid w:val="002B1AA8"/>
    <w:rsid w:val="002B1E51"/>
    <w:rsid w:val="002B1E87"/>
    <w:rsid w:val="002B35E0"/>
    <w:rsid w:val="002B687A"/>
    <w:rsid w:val="002C1344"/>
    <w:rsid w:val="002C252E"/>
    <w:rsid w:val="002C3A2A"/>
    <w:rsid w:val="002C458A"/>
    <w:rsid w:val="002C6552"/>
    <w:rsid w:val="002C6773"/>
    <w:rsid w:val="002C6F51"/>
    <w:rsid w:val="002C73EC"/>
    <w:rsid w:val="002D0FE0"/>
    <w:rsid w:val="002D269A"/>
    <w:rsid w:val="002D2A3D"/>
    <w:rsid w:val="002D3E72"/>
    <w:rsid w:val="002D3EAC"/>
    <w:rsid w:val="002D46A9"/>
    <w:rsid w:val="002D5D1D"/>
    <w:rsid w:val="002D6EFD"/>
    <w:rsid w:val="002D74CF"/>
    <w:rsid w:val="002E0A45"/>
    <w:rsid w:val="002E0B17"/>
    <w:rsid w:val="002E26B4"/>
    <w:rsid w:val="002E4FFB"/>
    <w:rsid w:val="002E6110"/>
    <w:rsid w:val="002E63A7"/>
    <w:rsid w:val="002E650E"/>
    <w:rsid w:val="002E6E2F"/>
    <w:rsid w:val="002E7DED"/>
    <w:rsid w:val="002F0334"/>
    <w:rsid w:val="002F2A7B"/>
    <w:rsid w:val="002F4AB2"/>
    <w:rsid w:val="002F5944"/>
    <w:rsid w:val="002F7BC2"/>
    <w:rsid w:val="002F7E11"/>
    <w:rsid w:val="0030037C"/>
    <w:rsid w:val="00301C72"/>
    <w:rsid w:val="00304087"/>
    <w:rsid w:val="003053DC"/>
    <w:rsid w:val="003054B0"/>
    <w:rsid w:val="003057B1"/>
    <w:rsid w:val="003062AD"/>
    <w:rsid w:val="00306D32"/>
    <w:rsid w:val="00310ACD"/>
    <w:rsid w:val="00312C23"/>
    <w:rsid w:val="0031379F"/>
    <w:rsid w:val="00313A9C"/>
    <w:rsid w:val="00314A97"/>
    <w:rsid w:val="0031621E"/>
    <w:rsid w:val="00316A16"/>
    <w:rsid w:val="00320228"/>
    <w:rsid w:val="00320A26"/>
    <w:rsid w:val="003212F3"/>
    <w:rsid w:val="00321344"/>
    <w:rsid w:val="00321788"/>
    <w:rsid w:val="00325064"/>
    <w:rsid w:val="00325630"/>
    <w:rsid w:val="00325EC9"/>
    <w:rsid w:val="00326D29"/>
    <w:rsid w:val="003279C6"/>
    <w:rsid w:val="0032B295"/>
    <w:rsid w:val="00331A3E"/>
    <w:rsid w:val="0033451C"/>
    <w:rsid w:val="00335660"/>
    <w:rsid w:val="00335FBD"/>
    <w:rsid w:val="00336854"/>
    <w:rsid w:val="0033769B"/>
    <w:rsid w:val="0034015C"/>
    <w:rsid w:val="00341409"/>
    <w:rsid w:val="00341CAE"/>
    <w:rsid w:val="003442F4"/>
    <w:rsid w:val="00344546"/>
    <w:rsid w:val="003455CF"/>
    <w:rsid w:val="00345FA1"/>
    <w:rsid w:val="0034716E"/>
    <w:rsid w:val="00350CB4"/>
    <w:rsid w:val="00353705"/>
    <w:rsid w:val="00354B07"/>
    <w:rsid w:val="00354C69"/>
    <w:rsid w:val="00355536"/>
    <w:rsid w:val="00355BAC"/>
    <w:rsid w:val="003562E8"/>
    <w:rsid w:val="003614D7"/>
    <w:rsid w:val="00361E9F"/>
    <w:rsid w:val="00361FB0"/>
    <w:rsid w:val="0036357D"/>
    <w:rsid w:val="003649BC"/>
    <w:rsid w:val="00364F7E"/>
    <w:rsid w:val="00365E44"/>
    <w:rsid w:val="003662B1"/>
    <w:rsid w:val="003667AD"/>
    <w:rsid w:val="00367AA1"/>
    <w:rsid w:val="00370A5B"/>
    <w:rsid w:val="00372497"/>
    <w:rsid w:val="00372619"/>
    <w:rsid w:val="00372E36"/>
    <w:rsid w:val="00373D53"/>
    <w:rsid w:val="00375653"/>
    <w:rsid w:val="00375DFA"/>
    <w:rsid w:val="00375F7D"/>
    <w:rsid w:val="003767D3"/>
    <w:rsid w:val="00376EE9"/>
    <w:rsid w:val="00376FFC"/>
    <w:rsid w:val="00377CBB"/>
    <w:rsid w:val="00384F62"/>
    <w:rsid w:val="00385438"/>
    <w:rsid w:val="003858E5"/>
    <w:rsid w:val="003877B6"/>
    <w:rsid w:val="00391539"/>
    <w:rsid w:val="003915B0"/>
    <w:rsid w:val="003921B7"/>
    <w:rsid w:val="00393887"/>
    <w:rsid w:val="00393F1B"/>
    <w:rsid w:val="00394C6B"/>
    <w:rsid w:val="0039610B"/>
    <w:rsid w:val="00397C2B"/>
    <w:rsid w:val="00397C90"/>
    <w:rsid w:val="003A0961"/>
    <w:rsid w:val="003A290F"/>
    <w:rsid w:val="003A4AAA"/>
    <w:rsid w:val="003A4B10"/>
    <w:rsid w:val="003A4E2E"/>
    <w:rsid w:val="003A4E62"/>
    <w:rsid w:val="003A56EB"/>
    <w:rsid w:val="003A5A6A"/>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34C9"/>
    <w:rsid w:val="003C4EB2"/>
    <w:rsid w:val="003C5E05"/>
    <w:rsid w:val="003C63D0"/>
    <w:rsid w:val="003C7959"/>
    <w:rsid w:val="003D0FD1"/>
    <w:rsid w:val="003D3968"/>
    <w:rsid w:val="003D42AF"/>
    <w:rsid w:val="003D4AD2"/>
    <w:rsid w:val="003D5E11"/>
    <w:rsid w:val="003D73C0"/>
    <w:rsid w:val="003E031D"/>
    <w:rsid w:val="003E1343"/>
    <w:rsid w:val="003E6849"/>
    <w:rsid w:val="003E7305"/>
    <w:rsid w:val="003F0C1C"/>
    <w:rsid w:val="003F11AB"/>
    <w:rsid w:val="003F1AF3"/>
    <w:rsid w:val="003F25E4"/>
    <w:rsid w:val="003F4743"/>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128C1"/>
    <w:rsid w:val="004137C0"/>
    <w:rsid w:val="004138F3"/>
    <w:rsid w:val="00417640"/>
    <w:rsid w:val="00421F20"/>
    <w:rsid w:val="00423B63"/>
    <w:rsid w:val="0042630F"/>
    <w:rsid w:val="00427BEA"/>
    <w:rsid w:val="00427EDC"/>
    <w:rsid w:val="00430120"/>
    <w:rsid w:val="004313E7"/>
    <w:rsid w:val="0043208D"/>
    <w:rsid w:val="00432542"/>
    <w:rsid w:val="004339B2"/>
    <w:rsid w:val="00436CCB"/>
    <w:rsid w:val="00440223"/>
    <w:rsid w:val="00444A70"/>
    <w:rsid w:val="0044763B"/>
    <w:rsid w:val="00452696"/>
    <w:rsid w:val="00453F32"/>
    <w:rsid w:val="00454665"/>
    <w:rsid w:val="00456A53"/>
    <w:rsid w:val="0046213C"/>
    <w:rsid w:val="00462518"/>
    <w:rsid w:val="0046266D"/>
    <w:rsid w:val="004629B3"/>
    <w:rsid w:val="00463022"/>
    <w:rsid w:val="0046376E"/>
    <w:rsid w:val="00463B50"/>
    <w:rsid w:val="004647C5"/>
    <w:rsid w:val="0046587C"/>
    <w:rsid w:val="0046690F"/>
    <w:rsid w:val="0046792B"/>
    <w:rsid w:val="00471116"/>
    <w:rsid w:val="00472FEC"/>
    <w:rsid w:val="0047503A"/>
    <w:rsid w:val="00476830"/>
    <w:rsid w:val="0047696E"/>
    <w:rsid w:val="004770F6"/>
    <w:rsid w:val="004812D2"/>
    <w:rsid w:val="00483617"/>
    <w:rsid w:val="00483B28"/>
    <w:rsid w:val="004858E1"/>
    <w:rsid w:val="00485EF2"/>
    <w:rsid w:val="004864A1"/>
    <w:rsid w:val="0048769E"/>
    <w:rsid w:val="00490A03"/>
    <w:rsid w:val="00490B0D"/>
    <w:rsid w:val="00490E5D"/>
    <w:rsid w:val="00492B0A"/>
    <w:rsid w:val="00492D88"/>
    <w:rsid w:val="00493327"/>
    <w:rsid w:val="0049382E"/>
    <w:rsid w:val="00493B38"/>
    <w:rsid w:val="00494DBE"/>
    <w:rsid w:val="00495CE6"/>
    <w:rsid w:val="00497524"/>
    <w:rsid w:val="00497D5E"/>
    <w:rsid w:val="004A144D"/>
    <w:rsid w:val="004A1D27"/>
    <w:rsid w:val="004A323C"/>
    <w:rsid w:val="004B0801"/>
    <w:rsid w:val="004B1117"/>
    <w:rsid w:val="004B1A6B"/>
    <w:rsid w:val="004B1FC8"/>
    <w:rsid w:val="004B339A"/>
    <w:rsid w:val="004B54E8"/>
    <w:rsid w:val="004B773C"/>
    <w:rsid w:val="004C0138"/>
    <w:rsid w:val="004C0686"/>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341"/>
    <w:rsid w:val="004E5124"/>
    <w:rsid w:val="004E7BE2"/>
    <w:rsid w:val="004E7E3A"/>
    <w:rsid w:val="004F10C1"/>
    <w:rsid w:val="004F1C5E"/>
    <w:rsid w:val="004F3E47"/>
    <w:rsid w:val="004F4CC8"/>
    <w:rsid w:val="004F4F5A"/>
    <w:rsid w:val="004F51FF"/>
    <w:rsid w:val="004F56E7"/>
    <w:rsid w:val="004F5AD9"/>
    <w:rsid w:val="004F699F"/>
    <w:rsid w:val="00500955"/>
    <w:rsid w:val="0050159C"/>
    <w:rsid w:val="005018C2"/>
    <w:rsid w:val="005022B7"/>
    <w:rsid w:val="00502E62"/>
    <w:rsid w:val="00506B8A"/>
    <w:rsid w:val="005110D3"/>
    <w:rsid w:val="00520A65"/>
    <w:rsid w:val="00521891"/>
    <w:rsid w:val="005218B8"/>
    <w:rsid w:val="0052212B"/>
    <w:rsid w:val="005221A8"/>
    <w:rsid w:val="005230C7"/>
    <w:rsid w:val="0052625A"/>
    <w:rsid w:val="005266EA"/>
    <w:rsid w:val="00527072"/>
    <w:rsid w:val="0053001D"/>
    <w:rsid w:val="00533DCC"/>
    <w:rsid w:val="00534B46"/>
    <w:rsid w:val="00534CE8"/>
    <w:rsid w:val="00535018"/>
    <w:rsid w:val="00535180"/>
    <w:rsid w:val="005355DB"/>
    <w:rsid w:val="00535866"/>
    <w:rsid w:val="00540358"/>
    <w:rsid w:val="00540A05"/>
    <w:rsid w:val="00540D47"/>
    <w:rsid w:val="005428D7"/>
    <w:rsid w:val="00542D43"/>
    <w:rsid w:val="00544504"/>
    <w:rsid w:val="005463C3"/>
    <w:rsid w:val="005465A3"/>
    <w:rsid w:val="00547C7C"/>
    <w:rsid w:val="005506D5"/>
    <w:rsid w:val="00550864"/>
    <w:rsid w:val="00550B92"/>
    <w:rsid w:val="00551D6C"/>
    <w:rsid w:val="00553580"/>
    <w:rsid w:val="005550A8"/>
    <w:rsid w:val="0055571E"/>
    <w:rsid w:val="00556F67"/>
    <w:rsid w:val="00557849"/>
    <w:rsid w:val="00563009"/>
    <w:rsid w:val="005635B7"/>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6280"/>
    <w:rsid w:val="005865FC"/>
    <w:rsid w:val="005869CE"/>
    <w:rsid w:val="00586CAF"/>
    <w:rsid w:val="005873E9"/>
    <w:rsid w:val="00587A90"/>
    <w:rsid w:val="00591180"/>
    <w:rsid w:val="00591CB5"/>
    <w:rsid w:val="00592E9F"/>
    <w:rsid w:val="00595286"/>
    <w:rsid w:val="0059722C"/>
    <w:rsid w:val="005977A6"/>
    <w:rsid w:val="00597D07"/>
    <w:rsid w:val="00597DD6"/>
    <w:rsid w:val="005A16E6"/>
    <w:rsid w:val="005A30D7"/>
    <w:rsid w:val="005A3846"/>
    <w:rsid w:val="005A5E6B"/>
    <w:rsid w:val="005A678F"/>
    <w:rsid w:val="005A7DE8"/>
    <w:rsid w:val="005A7E97"/>
    <w:rsid w:val="005B0DFE"/>
    <w:rsid w:val="005B2CD2"/>
    <w:rsid w:val="005B632A"/>
    <w:rsid w:val="005B6A58"/>
    <w:rsid w:val="005C2D0E"/>
    <w:rsid w:val="005C5A83"/>
    <w:rsid w:val="005C7112"/>
    <w:rsid w:val="005C7954"/>
    <w:rsid w:val="005D0561"/>
    <w:rsid w:val="005D0AD9"/>
    <w:rsid w:val="005D1A67"/>
    <w:rsid w:val="005D1C91"/>
    <w:rsid w:val="005D22F6"/>
    <w:rsid w:val="005D62A3"/>
    <w:rsid w:val="005D6774"/>
    <w:rsid w:val="005D68AA"/>
    <w:rsid w:val="005D6BD1"/>
    <w:rsid w:val="005E060E"/>
    <w:rsid w:val="005E0C30"/>
    <w:rsid w:val="005E1DCB"/>
    <w:rsid w:val="005E2377"/>
    <w:rsid w:val="005E2EE4"/>
    <w:rsid w:val="005E33E0"/>
    <w:rsid w:val="005E3FBB"/>
    <w:rsid w:val="005E66B4"/>
    <w:rsid w:val="005E69D9"/>
    <w:rsid w:val="005E6CB1"/>
    <w:rsid w:val="005E7116"/>
    <w:rsid w:val="005E7971"/>
    <w:rsid w:val="005F17D1"/>
    <w:rsid w:val="005F27F4"/>
    <w:rsid w:val="005F287F"/>
    <w:rsid w:val="005F3239"/>
    <w:rsid w:val="005F39BF"/>
    <w:rsid w:val="005F566C"/>
    <w:rsid w:val="005F6567"/>
    <w:rsid w:val="005F676D"/>
    <w:rsid w:val="005F7A8A"/>
    <w:rsid w:val="00600998"/>
    <w:rsid w:val="00600ACF"/>
    <w:rsid w:val="006019EB"/>
    <w:rsid w:val="006027CA"/>
    <w:rsid w:val="00603902"/>
    <w:rsid w:val="00605DFE"/>
    <w:rsid w:val="00607094"/>
    <w:rsid w:val="00607256"/>
    <w:rsid w:val="0060790C"/>
    <w:rsid w:val="0060791E"/>
    <w:rsid w:val="00611F08"/>
    <w:rsid w:val="00613BF1"/>
    <w:rsid w:val="006144B1"/>
    <w:rsid w:val="00615A5C"/>
    <w:rsid w:val="006177FF"/>
    <w:rsid w:val="0062077F"/>
    <w:rsid w:val="00621BC7"/>
    <w:rsid w:val="00622033"/>
    <w:rsid w:val="0062232C"/>
    <w:rsid w:val="00630644"/>
    <w:rsid w:val="006335F1"/>
    <w:rsid w:val="006336FD"/>
    <w:rsid w:val="00633B49"/>
    <w:rsid w:val="006345B6"/>
    <w:rsid w:val="006349FD"/>
    <w:rsid w:val="00635616"/>
    <w:rsid w:val="00635712"/>
    <w:rsid w:val="00635984"/>
    <w:rsid w:val="00635F41"/>
    <w:rsid w:val="006368FF"/>
    <w:rsid w:val="006377D4"/>
    <w:rsid w:val="00640135"/>
    <w:rsid w:val="006402FF"/>
    <w:rsid w:val="0064107F"/>
    <w:rsid w:val="00643D8A"/>
    <w:rsid w:val="00645A5C"/>
    <w:rsid w:val="00646797"/>
    <w:rsid w:val="00647AB9"/>
    <w:rsid w:val="00650894"/>
    <w:rsid w:val="0065112B"/>
    <w:rsid w:val="00652091"/>
    <w:rsid w:val="00652229"/>
    <w:rsid w:val="00652793"/>
    <w:rsid w:val="006528DE"/>
    <w:rsid w:val="00657789"/>
    <w:rsid w:val="00660196"/>
    <w:rsid w:val="00660320"/>
    <w:rsid w:val="0066187E"/>
    <w:rsid w:val="00662375"/>
    <w:rsid w:val="006626CA"/>
    <w:rsid w:val="00663487"/>
    <w:rsid w:val="006662DE"/>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699A"/>
    <w:rsid w:val="00690842"/>
    <w:rsid w:val="00690B19"/>
    <w:rsid w:val="0069650C"/>
    <w:rsid w:val="006A0A3C"/>
    <w:rsid w:val="006A1ED8"/>
    <w:rsid w:val="006A59E9"/>
    <w:rsid w:val="006A5AB1"/>
    <w:rsid w:val="006A75B8"/>
    <w:rsid w:val="006A79F0"/>
    <w:rsid w:val="006B048F"/>
    <w:rsid w:val="006B359D"/>
    <w:rsid w:val="006B47EE"/>
    <w:rsid w:val="006B499F"/>
    <w:rsid w:val="006B54C6"/>
    <w:rsid w:val="006B617F"/>
    <w:rsid w:val="006C1FB8"/>
    <w:rsid w:val="006C2BB0"/>
    <w:rsid w:val="006C33BE"/>
    <w:rsid w:val="006C4B3D"/>
    <w:rsid w:val="006C5B53"/>
    <w:rsid w:val="006C757C"/>
    <w:rsid w:val="006C7E78"/>
    <w:rsid w:val="006D064D"/>
    <w:rsid w:val="006D098F"/>
    <w:rsid w:val="006D20E3"/>
    <w:rsid w:val="006D2218"/>
    <w:rsid w:val="006D33E1"/>
    <w:rsid w:val="006D4996"/>
    <w:rsid w:val="006D535B"/>
    <w:rsid w:val="006D54AB"/>
    <w:rsid w:val="006D58E5"/>
    <w:rsid w:val="006E1084"/>
    <w:rsid w:val="006E10B2"/>
    <w:rsid w:val="006E1FA9"/>
    <w:rsid w:val="006E2D24"/>
    <w:rsid w:val="006E3006"/>
    <w:rsid w:val="006E4F02"/>
    <w:rsid w:val="006E5032"/>
    <w:rsid w:val="006E5BDA"/>
    <w:rsid w:val="006E7AC9"/>
    <w:rsid w:val="006F0FC7"/>
    <w:rsid w:val="006F1022"/>
    <w:rsid w:val="006F39A9"/>
    <w:rsid w:val="006F3D9D"/>
    <w:rsid w:val="006F520B"/>
    <w:rsid w:val="006F524E"/>
    <w:rsid w:val="006F5D57"/>
    <w:rsid w:val="006F643F"/>
    <w:rsid w:val="006F670F"/>
    <w:rsid w:val="006F74EC"/>
    <w:rsid w:val="006F77F3"/>
    <w:rsid w:val="0070063C"/>
    <w:rsid w:val="00700939"/>
    <w:rsid w:val="007009EF"/>
    <w:rsid w:val="00700D69"/>
    <w:rsid w:val="00702921"/>
    <w:rsid w:val="00703272"/>
    <w:rsid w:val="0070362C"/>
    <w:rsid w:val="0070471B"/>
    <w:rsid w:val="00705BBE"/>
    <w:rsid w:val="0070733C"/>
    <w:rsid w:val="00707436"/>
    <w:rsid w:val="007102D5"/>
    <w:rsid w:val="00710C5D"/>
    <w:rsid w:val="0071348C"/>
    <w:rsid w:val="00717273"/>
    <w:rsid w:val="00720FD4"/>
    <w:rsid w:val="00721072"/>
    <w:rsid w:val="00722F57"/>
    <w:rsid w:val="0072314B"/>
    <w:rsid w:val="00723C6D"/>
    <w:rsid w:val="00724550"/>
    <w:rsid w:val="007246A0"/>
    <w:rsid w:val="00724737"/>
    <w:rsid w:val="00724AF2"/>
    <w:rsid w:val="00730624"/>
    <w:rsid w:val="0073096C"/>
    <w:rsid w:val="0073100D"/>
    <w:rsid w:val="00731368"/>
    <w:rsid w:val="00731C55"/>
    <w:rsid w:val="00733429"/>
    <w:rsid w:val="00733A46"/>
    <w:rsid w:val="00735E2D"/>
    <w:rsid w:val="00736DDC"/>
    <w:rsid w:val="00736F2C"/>
    <w:rsid w:val="007419C8"/>
    <w:rsid w:val="00741D9F"/>
    <w:rsid w:val="00742398"/>
    <w:rsid w:val="007432A9"/>
    <w:rsid w:val="00745C0B"/>
    <w:rsid w:val="00746050"/>
    <w:rsid w:val="00746118"/>
    <w:rsid w:val="00746C7F"/>
    <w:rsid w:val="007507B5"/>
    <w:rsid w:val="0075091D"/>
    <w:rsid w:val="00750EC4"/>
    <w:rsid w:val="00751831"/>
    <w:rsid w:val="0075201B"/>
    <w:rsid w:val="007523F8"/>
    <w:rsid w:val="00753A24"/>
    <w:rsid w:val="0075430D"/>
    <w:rsid w:val="007558B1"/>
    <w:rsid w:val="0075779F"/>
    <w:rsid w:val="0076354B"/>
    <w:rsid w:val="0076414E"/>
    <w:rsid w:val="007658F3"/>
    <w:rsid w:val="007661FA"/>
    <w:rsid w:val="00766EA2"/>
    <w:rsid w:val="00767034"/>
    <w:rsid w:val="007712DB"/>
    <w:rsid w:val="00772188"/>
    <w:rsid w:val="0077222A"/>
    <w:rsid w:val="00773909"/>
    <w:rsid w:val="0077411B"/>
    <w:rsid w:val="0077433B"/>
    <w:rsid w:val="00774E1E"/>
    <w:rsid w:val="0078118A"/>
    <w:rsid w:val="007813D0"/>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2AAD"/>
    <w:rsid w:val="007A4432"/>
    <w:rsid w:val="007A59E9"/>
    <w:rsid w:val="007A784E"/>
    <w:rsid w:val="007A7E31"/>
    <w:rsid w:val="007B02A0"/>
    <w:rsid w:val="007B278C"/>
    <w:rsid w:val="007B2DAD"/>
    <w:rsid w:val="007B3774"/>
    <w:rsid w:val="007B459E"/>
    <w:rsid w:val="007B4939"/>
    <w:rsid w:val="007B499C"/>
    <w:rsid w:val="007B4D4B"/>
    <w:rsid w:val="007B58C6"/>
    <w:rsid w:val="007B5EE2"/>
    <w:rsid w:val="007B76D8"/>
    <w:rsid w:val="007B7708"/>
    <w:rsid w:val="007C0646"/>
    <w:rsid w:val="007C1E5E"/>
    <w:rsid w:val="007C1E9D"/>
    <w:rsid w:val="007C3AE3"/>
    <w:rsid w:val="007C459E"/>
    <w:rsid w:val="007C6C51"/>
    <w:rsid w:val="007D0000"/>
    <w:rsid w:val="007D2A02"/>
    <w:rsid w:val="007D5EA2"/>
    <w:rsid w:val="007D6144"/>
    <w:rsid w:val="007D62A4"/>
    <w:rsid w:val="007D6CE5"/>
    <w:rsid w:val="007D77BC"/>
    <w:rsid w:val="007E0917"/>
    <w:rsid w:val="007E1736"/>
    <w:rsid w:val="007E25DD"/>
    <w:rsid w:val="007E2887"/>
    <w:rsid w:val="007E3318"/>
    <w:rsid w:val="007E6EA1"/>
    <w:rsid w:val="007F0F63"/>
    <w:rsid w:val="007F2B1E"/>
    <w:rsid w:val="007F420A"/>
    <w:rsid w:val="007F4590"/>
    <w:rsid w:val="007F62B4"/>
    <w:rsid w:val="007F7DF9"/>
    <w:rsid w:val="00800FD6"/>
    <w:rsid w:val="00801517"/>
    <w:rsid w:val="00804053"/>
    <w:rsid w:val="00804966"/>
    <w:rsid w:val="0080510A"/>
    <w:rsid w:val="0080596A"/>
    <w:rsid w:val="00805CBF"/>
    <w:rsid w:val="008079E2"/>
    <w:rsid w:val="00810AC4"/>
    <w:rsid w:val="0081218E"/>
    <w:rsid w:val="0081228B"/>
    <w:rsid w:val="00813492"/>
    <w:rsid w:val="00813643"/>
    <w:rsid w:val="00813A7E"/>
    <w:rsid w:val="00814DE2"/>
    <w:rsid w:val="008177EE"/>
    <w:rsid w:val="00817895"/>
    <w:rsid w:val="00817AE8"/>
    <w:rsid w:val="00817DE8"/>
    <w:rsid w:val="008229F5"/>
    <w:rsid w:val="008259DE"/>
    <w:rsid w:val="0082699A"/>
    <w:rsid w:val="00827D15"/>
    <w:rsid w:val="00827F2A"/>
    <w:rsid w:val="00832633"/>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42A3"/>
    <w:rsid w:val="00855FD0"/>
    <w:rsid w:val="00857408"/>
    <w:rsid w:val="008578A9"/>
    <w:rsid w:val="0086072A"/>
    <w:rsid w:val="0086088F"/>
    <w:rsid w:val="008614F1"/>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538C"/>
    <w:rsid w:val="00875CB0"/>
    <w:rsid w:val="008770CC"/>
    <w:rsid w:val="00877800"/>
    <w:rsid w:val="00877C32"/>
    <w:rsid w:val="0088094B"/>
    <w:rsid w:val="00880E08"/>
    <w:rsid w:val="00880E72"/>
    <w:rsid w:val="0088176E"/>
    <w:rsid w:val="008825EE"/>
    <w:rsid w:val="00882DE4"/>
    <w:rsid w:val="0088313E"/>
    <w:rsid w:val="0088596E"/>
    <w:rsid w:val="00885D26"/>
    <w:rsid w:val="00886C54"/>
    <w:rsid w:val="00886F34"/>
    <w:rsid w:val="008870ED"/>
    <w:rsid w:val="008877FC"/>
    <w:rsid w:val="00887E5A"/>
    <w:rsid w:val="00891D8A"/>
    <w:rsid w:val="0089796A"/>
    <w:rsid w:val="0089799B"/>
    <w:rsid w:val="008A2375"/>
    <w:rsid w:val="008A3AC0"/>
    <w:rsid w:val="008A54B6"/>
    <w:rsid w:val="008A56FE"/>
    <w:rsid w:val="008A6622"/>
    <w:rsid w:val="008A7DEB"/>
    <w:rsid w:val="008B1B65"/>
    <w:rsid w:val="008B3557"/>
    <w:rsid w:val="008B39E0"/>
    <w:rsid w:val="008B4302"/>
    <w:rsid w:val="008B605A"/>
    <w:rsid w:val="008C093B"/>
    <w:rsid w:val="008C0E76"/>
    <w:rsid w:val="008C2665"/>
    <w:rsid w:val="008C5CD8"/>
    <w:rsid w:val="008C6041"/>
    <w:rsid w:val="008C68D0"/>
    <w:rsid w:val="008C74E3"/>
    <w:rsid w:val="008D0936"/>
    <w:rsid w:val="008D403B"/>
    <w:rsid w:val="008D4707"/>
    <w:rsid w:val="008D76C5"/>
    <w:rsid w:val="008E0A04"/>
    <w:rsid w:val="008E0AFA"/>
    <w:rsid w:val="008E131A"/>
    <w:rsid w:val="008E26B4"/>
    <w:rsid w:val="008E2799"/>
    <w:rsid w:val="008E411B"/>
    <w:rsid w:val="008E4F56"/>
    <w:rsid w:val="008E75D3"/>
    <w:rsid w:val="008E7E48"/>
    <w:rsid w:val="008F02E9"/>
    <w:rsid w:val="008F0CE4"/>
    <w:rsid w:val="008F125E"/>
    <w:rsid w:val="008F1CC5"/>
    <w:rsid w:val="008F2B54"/>
    <w:rsid w:val="008F2CC5"/>
    <w:rsid w:val="008F2F3B"/>
    <w:rsid w:val="008F4C1E"/>
    <w:rsid w:val="008F4D2F"/>
    <w:rsid w:val="008F510A"/>
    <w:rsid w:val="008F55A2"/>
    <w:rsid w:val="00900235"/>
    <w:rsid w:val="00900760"/>
    <w:rsid w:val="00900D3C"/>
    <w:rsid w:val="00906292"/>
    <w:rsid w:val="0090713D"/>
    <w:rsid w:val="0091420B"/>
    <w:rsid w:val="00914B5B"/>
    <w:rsid w:val="00917162"/>
    <w:rsid w:val="009172B9"/>
    <w:rsid w:val="009178AA"/>
    <w:rsid w:val="00923001"/>
    <w:rsid w:val="0092358D"/>
    <w:rsid w:val="009238BF"/>
    <w:rsid w:val="009251CC"/>
    <w:rsid w:val="0092714E"/>
    <w:rsid w:val="00927661"/>
    <w:rsid w:val="00931E24"/>
    <w:rsid w:val="009324F0"/>
    <w:rsid w:val="00932AF8"/>
    <w:rsid w:val="0093478F"/>
    <w:rsid w:val="00936826"/>
    <w:rsid w:val="00940B3D"/>
    <w:rsid w:val="00942002"/>
    <w:rsid w:val="00942359"/>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577B8"/>
    <w:rsid w:val="00960539"/>
    <w:rsid w:val="009605B1"/>
    <w:rsid w:val="00960CBC"/>
    <w:rsid w:val="009621EE"/>
    <w:rsid w:val="00963A06"/>
    <w:rsid w:val="00964B2B"/>
    <w:rsid w:val="00965192"/>
    <w:rsid w:val="00967DD4"/>
    <w:rsid w:val="009700B1"/>
    <w:rsid w:val="00970ECF"/>
    <w:rsid w:val="00971261"/>
    <w:rsid w:val="00971FD4"/>
    <w:rsid w:val="009722CB"/>
    <w:rsid w:val="009739A0"/>
    <w:rsid w:val="00974EE4"/>
    <w:rsid w:val="00974F84"/>
    <w:rsid w:val="00975D5B"/>
    <w:rsid w:val="00976216"/>
    <w:rsid w:val="009767C7"/>
    <w:rsid w:val="00977D30"/>
    <w:rsid w:val="009809DA"/>
    <w:rsid w:val="00980E69"/>
    <w:rsid w:val="0098334C"/>
    <w:rsid w:val="009839AE"/>
    <w:rsid w:val="00984175"/>
    <w:rsid w:val="00984643"/>
    <w:rsid w:val="0098576C"/>
    <w:rsid w:val="0098579A"/>
    <w:rsid w:val="00986397"/>
    <w:rsid w:val="00991475"/>
    <w:rsid w:val="009918DD"/>
    <w:rsid w:val="0099195A"/>
    <w:rsid w:val="00991BD2"/>
    <w:rsid w:val="00992407"/>
    <w:rsid w:val="00992A11"/>
    <w:rsid w:val="00994681"/>
    <w:rsid w:val="0099486A"/>
    <w:rsid w:val="009968D8"/>
    <w:rsid w:val="009A0B33"/>
    <w:rsid w:val="009A0E26"/>
    <w:rsid w:val="009A16EC"/>
    <w:rsid w:val="009A22C2"/>
    <w:rsid w:val="009A3722"/>
    <w:rsid w:val="009A547B"/>
    <w:rsid w:val="009A743E"/>
    <w:rsid w:val="009A7CF6"/>
    <w:rsid w:val="009B1B55"/>
    <w:rsid w:val="009B29B7"/>
    <w:rsid w:val="009B3199"/>
    <w:rsid w:val="009B32AC"/>
    <w:rsid w:val="009B3B37"/>
    <w:rsid w:val="009B63F4"/>
    <w:rsid w:val="009B6C6F"/>
    <w:rsid w:val="009B7D1F"/>
    <w:rsid w:val="009C088E"/>
    <w:rsid w:val="009C17DC"/>
    <w:rsid w:val="009C37AB"/>
    <w:rsid w:val="009C4C7A"/>
    <w:rsid w:val="009C4D35"/>
    <w:rsid w:val="009C5E51"/>
    <w:rsid w:val="009C7B68"/>
    <w:rsid w:val="009D0FB3"/>
    <w:rsid w:val="009D1522"/>
    <w:rsid w:val="009D3919"/>
    <w:rsid w:val="009D3E2E"/>
    <w:rsid w:val="009D51F0"/>
    <w:rsid w:val="009D51F7"/>
    <w:rsid w:val="009D7252"/>
    <w:rsid w:val="009E1FF6"/>
    <w:rsid w:val="009E3CAF"/>
    <w:rsid w:val="009E3F48"/>
    <w:rsid w:val="009E53A5"/>
    <w:rsid w:val="009E5B95"/>
    <w:rsid w:val="009E5CCE"/>
    <w:rsid w:val="009E5EB4"/>
    <w:rsid w:val="009F563C"/>
    <w:rsid w:val="009F610E"/>
    <w:rsid w:val="00A00DA9"/>
    <w:rsid w:val="00A00E4B"/>
    <w:rsid w:val="00A00F7E"/>
    <w:rsid w:val="00A044D6"/>
    <w:rsid w:val="00A04ADB"/>
    <w:rsid w:val="00A04F89"/>
    <w:rsid w:val="00A05F11"/>
    <w:rsid w:val="00A115A6"/>
    <w:rsid w:val="00A11E0F"/>
    <w:rsid w:val="00A12378"/>
    <w:rsid w:val="00A13401"/>
    <w:rsid w:val="00A141E9"/>
    <w:rsid w:val="00A15D78"/>
    <w:rsid w:val="00A15EBE"/>
    <w:rsid w:val="00A17F5B"/>
    <w:rsid w:val="00A20196"/>
    <w:rsid w:val="00A216E5"/>
    <w:rsid w:val="00A24752"/>
    <w:rsid w:val="00A24BA8"/>
    <w:rsid w:val="00A26744"/>
    <w:rsid w:val="00A26CB6"/>
    <w:rsid w:val="00A30A00"/>
    <w:rsid w:val="00A32F82"/>
    <w:rsid w:val="00A32F8B"/>
    <w:rsid w:val="00A3431E"/>
    <w:rsid w:val="00A34F9F"/>
    <w:rsid w:val="00A36481"/>
    <w:rsid w:val="00A36675"/>
    <w:rsid w:val="00A3756F"/>
    <w:rsid w:val="00A41CC3"/>
    <w:rsid w:val="00A41DBE"/>
    <w:rsid w:val="00A42D6F"/>
    <w:rsid w:val="00A43870"/>
    <w:rsid w:val="00A44642"/>
    <w:rsid w:val="00A4474B"/>
    <w:rsid w:val="00A45717"/>
    <w:rsid w:val="00A45A62"/>
    <w:rsid w:val="00A462DC"/>
    <w:rsid w:val="00A4657C"/>
    <w:rsid w:val="00A46C7E"/>
    <w:rsid w:val="00A51CE8"/>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5278"/>
    <w:rsid w:val="00A66DB1"/>
    <w:rsid w:val="00A67A92"/>
    <w:rsid w:val="00A70DC6"/>
    <w:rsid w:val="00A74FDC"/>
    <w:rsid w:val="00A77192"/>
    <w:rsid w:val="00A8089F"/>
    <w:rsid w:val="00A842D5"/>
    <w:rsid w:val="00A87870"/>
    <w:rsid w:val="00A87F87"/>
    <w:rsid w:val="00A903F3"/>
    <w:rsid w:val="00A90F18"/>
    <w:rsid w:val="00A90FFB"/>
    <w:rsid w:val="00A9149D"/>
    <w:rsid w:val="00A91A70"/>
    <w:rsid w:val="00A92659"/>
    <w:rsid w:val="00A9302F"/>
    <w:rsid w:val="00A940AF"/>
    <w:rsid w:val="00A957F6"/>
    <w:rsid w:val="00A959CF"/>
    <w:rsid w:val="00A97316"/>
    <w:rsid w:val="00A974AA"/>
    <w:rsid w:val="00AA010B"/>
    <w:rsid w:val="00AA0D54"/>
    <w:rsid w:val="00AA1B85"/>
    <w:rsid w:val="00AA24E8"/>
    <w:rsid w:val="00AA3290"/>
    <w:rsid w:val="00AA46F0"/>
    <w:rsid w:val="00AA4CA2"/>
    <w:rsid w:val="00AA6481"/>
    <w:rsid w:val="00AA71DC"/>
    <w:rsid w:val="00AA7270"/>
    <w:rsid w:val="00AB0C08"/>
    <w:rsid w:val="00AB12AC"/>
    <w:rsid w:val="00AB1CB6"/>
    <w:rsid w:val="00AB1D9A"/>
    <w:rsid w:val="00AB4A1F"/>
    <w:rsid w:val="00AB5C61"/>
    <w:rsid w:val="00AC3540"/>
    <w:rsid w:val="00AC3D15"/>
    <w:rsid w:val="00AC5055"/>
    <w:rsid w:val="00AD0C22"/>
    <w:rsid w:val="00AD1AD7"/>
    <w:rsid w:val="00AD1AE2"/>
    <w:rsid w:val="00AD3290"/>
    <w:rsid w:val="00AD442C"/>
    <w:rsid w:val="00AD44FE"/>
    <w:rsid w:val="00AD5A37"/>
    <w:rsid w:val="00AD73BF"/>
    <w:rsid w:val="00AE05A4"/>
    <w:rsid w:val="00AE07A0"/>
    <w:rsid w:val="00AE177E"/>
    <w:rsid w:val="00AE244E"/>
    <w:rsid w:val="00AE25FC"/>
    <w:rsid w:val="00AE400C"/>
    <w:rsid w:val="00AE49F1"/>
    <w:rsid w:val="00AE4A1C"/>
    <w:rsid w:val="00AE4B7A"/>
    <w:rsid w:val="00AE5532"/>
    <w:rsid w:val="00AE74D8"/>
    <w:rsid w:val="00AF0B6F"/>
    <w:rsid w:val="00AF1D69"/>
    <w:rsid w:val="00AF30D0"/>
    <w:rsid w:val="00AF3FEC"/>
    <w:rsid w:val="00AF41FA"/>
    <w:rsid w:val="00AF581E"/>
    <w:rsid w:val="00AF71EB"/>
    <w:rsid w:val="00B00988"/>
    <w:rsid w:val="00B01405"/>
    <w:rsid w:val="00B04955"/>
    <w:rsid w:val="00B052E8"/>
    <w:rsid w:val="00B05CCA"/>
    <w:rsid w:val="00B100C9"/>
    <w:rsid w:val="00B10E8A"/>
    <w:rsid w:val="00B11099"/>
    <w:rsid w:val="00B1118A"/>
    <w:rsid w:val="00B14271"/>
    <w:rsid w:val="00B16270"/>
    <w:rsid w:val="00B22578"/>
    <w:rsid w:val="00B23C16"/>
    <w:rsid w:val="00B23C52"/>
    <w:rsid w:val="00B241F2"/>
    <w:rsid w:val="00B247C7"/>
    <w:rsid w:val="00B259E1"/>
    <w:rsid w:val="00B2685D"/>
    <w:rsid w:val="00B26D1E"/>
    <w:rsid w:val="00B30351"/>
    <w:rsid w:val="00B32601"/>
    <w:rsid w:val="00B3270B"/>
    <w:rsid w:val="00B33837"/>
    <w:rsid w:val="00B33C2A"/>
    <w:rsid w:val="00B33C35"/>
    <w:rsid w:val="00B34A14"/>
    <w:rsid w:val="00B35967"/>
    <w:rsid w:val="00B363D9"/>
    <w:rsid w:val="00B422EC"/>
    <w:rsid w:val="00B44875"/>
    <w:rsid w:val="00B44C07"/>
    <w:rsid w:val="00B46320"/>
    <w:rsid w:val="00B4657A"/>
    <w:rsid w:val="00B471F4"/>
    <w:rsid w:val="00B47F0A"/>
    <w:rsid w:val="00B50B6B"/>
    <w:rsid w:val="00B54329"/>
    <w:rsid w:val="00B54885"/>
    <w:rsid w:val="00B54BFF"/>
    <w:rsid w:val="00B554C9"/>
    <w:rsid w:val="00B5592E"/>
    <w:rsid w:val="00B56AD9"/>
    <w:rsid w:val="00B56EE3"/>
    <w:rsid w:val="00B57158"/>
    <w:rsid w:val="00B5778D"/>
    <w:rsid w:val="00B614C0"/>
    <w:rsid w:val="00B62B2A"/>
    <w:rsid w:val="00B634AB"/>
    <w:rsid w:val="00B63533"/>
    <w:rsid w:val="00B63624"/>
    <w:rsid w:val="00B6678B"/>
    <w:rsid w:val="00B7037B"/>
    <w:rsid w:val="00B71031"/>
    <w:rsid w:val="00B71798"/>
    <w:rsid w:val="00B719F6"/>
    <w:rsid w:val="00B726D4"/>
    <w:rsid w:val="00B72969"/>
    <w:rsid w:val="00B758FD"/>
    <w:rsid w:val="00B76807"/>
    <w:rsid w:val="00B77D24"/>
    <w:rsid w:val="00B81A6C"/>
    <w:rsid w:val="00B8214F"/>
    <w:rsid w:val="00B82B43"/>
    <w:rsid w:val="00B82B48"/>
    <w:rsid w:val="00B85133"/>
    <w:rsid w:val="00B8643A"/>
    <w:rsid w:val="00B86A4F"/>
    <w:rsid w:val="00B93035"/>
    <w:rsid w:val="00B940EB"/>
    <w:rsid w:val="00B9431C"/>
    <w:rsid w:val="00B95798"/>
    <w:rsid w:val="00B958E8"/>
    <w:rsid w:val="00B97637"/>
    <w:rsid w:val="00B97E4A"/>
    <w:rsid w:val="00BA09B2"/>
    <w:rsid w:val="00BA0F35"/>
    <w:rsid w:val="00BA465D"/>
    <w:rsid w:val="00BA52C0"/>
    <w:rsid w:val="00BA5B46"/>
    <w:rsid w:val="00BA63D4"/>
    <w:rsid w:val="00BB2D73"/>
    <w:rsid w:val="00BB400D"/>
    <w:rsid w:val="00BB45BA"/>
    <w:rsid w:val="00BB48B2"/>
    <w:rsid w:val="00BB4A3A"/>
    <w:rsid w:val="00BB4D6A"/>
    <w:rsid w:val="00BB5D0B"/>
    <w:rsid w:val="00BB629C"/>
    <w:rsid w:val="00BC0995"/>
    <w:rsid w:val="00BC13C1"/>
    <w:rsid w:val="00BC1761"/>
    <w:rsid w:val="00BC19ED"/>
    <w:rsid w:val="00BC26B9"/>
    <w:rsid w:val="00BC36D4"/>
    <w:rsid w:val="00BC513A"/>
    <w:rsid w:val="00BC6C56"/>
    <w:rsid w:val="00BC6DE2"/>
    <w:rsid w:val="00BC6E62"/>
    <w:rsid w:val="00BD013A"/>
    <w:rsid w:val="00BD2510"/>
    <w:rsid w:val="00BD3A53"/>
    <w:rsid w:val="00BD5A19"/>
    <w:rsid w:val="00BD656A"/>
    <w:rsid w:val="00BD6D1B"/>
    <w:rsid w:val="00BE13AB"/>
    <w:rsid w:val="00BE2403"/>
    <w:rsid w:val="00BE2D0A"/>
    <w:rsid w:val="00BE2EF0"/>
    <w:rsid w:val="00BE47D4"/>
    <w:rsid w:val="00BE793A"/>
    <w:rsid w:val="00BE7A0B"/>
    <w:rsid w:val="00BF114D"/>
    <w:rsid w:val="00BF2B82"/>
    <w:rsid w:val="00BF2CEB"/>
    <w:rsid w:val="00BF432A"/>
    <w:rsid w:val="00BF5D70"/>
    <w:rsid w:val="00BF64A6"/>
    <w:rsid w:val="00BF6796"/>
    <w:rsid w:val="00BF6E82"/>
    <w:rsid w:val="00C060C7"/>
    <w:rsid w:val="00C06DCC"/>
    <w:rsid w:val="00C07F92"/>
    <w:rsid w:val="00C10EA4"/>
    <w:rsid w:val="00C11D25"/>
    <w:rsid w:val="00C13217"/>
    <w:rsid w:val="00C13E55"/>
    <w:rsid w:val="00C15BEC"/>
    <w:rsid w:val="00C15DB5"/>
    <w:rsid w:val="00C16AF0"/>
    <w:rsid w:val="00C208E2"/>
    <w:rsid w:val="00C20D11"/>
    <w:rsid w:val="00C20D6E"/>
    <w:rsid w:val="00C21897"/>
    <w:rsid w:val="00C22054"/>
    <w:rsid w:val="00C2288E"/>
    <w:rsid w:val="00C22B54"/>
    <w:rsid w:val="00C24279"/>
    <w:rsid w:val="00C24C17"/>
    <w:rsid w:val="00C31595"/>
    <w:rsid w:val="00C31B25"/>
    <w:rsid w:val="00C3309D"/>
    <w:rsid w:val="00C3411D"/>
    <w:rsid w:val="00C34357"/>
    <w:rsid w:val="00C34829"/>
    <w:rsid w:val="00C363B8"/>
    <w:rsid w:val="00C3758F"/>
    <w:rsid w:val="00C40B88"/>
    <w:rsid w:val="00C44489"/>
    <w:rsid w:val="00C44FC2"/>
    <w:rsid w:val="00C452D4"/>
    <w:rsid w:val="00C47D87"/>
    <w:rsid w:val="00C47FCD"/>
    <w:rsid w:val="00C50FA6"/>
    <w:rsid w:val="00C5376E"/>
    <w:rsid w:val="00C554C1"/>
    <w:rsid w:val="00C55AEE"/>
    <w:rsid w:val="00C5701B"/>
    <w:rsid w:val="00C5735F"/>
    <w:rsid w:val="00C6069A"/>
    <w:rsid w:val="00C61BDC"/>
    <w:rsid w:val="00C64D40"/>
    <w:rsid w:val="00C65957"/>
    <w:rsid w:val="00C66218"/>
    <w:rsid w:val="00C677C9"/>
    <w:rsid w:val="00C70DBC"/>
    <w:rsid w:val="00C71E80"/>
    <w:rsid w:val="00C7750A"/>
    <w:rsid w:val="00C80467"/>
    <w:rsid w:val="00C808A6"/>
    <w:rsid w:val="00C82B81"/>
    <w:rsid w:val="00C84AC6"/>
    <w:rsid w:val="00C855DB"/>
    <w:rsid w:val="00C855F3"/>
    <w:rsid w:val="00C86270"/>
    <w:rsid w:val="00C86C49"/>
    <w:rsid w:val="00C90C20"/>
    <w:rsid w:val="00C948CF"/>
    <w:rsid w:val="00C94F6F"/>
    <w:rsid w:val="00C95798"/>
    <w:rsid w:val="00C95A74"/>
    <w:rsid w:val="00C97091"/>
    <w:rsid w:val="00C97260"/>
    <w:rsid w:val="00C97391"/>
    <w:rsid w:val="00CA14A5"/>
    <w:rsid w:val="00CA1A7C"/>
    <w:rsid w:val="00CA1AB8"/>
    <w:rsid w:val="00CA2001"/>
    <w:rsid w:val="00CA2B10"/>
    <w:rsid w:val="00CA3F11"/>
    <w:rsid w:val="00CA5256"/>
    <w:rsid w:val="00CA5564"/>
    <w:rsid w:val="00CB078E"/>
    <w:rsid w:val="00CB3782"/>
    <w:rsid w:val="00CB4D20"/>
    <w:rsid w:val="00CB5B6C"/>
    <w:rsid w:val="00CB74E3"/>
    <w:rsid w:val="00CC00ED"/>
    <w:rsid w:val="00CC052E"/>
    <w:rsid w:val="00CC06E5"/>
    <w:rsid w:val="00CC0B14"/>
    <w:rsid w:val="00CC5B9C"/>
    <w:rsid w:val="00CD02DF"/>
    <w:rsid w:val="00CD10A5"/>
    <w:rsid w:val="00CD16BE"/>
    <w:rsid w:val="00CD179F"/>
    <w:rsid w:val="00CD1F32"/>
    <w:rsid w:val="00CD2268"/>
    <w:rsid w:val="00CD24AC"/>
    <w:rsid w:val="00CD4616"/>
    <w:rsid w:val="00CD56AF"/>
    <w:rsid w:val="00CD5AF4"/>
    <w:rsid w:val="00CD5FFA"/>
    <w:rsid w:val="00CD608B"/>
    <w:rsid w:val="00CD61BB"/>
    <w:rsid w:val="00CE33D5"/>
    <w:rsid w:val="00CE3D74"/>
    <w:rsid w:val="00CE4712"/>
    <w:rsid w:val="00CE6073"/>
    <w:rsid w:val="00CE761C"/>
    <w:rsid w:val="00CF4118"/>
    <w:rsid w:val="00CF5D37"/>
    <w:rsid w:val="00CF6353"/>
    <w:rsid w:val="00CF6F33"/>
    <w:rsid w:val="00CF7C7B"/>
    <w:rsid w:val="00D0176E"/>
    <w:rsid w:val="00D02248"/>
    <w:rsid w:val="00D04429"/>
    <w:rsid w:val="00D04B47"/>
    <w:rsid w:val="00D04E37"/>
    <w:rsid w:val="00D063B8"/>
    <w:rsid w:val="00D06825"/>
    <w:rsid w:val="00D07467"/>
    <w:rsid w:val="00D076E6"/>
    <w:rsid w:val="00D10594"/>
    <w:rsid w:val="00D148D9"/>
    <w:rsid w:val="00D15CDD"/>
    <w:rsid w:val="00D17185"/>
    <w:rsid w:val="00D17E3B"/>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5790"/>
    <w:rsid w:val="00D41971"/>
    <w:rsid w:val="00D442D5"/>
    <w:rsid w:val="00D45043"/>
    <w:rsid w:val="00D4757A"/>
    <w:rsid w:val="00D51576"/>
    <w:rsid w:val="00D519AF"/>
    <w:rsid w:val="00D532A9"/>
    <w:rsid w:val="00D5437A"/>
    <w:rsid w:val="00D5611E"/>
    <w:rsid w:val="00D5653B"/>
    <w:rsid w:val="00D56C30"/>
    <w:rsid w:val="00D56DF7"/>
    <w:rsid w:val="00D5726D"/>
    <w:rsid w:val="00D572AC"/>
    <w:rsid w:val="00D6071F"/>
    <w:rsid w:val="00D60AA4"/>
    <w:rsid w:val="00D61D6E"/>
    <w:rsid w:val="00D62A31"/>
    <w:rsid w:val="00D62EF1"/>
    <w:rsid w:val="00D6309D"/>
    <w:rsid w:val="00D634F9"/>
    <w:rsid w:val="00D6389F"/>
    <w:rsid w:val="00D644CA"/>
    <w:rsid w:val="00D64EA0"/>
    <w:rsid w:val="00D66FC2"/>
    <w:rsid w:val="00D7044E"/>
    <w:rsid w:val="00D704A8"/>
    <w:rsid w:val="00D70930"/>
    <w:rsid w:val="00D70CA5"/>
    <w:rsid w:val="00D7308C"/>
    <w:rsid w:val="00D758F4"/>
    <w:rsid w:val="00D76C7E"/>
    <w:rsid w:val="00D771DE"/>
    <w:rsid w:val="00D7776D"/>
    <w:rsid w:val="00D80C6C"/>
    <w:rsid w:val="00D81AEF"/>
    <w:rsid w:val="00D82A42"/>
    <w:rsid w:val="00D834F1"/>
    <w:rsid w:val="00D83609"/>
    <w:rsid w:val="00D83AA6"/>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A5B"/>
    <w:rsid w:val="00DA1E18"/>
    <w:rsid w:val="00DA2009"/>
    <w:rsid w:val="00DA296C"/>
    <w:rsid w:val="00DA585A"/>
    <w:rsid w:val="00DA7741"/>
    <w:rsid w:val="00DA7769"/>
    <w:rsid w:val="00DB05B1"/>
    <w:rsid w:val="00DB2823"/>
    <w:rsid w:val="00DB2D74"/>
    <w:rsid w:val="00DB3786"/>
    <w:rsid w:val="00DB3910"/>
    <w:rsid w:val="00DB59E8"/>
    <w:rsid w:val="00DB5A79"/>
    <w:rsid w:val="00DC2465"/>
    <w:rsid w:val="00DC4BCA"/>
    <w:rsid w:val="00DC5CA4"/>
    <w:rsid w:val="00DC5CDA"/>
    <w:rsid w:val="00DC5E2C"/>
    <w:rsid w:val="00DC6B80"/>
    <w:rsid w:val="00DC7497"/>
    <w:rsid w:val="00DC7D48"/>
    <w:rsid w:val="00DD0253"/>
    <w:rsid w:val="00DD145A"/>
    <w:rsid w:val="00DD512E"/>
    <w:rsid w:val="00DD5EC8"/>
    <w:rsid w:val="00DD7B34"/>
    <w:rsid w:val="00DD7BEC"/>
    <w:rsid w:val="00DE06C9"/>
    <w:rsid w:val="00DE083E"/>
    <w:rsid w:val="00DE0C22"/>
    <w:rsid w:val="00DE1177"/>
    <w:rsid w:val="00DE2CEA"/>
    <w:rsid w:val="00DE3CFE"/>
    <w:rsid w:val="00DE567C"/>
    <w:rsid w:val="00DE6154"/>
    <w:rsid w:val="00DE634D"/>
    <w:rsid w:val="00DE6A3C"/>
    <w:rsid w:val="00DE6C0E"/>
    <w:rsid w:val="00DE74F4"/>
    <w:rsid w:val="00DE7C8B"/>
    <w:rsid w:val="00DE7F97"/>
    <w:rsid w:val="00DF0AAF"/>
    <w:rsid w:val="00DF1010"/>
    <w:rsid w:val="00DF2244"/>
    <w:rsid w:val="00DF334D"/>
    <w:rsid w:val="00DF53D9"/>
    <w:rsid w:val="00DF5AEA"/>
    <w:rsid w:val="00DF5D49"/>
    <w:rsid w:val="00DF63F6"/>
    <w:rsid w:val="00DF7992"/>
    <w:rsid w:val="00DF7B43"/>
    <w:rsid w:val="00DF7BD0"/>
    <w:rsid w:val="00E003E6"/>
    <w:rsid w:val="00E00C8E"/>
    <w:rsid w:val="00E0219D"/>
    <w:rsid w:val="00E0276A"/>
    <w:rsid w:val="00E0374B"/>
    <w:rsid w:val="00E0632F"/>
    <w:rsid w:val="00E06C36"/>
    <w:rsid w:val="00E071A9"/>
    <w:rsid w:val="00E07D26"/>
    <w:rsid w:val="00E10B28"/>
    <w:rsid w:val="00E10F79"/>
    <w:rsid w:val="00E117FD"/>
    <w:rsid w:val="00E13747"/>
    <w:rsid w:val="00E14758"/>
    <w:rsid w:val="00E21088"/>
    <w:rsid w:val="00E23C5E"/>
    <w:rsid w:val="00E23E29"/>
    <w:rsid w:val="00E24632"/>
    <w:rsid w:val="00E25155"/>
    <w:rsid w:val="00E25AEA"/>
    <w:rsid w:val="00E27C2C"/>
    <w:rsid w:val="00E30D26"/>
    <w:rsid w:val="00E30DEF"/>
    <w:rsid w:val="00E30ED2"/>
    <w:rsid w:val="00E31276"/>
    <w:rsid w:val="00E3155D"/>
    <w:rsid w:val="00E31E3B"/>
    <w:rsid w:val="00E32102"/>
    <w:rsid w:val="00E34666"/>
    <w:rsid w:val="00E36A66"/>
    <w:rsid w:val="00E37F70"/>
    <w:rsid w:val="00E41377"/>
    <w:rsid w:val="00E41985"/>
    <w:rsid w:val="00E42B89"/>
    <w:rsid w:val="00E4403D"/>
    <w:rsid w:val="00E446C1"/>
    <w:rsid w:val="00E46BCD"/>
    <w:rsid w:val="00E51CCC"/>
    <w:rsid w:val="00E52079"/>
    <w:rsid w:val="00E545D7"/>
    <w:rsid w:val="00E547FE"/>
    <w:rsid w:val="00E54960"/>
    <w:rsid w:val="00E55927"/>
    <w:rsid w:val="00E561E6"/>
    <w:rsid w:val="00E5669C"/>
    <w:rsid w:val="00E56A58"/>
    <w:rsid w:val="00E60ECA"/>
    <w:rsid w:val="00E613AB"/>
    <w:rsid w:val="00E61A7F"/>
    <w:rsid w:val="00E637B6"/>
    <w:rsid w:val="00E6460A"/>
    <w:rsid w:val="00E663B6"/>
    <w:rsid w:val="00E66BBE"/>
    <w:rsid w:val="00E670B5"/>
    <w:rsid w:val="00E6780D"/>
    <w:rsid w:val="00E67B4F"/>
    <w:rsid w:val="00E716A7"/>
    <w:rsid w:val="00E71DFE"/>
    <w:rsid w:val="00E73083"/>
    <w:rsid w:val="00E756E4"/>
    <w:rsid w:val="00E758B9"/>
    <w:rsid w:val="00E76025"/>
    <w:rsid w:val="00E76B45"/>
    <w:rsid w:val="00E806A5"/>
    <w:rsid w:val="00E81BC1"/>
    <w:rsid w:val="00E82FE5"/>
    <w:rsid w:val="00E83724"/>
    <w:rsid w:val="00E84236"/>
    <w:rsid w:val="00E843A4"/>
    <w:rsid w:val="00E8470B"/>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539B"/>
    <w:rsid w:val="00EA5A89"/>
    <w:rsid w:val="00EA5BDB"/>
    <w:rsid w:val="00EA63FA"/>
    <w:rsid w:val="00EA7DEB"/>
    <w:rsid w:val="00EB056C"/>
    <w:rsid w:val="00EB0A73"/>
    <w:rsid w:val="00EB0A9C"/>
    <w:rsid w:val="00EB0B55"/>
    <w:rsid w:val="00EB3A98"/>
    <w:rsid w:val="00EB46D9"/>
    <w:rsid w:val="00EB4909"/>
    <w:rsid w:val="00EB6349"/>
    <w:rsid w:val="00EB6EF6"/>
    <w:rsid w:val="00EC0199"/>
    <w:rsid w:val="00EC0E64"/>
    <w:rsid w:val="00EC11AB"/>
    <w:rsid w:val="00EC142D"/>
    <w:rsid w:val="00EC1E16"/>
    <w:rsid w:val="00EC2DD1"/>
    <w:rsid w:val="00EC4BA5"/>
    <w:rsid w:val="00EC52DA"/>
    <w:rsid w:val="00EC6F28"/>
    <w:rsid w:val="00ED0024"/>
    <w:rsid w:val="00ED0EA0"/>
    <w:rsid w:val="00ED0F85"/>
    <w:rsid w:val="00ED2B5C"/>
    <w:rsid w:val="00ED3269"/>
    <w:rsid w:val="00ED3A18"/>
    <w:rsid w:val="00ED3AB7"/>
    <w:rsid w:val="00ED3C57"/>
    <w:rsid w:val="00ED50D6"/>
    <w:rsid w:val="00EE1A8C"/>
    <w:rsid w:val="00EE1C03"/>
    <w:rsid w:val="00EE3FED"/>
    <w:rsid w:val="00EE4643"/>
    <w:rsid w:val="00EE529F"/>
    <w:rsid w:val="00EE65B6"/>
    <w:rsid w:val="00EE7C86"/>
    <w:rsid w:val="00EF1330"/>
    <w:rsid w:val="00EF15FF"/>
    <w:rsid w:val="00EF31D8"/>
    <w:rsid w:val="00EF55E6"/>
    <w:rsid w:val="00EF5707"/>
    <w:rsid w:val="00EF6F1F"/>
    <w:rsid w:val="00EF70EC"/>
    <w:rsid w:val="00EF7111"/>
    <w:rsid w:val="00EF7D1A"/>
    <w:rsid w:val="00F02759"/>
    <w:rsid w:val="00F03B49"/>
    <w:rsid w:val="00F0448F"/>
    <w:rsid w:val="00F04E9B"/>
    <w:rsid w:val="00F0716C"/>
    <w:rsid w:val="00F105AE"/>
    <w:rsid w:val="00F108A8"/>
    <w:rsid w:val="00F13319"/>
    <w:rsid w:val="00F14353"/>
    <w:rsid w:val="00F1628B"/>
    <w:rsid w:val="00F16EBE"/>
    <w:rsid w:val="00F22CAC"/>
    <w:rsid w:val="00F22E81"/>
    <w:rsid w:val="00F270E9"/>
    <w:rsid w:val="00F273EF"/>
    <w:rsid w:val="00F27440"/>
    <w:rsid w:val="00F275C0"/>
    <w:rsid w:val="00F317B5"/>
    <w:rsid w:val="00F33348"/>
    <w:rsid w:val="00F346B6"/>
    <w:rsid w:val="00F3608D"/>
    <w:rsid w:val="00F36145"/>
    <w:rsid w:val="00F37BDD"/>
    <w:rsid w:val="00F40716"/>
    <w:rsid w:val="00F41503"/>
    <w:rsid w:val="00F417D4"/>
    <w:rsid w:val="00F432CF"/>
    <w:rsid w:val="00F437FD"/>
    <w:rsid w:val="00F43B69"/>
    <w:rsid w:val="00F4479A"/>
    <w:rsid w:val="00F44D82"/>
    <w:rsid w:val="00F45589"/>
    <w:rsid w:val="00F46207"/>
    <w:rsid w:val="00F466C8"/>
    <w:rsid w:val="00F469A9"/>
    <w:rsid w:val="00F46B50"/>
    <w:rsid w:val="00F47C20"/>
    <w:rsid w:val="00F50B46"/>
    <w:rsid w:val="00F50D1F"/>
    <w:rsid w:val="00F51545"/>
    <w:rsid w:val="00F521DE"/>
    <w:rsid w:val="00F54162"/>
    <w:rsid w:val="00F541D4"/>
    <w:rsid w:val="00F553CE"/>
    <w:rsid w:val="00F5565A"/>
    <w:rsid w:val="00F56043"/>
    <w:rsid w:val="00F5664E"/>
    <w:rsid w:val="00F56BD8"/>
    <w:rsid w:val="00F56EC0"/>
    <w:rsid w:val="00F56FA9"/>
    <w:rsid w:val="00F6171A"/>
    <w:rsid w:val="00F62306"/>
    <w:rsid w:val="00F635FC"/>
    <w:rsid w:val="00F63D03"/>
    <w:rsid w:val="00F65E2F"/>
    <w:rsid w:val="00F66520"/>
    <w:rsid w:val="00F67385"/>
    <w:rsid w:val="00F67DF1"/>
    <w:rsid w:val="00F7054E"/>
    <w:rsid w:val="00F7137C"/>
    <w:rsid w:val="00F72A09"/>
    <w:rsid w:val="00F74E67"/>
    <w:rsid w:val="00F7552B"/>
    <w:rsid w:val="00F8309B"/>
    <w:rsid w:val="00F831E2"/>
    <w:rsid w:val="00F833C9"/>
    <w:rsid w:val="00F8533A"/>
    <w:rsid w:val="00F90064"/>
    <w:rsid w:val="00F9022A"/>
    <w:rsid w:val="00F90520"/>
    <w:rsid w:val="00F9056D"/>
    <w:rsid w:val="00F94217"/>
    <w:rsid w:val="00F9586C"/>
    <w:rsid w:val="00F96AFD"/>
    <w:rsid w:val="00F96F4C"/>
    <w:rsid w:val="00FA07F4"/>
    <w:rsid w:val="00FA1398"/>
    <w:rsid w:val="00FA1515"/>
    <w:rsid w:val="00FA2E19"/>
    <w:rsid w:val="00FA43C8"/>
    <w:rsid w:val="00FA697F"/>
    <w:rsid w:val="00FB0147"/>
    <w:rsid w:val="00FB0F92"/>
    <w:rsid w:val="00FB1B41"/>
    <w:rsid w:val="00FB2852"/>
    <w:rsid w:val="00FB2FB3"/>
    <w:rsid w:val="00FB3846"/>
    <w:rsid w:val="00FB5059"/>
    <w:rsid w:val="00FB5521"/>
    <w:rsid w:val="00FB610D"/>
    <w:rsid w:val="00FB626E"/>
    <w:rsid w:val="00FB65DE"/>
    <w:rsid w:val="00FC4477"/>
    <w:rsid w:val="00FC46FB"/>
    <w:rsid w:val="00FC51FF"/>
    <w:rsid w:val="00FC6630"/>
    <w:rsid w:val="00FC7B66"/>
    <w:rsid w:val="00FD0D94"/>
    <w:rsid w:val="00FD106C"/>
    <w:rsid w:val="00FD2BD3"/>
    <w:rsid w:val="00FD3DEF"/>
    <w:rsid w:val="00FD4CCA"/>
    <w:rsid w:val="00FD58B1"/>
    <w:rsid w:val="00FD7002"/>
    <w:rsid w:val="00FD7610"/>
    <w:rsid w:val="00FE04BA"/>
    <w:rsid w:val="00FE1D35"/>
    <w:rsid w:val="00FE234B"/>
    <w:rsid w:val="00FE2A9E"/>
    <w:rsid w:val="00FE34B3"/>
    <w:rsid w:val="00FE46B7"/>
    <w:rsid w:val="00FE4CEC"/>
    <w:rsid w:val="00FE6C21"/>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uk-UA"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uk-UA"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uk-UA"/>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uk-UA"/>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uk-UA"/>
    </w:rPr>
  </w:style>
  <w:style w:type="character" w:customStyle="1" w:styleId="1">
    <w:name w:val="Незакрита згадка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lang w:val="uk-UA"/>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uk-UA"/>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uk-UA"/>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rPr>
  </w:style>
  <w:style w:type="character" w:customStyle="1" w:styleId="He05FettZchn">
    <w:name w:val="_He_05_Fett Zchn"/>
    <w:basedOn w:val="DefaultParagraphFont"/>
    <w:link w:val="He05Fett"/>
    <w:rsid w:val="00B33C35"/>
    <w:rPr>
      <w:rFonts w:eastAsiaTheme="minorHAnsi" w:cstheme="minorBidi"/>
      <w:b/>
      <w:szCs w:val="22"/>
      <w:lang w:val="uk-UA"/>
    </w:rPr>
  </w:style>
  <w:style w:type="paragraph" w:customStyle="1" w:styleId="He02berschriftEbene2">
    <w:name w:val="_He_02_Überschrift Ebene 2"/>
    <w:next w:val="He01Flietext"/>
    <w:qFormat/>
    <w:rsid w:val="00CE3D74"/>
    <w:pPr>
      <w:spacing w:after="113"/>
    </w:pPr>
    <w:rPr>
      <w:rFonts w:eastAsiaTheme="minorHAnsi" w:cstheme="minorBidi"/>
      <w:b/>
      <w:sz w:val="3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na.androschuk@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hmara@pr-service.com.u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1E746086-A7A1-4C3C-B302-E43E9545E333}">
  <ds:schemaRefs>
    <ds:schemaRef ds:uri="http://schemas.openxmlformats.org/officeDocument/2006/bibliography"/>
  </ds:schemaRefs>
</ds:datastoreItem>
</file>

<file path=customXml/itemProps4.xml><?xml version="1.0" encoding="utf-8"?>
<ds:datastoreItem xmlns:ds="http://schemas.openxmlformats.org/officeDocument/2006/customXml" ds:itemID="{1C6C127B-E718-4786-951F-8CF66E3C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2716</Words>
  <Characters>17115</Characters>
  <Application>Microsoft Office Word</Application>
  <DocSecurity>0</DocSecurity>
  <Lines>290</Lines>
  <Paragraphs>74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19757</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Elena Androschuk</cp:lastModifiedBy>
  <cp:revision>8</cp:revision>
  <cp:lastPrinted>2024-07-31T07:57:00Z</cp:lastPrinted>
  <dcterms:created xsi:type="dcterms:W3CDTF">2024-08-16T12:23:00Z</dcterms:created>
  <dcterms:modified xsi:type="dcterms:W3CDTF">2024-08-19T09:05:00Z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0x010100811F2B0E4436D4419B93D2E67DB77F8B</vt:lpwstr>
  </property>
  <property fmtid="{D5CDD505-2E9C-101B-9397-08002B2CF9AE}" pid="3" name="MediaServiceImageTags">
    <vt:lpwstr/>
  </property>
  <property fmtid="{D5CDD505-2E9C-101B-9397-08002B2CF9AE}" pid="4" name="GrammarlyDocumentId">
    <vt:lpwstr>1f0e7b459f41cb1dc9188daaa46a1fbfab5e76f660946d67ad77bc6d0f163f59</vt:lpwstr>
  </property>
</Properties>
</file>