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926E" w14:textId="7C644096" w:rsidR="00B823D9" w:rsidRDefault="009B75B0" w:rsidP="00982EF7">
      <w:pPr>
        <w:widowControl w:val="0"/>
        <w:spacing w:line="240" w:lineRule="auto"/>
        <w:ind w:right="36"/>
        <w:jc w:val="right"/>
        <w:rPr>
          <w:rFonts w:ascii="Segoe UI" w:eastAsia="Quattrocento Sans" w:hAnsi="Segoe UI" w:cs="Segoe UI"/>
        </w:rPr>
      </w:pPr>
      <w:r>
        <w:rPr>
          <w:rFonts w:ascii="Segoe UI" w:eastAsia="Quattrocento Sans" w:hAnsi="Segoe UI" w:cs="Segoe UI"/>
        </w:rPr>
        <w:t>1</w:t>
      </w:r>
      <w:r w:rsidR="00492C18">
        <w:rPr>
          <w:rFonts w:ascii="Segoe UI" w:eastAsia="Quattrocento Sans" w:hAnsi="Segoe UI" w:cs="Segoe UI"/>
        </w:rPr>
        <w:t>5</w:t>
      </w:r>
      <w:r>
        <w:rPr>
          <w:rFonts w:ascii="Segoe UI" w:eastAsia="Quattrocento Sans" w:hAnsi="Segoe UI" w:cs="Segoe UI"/>
        </w:rPr>
        <w:t xml:space="preserve"> de agosto de 2024.</w:t>
      </w:r>
    </w:p>
    <w:p w14:paraId="31C07490" w14:textId="77777777" w:rsidR="00982EF7" w:rsidRPr="00364A82" w:rsidRDefault="00982EF7" w:rsidP="00982EF7">
      <w:pPr>
        <w:widowControl w:val="0"/>
        <w:spacing w:line="240" w:lineRule="auto"/>
        <w:ind w:right="36"/>
        <w:jc w:val="right"/>
        <w:rPr>
          <w:rFonts w:ascii="Segoe UI" w:eastAsia="Quattrocento Sans" w:hAnsi="Segoe UI" w:cs="Segoe UI"/>
        </w:rPr>
      </w:pPr>
    </w:p>
    <w:p w14:paraId="3D505130" w14:textId="3A567799" w:rsidR="00B823D9" w:rsidRDefault="005D16A9" w:rsidP="00901E1D">
      <w:pPr>
        <w:widowControl w:val="0"/>
        <w:spacing w:line="240" w:lineRule="auto"/>
        <w:ind w:left="181"/>
        <w:jc w:val="both"/>
        <w:rPr>
          <w:rFonts w:ascii="Segoe UI" w:eastAsia="Quattrocento Sans" w:hAnsi="Segoe UI" w:cs="Segoe UI"/>
        </w:rPr>
      </w:pPr>
      <w:r w:rsidRPr="001C4BF2">
        <w:rPr>
          <w:rFonts w:ascii="Segoe UI" w:eastAsia="Quattrocento Sans" w:hAnsi="Segoe UI" w:cs="Segoe UI"/>
        </w:rPr>
        <w:t xml:space="preserve">Los buenos resultados </w:t>
      </w:r>
      <w:r w:rsidR="001C4BF2">
        <w:rPr>
          <w:rFonts w:ascii="Segoe UI" w:eastAsia="Quattrocento Sans" w:hAnsi="Segoe UI" w:cs="Segoe UI"/>
        </w:rPr>
        <w:t>s</w:t>
      </w:r>
      <w:r w:rsidRPr="001C4BF2">
        <w:rPr>
          <w:rFonts w:ascii="Segoe UI" w:eastAsia="Quattrocento Sans" w:hAnsi="Segoe UI" w:cs="Segoe UI"/>
        </w:rPr>
        <w:t>emestrales han confirmado el éxito de la estrategia de crecimiento</w:t>
      </w:r>
      <w:r w:rsidR="009B75B0" w:rsidRPr="001C4BF2">
        <w:rPr>
          <w:rFonts w:ascii="Segoe UI" w:eastAsia="Quattrocento Sans" w:hAnsi="Segoe UI" w:cs="Segoe UI"/>
        </w:rPr>
        <w:t>.</w:t>
      </w:r>
    </w:p>
    <w:p w14:paraId="4337C465" w14:textId="77777777" w:rsidR="00982EF7" w:rsidRPr="001C4BF2" w:rsidRDefault="00982EF7" w:rsidP="00901E1D">
      <w:pPr>
        <w:widowControl w:val="0"/>
        <w:spacing w:line="240" w:lineRule="auto"/>
        <w:ind w:left="181"/>
        <w:jc w:val="both"/>
        <w:rPr>
          <w:rFonts w:ascii="Segoe UI" w:eastAsia="Quattrocento Sans" w:hAnsi="Segoe UI" w:cs="Segoe UI"/>
        </w:rPr>
      </w:pPr>
    </w:p>
    <w:p w14:paraId="4D47865D" w14:textId="6148B1F9" w:rsidR="00B823D9" w:rsidRDefault="0042240A" w:rsidP="00901E1D">
      <w:pPr>
        <w:widowControl w:val="0"/>
        <w:spacing w:line="240" w:lineRule="auto"/>
        <w:ind w:left="181"/>
        <w:jc w:val="both"/>
        <w:rPr>
          <w:rFonts w:ascii="Segoe UI" w:eastAsia="Quattrocento Sans" w:hAnsi="Segoe UI" w:cs="Segoe UI"/>
          <w:b/>
          <w:bCs/>
          <w:sz w:val="32"/>
          <w:szCs w:val="32"/>
        </w:rPr>
      </w:pPr>
      <w:r w:rsidRPr="001C4BF2">
        <w:rPr>
          <w:rFonts w:ascii="Segoe UI" w:eastAsia="Quattrocento Sans" w:hAnsi="Segoe UI" w:cs="Segoe UI"/>
          <w:b/>
          <w:bCs/>
          <w:sz w:val="32"/>
          <w:szCs w:val="32"/>
        </w:rPr>
        <w:t xml:space="preserve">Henkel ha logrado un buen crecimiento orgánico de las ventas y una fuerte mejora de los </w:t>
      </w:r>
      <w:r w:rsidR="00B43143" w:rsidRPr="00103893">
        <w:rPr>
          <w:rFonts w:ascii="Segoe UI" w:eastAsia="Quattrocento Sans" w:hAnsi="Segoe UI" w:cs="Segoe UI"/>
          <w:b/>
          <w:bCs/>
          <w:sz w:val="32"/>
          <w:szCs w:val="32"/>
        </w:rPr>
        <w:t>resultados</w:t>
      </w:r>
      <w:r w:rsidRPr="001C4BF2">
        <w:rPr>
          <w:rFonts w:ascii="Segoe UI" w:eastAsia="Quattrocento Sans" w:hAnsi="Segoe UI" w:cs="Segoe UI"/>
          <w:b/>
          <w:bCs/>
          <w:sz w:val="32"/>
          <w:szCs w:val="32"/>
        </w:rPr>
        <w:t xml:space="preserve"> en el primer semestre de 2024</w:t>
      </w:r>
    </w:p>
    <w:p w14:paraId="1101FE3D" w14:textId="77777777" w:rsidR="00BC42FC" w:rsidRDefault="00BC42FC" w:rsidP="00901E1D">
      <w:pPr>
        <w:pStyle w:val="Ttulo2"/>
        <w:keepNext w:val="0"/>
        <w:keepLines w:val="0"/>
        <w:widowControl w:val="0"/>
        <w:tabs>
          <w:tab w:val="left" w:pos="465"/>
          <w:tab w:val="left" w:pos="466"/>
        </w:tabs>
        <w:spacing w:before="0" w:after="0" w:line="240" w:lineRule="auto"/>
        <w:ind w:left="465"/>
        <w:jc w:val="both"/>
        <w:rPr>
          <w:rFonts w:ascii="Segoe UI" w:eastAsia="Quattrocento Sans" w:hAnsi="Segoe UI" w:cs="Segoe UI"/>
          <w:b/>
          <w:sz w:val="22"/>
          <w:szCs w:val="22"/>
        </w:rPr>
      </w:pPr>
      <w:bookmarkStart w:id="0" w:name="_8zf7c5nrkn0l" w:colFirst="0" w:colLast="0"/>
      <w:bookmarkEnd w:id="0"/>
    </w:p>
    <w:p w14:paraId="61AA6FA0" w14:textId="791AB796" w:rsidR="00761174" w:rsidRPr="00103893" w:rsidRDefault="005D16A9"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sz w:val="22"/>
          <w:szCs w:val="22"/>
        </w:rPr>
      </w:pPr>
      <w:r w:rsidRPr="00503059">
        <w:rPr>
          <w:rFonts w:ascii="Segoe UI" w:eastAsia="Quattrocento Sans" w:hAnsi="Segoe UI" w:cs="Segoe UI"/>
          <w:b/>
          <w:sz w:val="22"/>
          <w:szCs w:val="22"/>
        </w:rPr>
        <w:t xml:space="preserve">Las </w:t>
      </w:r>
      <w:r w:rsidRPr="00103893">
        <w:rPr>
          <w:rFonts w:ascii="Segoe UI" w:eastAsia="Quattrocento Sans" w:hAnsi="Segoe UI" w:cs="Segoe UI"/>
          <w:b/>
          <w:sz w:val="22"/>
          <w:szCs w:val="22"/>
        </w:rPr>
        <w:t>ventas</w:t>
      </w:r>
      <w:r w:rsidR="0042240A" w:rsidRPr="00103893">
        <w:rPr>
          <w:rFonts w:ascii="Segoe UI" w:eastAsia="Quattrocento Sans" w:hAnsi="Segoe UI" w:cs="Segoe UI"/>
          <w:b/>
          <w:sz w:val="22"/>
          <w:szCs w:val="22"/>
        </w:rPr>
        <w:t xml:space="preserve"> </w:t>
      </w:r>
      <w:r w:rsidRPr="00103893">
        <w:rPr>
          <w:rFonts w:ascii="Segoe UI" w:eastAsia="Quattrocento Sans" w:hAnsi="Segoe UI" w:cs="Segoe UI"/>
          <w:b/>
          <w:sz w:val="22"/>
          <w:szCs w:val="22"/>
        </w:rPr>
        <w:t>del Grupo han crecido orgánicamente un 2,9% en el primer semestre</w:t>
      </w:r>
      <w:r w:rsidR="00803933" w:rsidRPr="00103893">
        <w:rPr>
          <w:rFonts w:ascii="Segoe UI" w:eastAsia="Quattrocento Sans" w:hAnsi="Segoe UI" w:cs="Segoe UI"/>
          <w:b/>
          <w:sz w:val="22"/>
          <w:szCs w:val="22"/>
        </w:rPr>
        <w:t>, hasta unos 10.800 millones de euros</w:t>
      </w:r>
      <w:r w:rsidR="000345F4" w:rsidRPr="00103893">
        <w:rPr>
          <w:rFonts w:ascii="Segoe UI" w:eastAsia="Quattrocento Sans" w:hAnsi="Segoe UI" w:cs="Segoe UI"/>
          <w:b/>
          <w:sz w:val="22"/>
          <w:szCs w:val="22"/>
        </w:rPr>
        <w:t xml:space="preserve"> </w:t>
      </w:r>
      <w:r w:rsidR="000345F4" w:rsidRPr="00103893">
        <w:rPr>
          <w:rFonts w:ascii="Segoe UI" w:eastAsia="Quattrocento Sans" w:hAnsi="Segoe UI" w:cs="Segoe UI"/>
          <w:bCs/>
          <w:sz w:val="22"/>
          <w:szCs w:val="22"/>
        </w:rPr>
        <w:t>(-1,0% nominal): crecimiento en ambas unidades de negocio.</w:t>
      </w:r>
      <w:r w:rsidR="000345F4" w:rsidRPr="00103893">
        <w:rPr>
          <w:rFonts w:ascii="Segoe UI" w:eastAsia="Quattrocento Sans" w:hAnsi="Segoe UI" w:cs="Segoe UI"/>
          <w:b/>
          <w:sz w:val="22"/>
          <w:szCs w:val="22"/>
        </w:rPr>
        <w:t xml:space="preserve"> </w:t>
      </w:r>
    </w:p>
    <w:p w14:paraId="46A1DAE7" w14:textId="77777777" w:rsidR="00BC42FC" w:rsidRPr="00103893" w:rsidRDefault="00B43143"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 xml:space="preserve">Resultado </w:t>
      </w:r>
      <w:r w:rsidR="000345F4" w:rsidRPr="00103893">
        <w:rPr>
          <w:rFonts w:ascii="Segoe UI" w:hAnsi="Segoe UI" w:cs="Segoe UI"/>
          <w:b/>
          <w:bCs/>
          <w:sz w:val="22"/>
          <w:szCs w:val="22"/>
        </w:rPr>
        <w:t>operativo (EBIT)*: fuerte aumento hasta 1.610 millones de euros (+28,4%)</w:t>
      </w:r>
      <w:r w:rsidR="00006387" w:rsidRPr="00103893">
        <w:rPr>
          <w:rFonts w:ascii="Segoe UI" w:hAnsi="Segoe UI" w:cs="Segoe UI"/>
          <w:b/>
          <w:bCs/>
          <w:sz w:val="22"/>
          <w:szCs w:val="22"/>
        </w:rPr>
        <w:t>.</w:t>
      </w:r>
      <w:r w:rsidR="00BC42FC" w:rsidRPr="00103893">
        <w:rPr>
          <w:rFonts w:ascii="Segoe UI" w:hAnsi="Segoe UI" w:cs="Segoe UI"/>
          <w:b/>
          <w:bCs/>
          <w:sz w:val="22"/>
          <w:szCs w:val="22"/>
        </w:rPr>
        <w:t xml:space="preserve"> </w:t>
      </w:r>
    </w:p>
    <w:p w14:paraId="408DDA26" w14:textId="77777777" w:rsidR="00BC42FC" w:rsidRPr="00103893" w:rsidRDefault="000345F4"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El margen EBIT* también mejora fuertemente hasta el 14,9% (+340 puntos básicos)</w:t>
      </w:r>
      <w:r w:rsidR="00006387" w:rsidRPr="00103893">
        <w:rPr>
          <w:rFonts w:ascii="Segoe UI" w:hAnsi="Segoe UI" w:cs="Segoe UI"/>
          <w:b/>
          <w:bCs/>
          <w:sz w:val="22"/>
          <w:szCs w:val="22"/>
        </w:rPr>
        <w:t>.</w:t>
      </w:r>
      <w:r w:rsidR="00BC42FC" w:rsidRPr="00103893">
        <w:rPr>
          <w:rFonts w:ascii="Segoe UI" w:hAnsi="Segoe UI" w:cs="Segoe UI"/>
          <w:b/>
          <w:bCs/>
          <w:sz w:val="22"/>
          <w:szCs w:val="22"/>
        </w:rPr>
        <w:t xml:space="preserve"> </w:t>
      </w:r>
    </w:p>
    <w:p w14:paraId="59EF6404" w14:textId="77777777" w:rsidR="00BC42FC" w:rsidRPr="00103893" w:rsidRDefault="000345F4"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El beneficio por acción preferente (</w:t>
      </w:r>
      <w:r w:rsidR="00006387" w:rsidRPr="00103893">
        <w:rPr>
          <w:rFonts w:ascii="Segoe UI" w:hAnsi="Segoe UI" w:cs="Segoe UI"/>
          <w:b/>
          <w:bCs/>
          <w:sz w:val="22"/>
          <w:szCs w:val="22"/>
        </w:rPr>
        <w:t>EPS</w:t>
      </w:r>
      <w:r w:rsidRPr="00103893">
        <w:rPr>
          <w:rFonts w:ascii="Segoe UI" w:hAnsi="Segoe UI" w:cs="Segoe UI"/>
          <w:b/>
          <w:bCs/>
          <w:sz w:val="22"/>
          <w:szCs w:val="22"/>
        </w:rPr>
        <w:t>)* aumenta en torno a un tercio, hasta 2,78 euros, +32,9% a tipos de cambio constantes</w:t>
      </w:r>
      <w:r w:rsidR="00006387" w:rsidRPr="00103893">
        <w:rPr>
          <w:rFonts w:ascii="Segoe UI" w:hAnsi="Segoe UI" w:cs="Segoe UI"/>
          <w:b/>
          <w:bCs/>
          <w:sz w:val="22"/>
          <w:szCs w:val="22"/>
        </w:rPr>
        <w:t>.</w:t>
      </w:r>
      <w:r w:rsidR="00BC42FC" w:rsidRPr="00103893">
        <w:rPr>
          <w:rFonts w:ascii="Segoe UI" w:hAnsi="Segoe UI" w:cs="Segoe UI"/>
          <w:b/>
          <w:bCs/>
          <w:sz w:val="22"/>
          <w:szCs w:val="22"/>
        </w:rPr>
        <w:t xml:space="preserve"> </w:t>
      </w:r>
    </w:p>
    <w:p w14:paraId="18D75E91" w14:textId="28016E40" w:rsidR="000345F4" w:rsidRPr="00F51EB0" w:rsidRDefault="000345F4"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bCs/>
          <w:sz w:val="22"/>
          <w:szCs w:val="22"/>
        </w:rPr>
      </w:pPr>
      <w:r w:rsidRPr="00103893">
        <w:rPr>
          <w:rFonts w:ascii="Segoe UI" w:hAnsi="Segoe UI" w:cs="Segoe UI"/>
          <w:b/>
          <w:bCs/>
          <w:sz w:val="22"/>
          <w:szCs w:val="22"/>
        </w:rPr>
        <w:t xml:space="preserve">Muy buen flujo </w:t>
      </w:r>
      <w:r w:rsidR="00B43143" w:rsidRPr="00103893">
        <w:rPr>
          <w:rFonts w:ascii="Segoe UI" w:hAnsi="Segoe UI" w:cs="Segoe UI"/>
          <w:b/>
          <w:bCs/>
          <w:sz w:val="22"/>
          <w:szCs w:val="22"/>
        </w:rPr>
        <w:t xml:space="preserve">de efectivo </w:t>
      </w:r>
      <w:r w:rsidRPr="00103893">
        <w:rPr>
          <w:rFonts w:ascii="Segoe UI" w:hAnsi="Segoe UI" w:cs="Segoe UI"/>
          <w:b/>
          <w:bCs/>
          <w:sz w:val="22"/>
          <w:szCs w:val="22"/>
        </w:rPr>
        <w:t>de</w:t>
      </w:r>
      <w:r w:rsidRPr="00F51EB0">
        <w:rPr>
          <w:rFonts w:ascii="Segoe UI" w:hAnsi="Segoe UI" w:cs="Segoe UI"/>
          <w:b/>
          <w:bCs/>
          <w:sz w:val="22"/>
          <w:szCs w:val="22"/>
        </w:rPr>
        <w:t xml:space="preserve"> unos 800 millones de euros</w:t>
      </w:r>
    </w:p>
    <w:p w14:paraId="1119F31C" w14:textId="77777777" w:rsidR="00B823D9" w:rsidRPr="00503059" w:rsidRDefault="005D16A9" w:rsidP="00901E1D">
      <w:pPr>
        <w:widowControl w:val="0"/>
        <w:numPr>
          <w:ilvl w:val="0"/>
          <w:numId w:val="1"/>
        </w:numPr>
        <w:tabs>
          <w:tab w:val="left" w:pos="465"/>
          <w:tab w:val="left" w:pos="466"/>
        </w:tabs>
        <w:spacing w:line="240" w:lineRule="auto"/>
        <w:jc w:val="both"/>
        <w:rPr>
          <w:rFonts w:ascii="Segoe UI" w:eastAsia="Quattrocento Sans" w:hAnsi="Segoe UI" w:cs="Segoe UI"/>
          <w:color w:val="000000"/>
        </w:rPr>
      </w:pPr>
      <w:r w:rsidRPr="00503059">
        <w:rPr>
          <w:rFonts w:ascii="Segoe UI" w:eastAsia="Quattrocento Sans" w:hAnsi="Segoe UI" w:cs="Segoe UI"/>
          <w:b/>
        </w:rPr>
        <w:t>Nuevos avances en la aplicación de la agenda estratégica de crecimiento</w:t>
      </w:r>
    </w:p>
    <w:p w14:paraId="2B903B09" w14:textId="1D8C09C7" w:rsidR="00B823D9" w:rsidRPr="00503059" w:rsidRDefault="005D16A9" w:rsidP="00901E1D">
      <w:pPr>
        <w:pStyle w:val="Ttulo2"/>
        <w:keepNext w:val="0"/>
        <w:keepLines w:val="0"/>
        <w:widowControl w:val="0"/>
        <w:numPr>
          <w:ilvl w:val="0"/>
          <w:numId w:val="1"/>
        </w:numPr>
        <w:tabs>
          <w:tab w:val="left" w:pos="465"/>
          <w:tab w:val="left" w:pos="466"/>
        </w:tabs>
        <w:spacing w:before="0" w:after="0" w:line="240" w:lineRule="auto"/>
        <w:jc w:val="both"/>
        <w:rPr>
          <w:rFonts w:ascii="Segoe UI" w:eastAsia="Quattrocento Sans" w:hAnsi="Segoe UI" w:cs="Segoe UI"/>
          <w:b/>
          <w:sz w:val="22"/>
          <w:szCs w:val="22"/>
        </w:rPr>
      </w:pPr>
      <w:bookmarkStart w:id="1" w:name="_3t2vxcvz63n" w:colFirst="0" w:colLast="0"/>
      <w:bookmarkEnd w:id="1"/>
      <w:r w:rsidRPr="00503059">
        <w:rPr>
          <w:rFonts w:ascii="Segoe UI" w:eastAsia="Quattrocento Sans" w:hAnsi="Segoe UI" w:cs="Segoe UI"/>
          <w:b/>
          <w:sz w:val="22"/>
          <w:szCs w:val="22"/>
        </w:rPr>
        <w:t>Perspectivas de beneficios para el ejercicio 2024 ya elevadas a mediados de julio</w:t>
      </w:r>
      <w:r w:rsidR="001F0F5A" w:rsidRPr="00503059">
        <w:rPr>
          <w:rFonts w:ascii="Segoe UI" w:eastAsia="Quattrocento Sans" w:hAnsi="Segoe UI" w:cs="Segoe UI"/>
          <w:b/>
          <w:sz w:val="22"/>
          <w:szCs w:val="22"/>
        </w:rPr>
        <w:t>:</w:t>
      </w:r>
    </w:p>
    <w:p w14:paraId="050282A7" w14:textId="68323154" w:rsidR="00006387" w:rsidRPr="00103893" w:rsidRDefault="00006387" w:rsidP="00901E1D">
      <w:pPr>
        <w:pStyle w:val="Prrafodelista"/>
        <w:numPr>
          <w:ilvl w:val="0"/>
          <w:numId w:val="3"/>
        </w:numPr>
        <w:spacing w:line="240" w:lineRule="auto"/>
        <w:rPr>
          <w:rFonts w:ascii="Segoe UI" w:hAnsi="Segoe UI" w:cs="Segoe UI"/>
        </w:rPr>
      </w:pPr>
      <w:r w:rsidRPr="00103893">
        <w:rPr>
          <w:rFonts w:ascii="Segoe UI" w:hAnsi="Segoe UI" w:cs="Segoe UI"/>
        </w:rPr>
        <w:t>Crecimiento orgánico de las ventas: 2,5% a 4,5% (sin cambios)</w:t>
      </w:r>
    </w:p>
    <w:p w14:paraId="4C5B023B" w14:textId="07B39D5E" w:rsidR="00006387" w:rsidRPr="00103893" w:rsidRDefault="00006387" w:rsidP="00901E1D">
      <w:pPr>
        <w:pStyle w:val="Prrafodelista"/>
        <w:numPr>
          <w:ilvl w:val="0"/>
          <w:numId w:val="3"/>
        </w:numPr>
        <w:spacing w:line="240" w:lineRule="auto"/>
        <w:rPr>
          <w:rFonts w:ascii="Segoe UI" w:hAnsi="Segoe UI" w:cs="Segoe UI"/>
        </w:rPr>
      </w:pPr>
      <w:r w:rsidRPr="00103893">
        <w:rPr>
          <w:rFonts w:ascii="Segoe UI" w:hAnsi="Segoe UI" w:cs="Segoe UI"/>
        </w:rPr>
        <w:t>R</w:t>
      </w:r>
      <w:r w:rsidR="00B43143" w:rsidRPr="00103893">
        <w:rPr>
          <w:rFonts w:ascii="Segoe UI" w:hAnsi="Segoe UI" w:cs="Segoe UI"/>
        </w:rPr>
        <w:t xml:space="preserve">endimiento ajustado </w:t>
      </w:r>
      <w:r w:rsidRPr="00103893">
        <w:rPr>
          <w:rFonts w:ascii="Segoe UI" w:hAnsi="Segoe UI" w:cs="Segoe UI"/>
        </w:rPr>
        <w:t>de las ventas: 13,5% a 14,5% (anteriormente: 13,0% a 14,0%)</w:t>
      </w:r>
    </w:p>
    <w:p w14:paraId="3B09F86B" w14:textId="137239CC" w:rsidR="00006387" w:rsidRPr="00103893" w:rsidRDefault="00006387" w:rsidP="00901E1D">
      <w:pPr>
        <w:pStyle w:val="Prrafodelista"/>
        <w:numPr>
          <w:ilvl w:val="0"/>
          <w:numId w:val="3"/>
        </w:numPr>
        <w:spacing w:line="240" w:lineRule="auto"/>
        <w:rPr>
          <w:rFonts w:ascii="Segoe UI" w:hAnsi="Segoe UI" w:cs="Segoe UI"/>
        </w:rPr>
      </w:pPr>
      <w:r w:rsidRPr="00103893">
        <w:rPr>
          <w:rFonts w:ascii="Segoe UI" w:hAnsi="Segoe UI" w:cs="Segoe UI"/>
        </w:rPr>
        <w:t>Beneficio ajustado por acción preferente (</w:t>
      </w:r>
      <w:r w:rsidR="00F81E9B" w:rsidRPr="00103893">
        <w:rPr>
          <w:rFonts w:ascii="Segoe UI" w:hAnsi="Segoe UI" w:cs="Segoe UI"/>
        </w:rPr>
        <w:t>EPS</w:t>
      </w:r>
      <w:r w:rsidRPr="00103893">
        <w:rPr>
          <w:rFonts w:ascii="Segoe UI" w:hAnsi="Segoe UI" w:cs="Segoe UI"/>
        </w:rPr>
        <w:t>): aumento en el rango del +20,0% al</w:t>
      </w:r>
      <w:r w:rsidR="00F81E9B" w:rsidRPr="00103893">
        <w:rPr>
          <w:rFonts w:ascii="Segoe UI" w:hAnsi="Segoe UI" w:cs="Segoe UI"/>
        </w:rPr>
        <w:t xml:space="preserve"> </w:t>
      </w:r>
      <w:r w:rsidRPr="00103893">
        <w:rPr>
          <w:rFonts w:ascii="Segoe UI" w:hAnsi="Segoe UI" w:cs="Segoe UI"/>
        </w:rPr>
        <w:t>+30,0% a tipos de cambio constantes (anteriormente: +15,0% al +25,0%)</w:t>
      </w:r>
    </w:p>
    <w:p w14:paraId="0EE702B0" w14:textId="77777777" w:rsidR="00D56822" w:rsidRPr="00103893" w:rsidRDefault="00D56822" w:rsidP="00391F99">
      <w:pPr>
        <w:pStyle w:val="Prrafodelista"/>
        <w:numPr>
          <w:ilvl w:val="0"/>
          <w:numId w:val="4"/>
        </w:numPr>
        <w:spacing w:line="240" w:lineRule="auto"/>
        <w:rPr>
          <w:rFonts w:ascii="Segoe UI" w:eastAsia="Quattrocento Sans" w:hAnsi="Segoe UI" w:cs="Segoe UI"/>
          <w:b/>
        </w:rPr>
      </w:pPr>
      <w:bookmarkStart w:id="2" w:name="_8ca51sg6kxde" w:colFirst="0" w:colLast="0"/>
      <w:bookmarkEnd w:id="2"/>
      <w:r w:rsidRPr="00103893">
        <w:rPr>
          <w:rFonts w:ascii="Segoe UI" w:eastAsia="Quattrocento Sans" w:hAnsi="Segoe UI" w:cs="Segoe UI"/>
          <w:b/>
        </w:rPr>
        <w:t>Objetivos financieros de mediano y largo plazo serán alcanzados en el mediano plazo.</w:t>
      </w:r>
    </w:p>
    <w:p w14:paraId="62777F06" w14:textId="66EBE02C" w:rsidR="001C4BF2" w:rsidRPr="00103893" w:rsidRDefault="001C4BF2" w:rsidP="00901E1D">
      <w:pPr>
        <w:spacing w:line="240" w:lineRule="auto"/>
        <w:rPr>
          <w:rFonts w:ascii="Segoe UI" w:hAnsi="Segoe UI" w:cs="Segoe UI"/>
        </w:rPr>
      </w:pPr>
    </w:p>
    <w:p w14:paraId="458C0CAF" w14:textId="512F784D" w:rsidR="001C4BF2" w:rsidRPr="001C4BF2" w:rsidRDefault="00716C9C" w:rsidP="00901E1D">
      <w:pPr>
        <w:spacing w:line="240" w:lineRule="auto"/>
        <w:jc w:val="both"/>
        <w:rPr>
          <w:rFonts w:ascii="Segoe UI" w:hAnsi="Segoe UI" w:cs="Segoe UI"/>
        </w:rPr>
      </w:pPr>
      <w:r>
        <w:rPr>
          <w:rFonts w:ascii="Segoe UI" w:hAnsi="Segoe UI" w:cs="Segoe UI"/>
          <w:b/>
        </w:rPr>
        <w:t>Buenos Aires</w:t>
      </w:r>
      <w:r w:rsidR="001C4BF2" w:rsidRPr="00103893">
        <w:rPr>
          <w:rFonts w:ascii="Segoe UI" w:hAnsi="Segoe UI" w:cs="Segoe UI"/>
          <w:b/>
        </w:rPr>
        <w:t xml:space="preserve">, </w:t>
      </w:r>
      <w:r>
        <w:rPr>
          <w:rFonts w:ascii="Segoe UI" w:hAnsi="Segoe UI" w:cs="Segoe UI"/>
          <w:b/>
        </w:rPr>
        <w:t>Argentina</w:t>
      </w:r>
      <w:r w:rsidR="001C4BF2" w:rsidRPr="00103893">
        <w:rPr>
          <w:rFonts w:ascii="Segoe UI" w:hAnsi="Segoe UI" w:cs="Segoe UI"/>
        </w:rPr>
        <w:t xml:space="preserve"> – En el primer semestre de 2024, Henkel ha registrado un buen crecimiento orgánico de las ventas y un aumento muy fuerte de los resultados en un entorno económico persistentemente desafiante. La empresa ha continuado así con éxito su camino de crecimiento rentable.</w:t>
      </w:r>
    </w:p>
    <w:p w14:paraId="3DA79438" w14:textId="3E1E4818" w:rsidR="00B823D9" w:rsidRPr="001C4BF2" w:rsidRDefault="00B823D9" w:rsidP="00901E1D">
      <w:pPr>
        <w:tabs>
          <w:tab w:val="left" w:pos="465"/>
          <w:tab w:val="left" w:pos="466"/>
        </w:tabs>
        <w:spacing w:line="240" w:lineRule="auto"/>
        <w:jc w:val="both"/>
        <w:rPr>
          <w:rFonts w:ascii="Segoe UI" w:hAnsi="Segoe UI" w:cs="Segoe UI"/>
        </w:rPr>
      </w:pPr>
    </w:p>
    <w:p w14:paraId="40C8178F" w14:textId="723C9AF2" w:rsidR="00F825AE" w:rsidRPr="00CC252F" w:rsidRDefault="00982EF7" w:rsidP="00901E1D">
      <w:pPr>
        <w:spacing w:line="240" w:lineRule="auto"/>
        <w:jc w:val="both"/>
        <w:rPr>
          <w:rFonts w:ascii="Segoe UI" w:hAnsi="Segoe UI" w:cs="Segoe UI"/>
          <w:i/>
          <w:iCs/>
        </w:rPr>
      </w:pPr>
      <w:r w:rsidRPr="001C4BF2">
        <w:rPr>
          <w:rFonts w:ascii="Segoe UI" w:eastAsia="Quattrocento Sans" w:hAnsi="Segoe UI" w:cs="Segoe UI"/>
          <w:noProof/>
        </w:rPr>
        <w:lastRenderedPageBreak/>
        <mc:AlternateContent>
          <mc:Choice Requires="wps">
            <w:drawing>
              <wp:anchor distT="45720" distB="45720" distL="114300" distR="114300" simplePos="0" relativeHeight="251659776" behindDoc="0" locked="0" layoutInCell="1" allowOverlap="1" wp14:anchorId="1D86F6D2" wp14:editId="1A111D8B">
                <wp:simplePos x="0" y="0"/>
                <wp:positionH relativeFrom="margin">
                  <wp:align>left</wp:align>
                </wp:positionH>
                <wp:positionV relativeFrom="paragraph">
                  <wp:posOffset>537552</wp:posOffset>
                </wp:positionV>
                <wp:extent cx="5493385" cy="28829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3385" cy="288290"/>
                        </a:xfrm>
                        <a:prstGeom prst="rect">
                          <a:avLst/>
                        </a:prstGeom>
                        <a:solidFill>
                          <a:srgbClr val="FFFFFF"/>
                        </a:solidFill>
                        <a:ln w="9525">
                          <a:noFill/>
                          <a:miter lim="800000"/>
                          <a:headEnd/>
                          <a:tailEnd/>
                        </a:ln>
                      </wps:spPr>
                      <wps:txbx>
                        <w:txbxContent>
                          <w:p w14:paraId="5B243744" w14:textId="3BD13D50" w:rsidR="001C4BF2" w:rsidRPr="001C4BF2" w:rsidRDefault="001C4BF2">
                            <w:pPr>
                              <w:rPr>
                                <w:sz w:val="16"/>
                                <w:szCs w:val="16"/>
                              </w:rPr>
                            </w:pPr>
                            <w:r w:rsidRPr="001C4BF2">
                              <w:rPr>
                                <w:sz w:val="16"/>
                                <w:szCs w:val="16"/>
                              </w:rPr>
                              <w:t>* Ajustado por gastos e ingresos extraordinarios y por gastos de reestructuración.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6F6D2" id="_x0000_t202" coordsize="21600,21600" o:spt="202" path="m,l,21600r21600,l21600,xe">
                <v:stroke joinstyle="miter"/>
                <v:path gradientshapeok="t" o:connecttype="rect"/>
              </v:shapetype>
              <v:shape id="Cuadro de texto 2" o:spid="_x0000_s1026" type="#_x0000_t202" style="position:absolute;left:0;text-align:left;margin-left:0;margin-top:42.35pt;width:432.55pt;height:22.7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" stroked="f">
                <v:textbox>
                  <w:txbxContent>
                    <w:p w14:paraId="5B243744" w14:textId="3BD13D50" w:rsidR="001C4BF2" w:rsidRPr="001C4BF2" w:rsidRDefault="001C4BF2">
                      <w:pPr>
                        <w:rPr>
                          <w:sz w:val="16"/>
                          <w:szCs w:val="16"/>
                        </w:rPr>
                      </w:pPr>
                      <w:r w:rsidRPr="001C4BF2">
                        <w:rPr>
                          <w:sz w:val="16"/>
                          <w:szCs w:val="16"/>
                        </w:rPr>
                        <w:t>* Ajustado por gastos e ingresos extraordinarios y por gastos de reestructuración.</w:t>
                      </w:r>
                    </w:p>
                  </w:txbxContent>
                </v:textbox>
                <w10:wrap type="square" anchorx="margin"/>
              </v:shape>
            </w:pict>
          </mc:Fallback>
        </mc:AlternateContent>
      </w:r>
      <w:r w:rsidR="00F825AE" w:rsidRPr="00CC252F">
        <w:rPr>
          <w:rFonts w:ascii="Segoe UI" w:hAnsi="Segoe UI" w:cs="Segoe UI"/>
          <w:i/>
          <w:iCs/>
        </w:rPr>
        <w:t xml:space="preserve">"En la primera mitad del año, el crecimiento orgánico de las ventas y la mejora </w:t>
      </w:r>
      <w:r w:rsidR="00B43143" w:rsidRPr="00CC252F">
        <w:rPr>
          <w:rFonts w:ascii="Segoe UI" w:hAnsi="Segoe UI" w:cs="Segoe UI"/>
          <w:i/>
          <w:iCs/>
        </w:rPr>
        <w:t>de los resultados</w:t>
      </w:r>
      <w:r w:rsidR="00F825AE" w:rsidRPr="00CC252F">
        <w:rPr>
          <w:rFonts w:ascii="Segoe UI" w:hAnsi="Segoe UI" w:cs="Segoe UI"/>
          <w:i/>
          <w:iCs/>
        </w:rPr>
        <w:t xml:space="preserve"> se han visto impulsados por ambas unidades de negocio. La fusión de nuestros negocios de consumo ha sido un éxito y la aplicación de nuestras medidas e iniciativas estratégicas ha tenido un impacto muy positivo en el desarrollo de las ventas, el margen bruto y los </w:t>
      </w:r>
      <w:r w:rsidR="001C4BF2" w:rsidRPr="00CC252F">
        <w:rPr>
          <w:rFonts w:ascii="Segoe UI" w:hAnsi="Segoe UI" w:cs="Segoe UI"/>
          <w:i/>
          <w:iCs/>
        </w:rPr>
        <w:t>resultados</w:t>
      </w:r>
      <w:r w:rsidR="00F825AE" w:rsidRPr="00CC252F">
        <w:rPr>
          <w:rFonts w:ascii="Segoe UI" w:hAnsi="Segoe UI" w:cs="Segoe UI"/>
          <w:i/>
          <w:iCs/>
        </w:rPr>
        <w:t>. También en nuestro negocio de adhesivos, donde se ha alineado la estructura organizativa aún más estrechamente con nuestros clientes, los cambios que hemos iniciado están contribuyendo significativamente al desarrollo positivo de Henkel.</w:t>
      </w:r>
    </w:p>
    <w:p w14:paraId="1C461DB9" w14:textId="77777777" w:rsidR="001C4BF2" w:rsidRDefault="001C4BF2" w:rsidP="00901E1D">
      <w:pPr>
        <w:spacing w:line="240" w:lineRule="auto"/>
        <w:jc w:val="both"/>
        <w:rPr>
          <w:rFonts w:ascii="Segoe UI" w:hAnsi="Segoe UI" w:cs="Segoe UI"/>
        </w:rPr>
      </w:pPr>
    </w:p>
    <w:p w14:paraId="4D561C16" w14:textId="17382B90" w:rsidR="001C4BF2" w:rsidRPr="001C4BF2" w:rsidRDefault="001C4BF2" w:rsidP="00901E1D">
      <w:pPr>
        <w:spacing w:line="240" w:lineRule="auto"/>
        <w:jc w:val="both"/>
        <w:rPr>
          <w:rFonts w:ascii="Segoe UI" w:hAnsi="Segoe UI" w:cs="Segoe UI"/>
        </w:rPr>
      </w:pPr>
      <w:r w:rsidRPr="00103893">
        <w:rPr>
          <w:rFonts w:ascii="Segoe UI" w:hAnsi="Segoe UI" w:cs="Segoe UI"/>
          <w:i/>
          <w:iCs/>
        </w:rPr>
        <w:t>Nuestro flujo de efectivo también ha sido fuerte, superando el ya alto nivel del primer semestre de 2023. Todo ello nos permite seguir realizando inversiones específicas en nuestro negocio y nuestro futuro: en marcas, tecnologías e innovaciones. Además, estamos impulsando importantes iniciativas en los ámbitos de la sostenibilidad y la digitalización para seguir mejorando nuestra posición competitiva",</w:t>
      </w:r>
      <w:r w:rsidRPr="00103893">
        <w:rPr>
          <w:rFonts w:ascii="Segoe UI" w:hAnsi="Segoe UI" w:cs="Segoe UI"/>
        </w:rPr>
        <w:t xml:space="preserve"> </w:t>
      </w:r>
      <w:r w:rsidR="00877CF6" w:rsidRPr="00103893">
        <w:rPr>
          <w:rFonts w:ascii="Segoe UI" w:hAnsi="Segoe UI" w:cs="Segoe UI"/>
        </w:rPr>
        <w:t>comentó</w:t>
      </w:r>
      <w:r w:rsidRPr="00103893">
        <w:rPr>
          <w:rFonts w:ascii="Segoe UI" w:hAnsi="Segoe UI" w:cs="Segoe UI"/>
        </w:rPr>
        <w:t xml:space="preserve"> Carsten </w:t>
      </w:r>
      <w:proofErr w:type="spellStart"/>
      <w:r w:rsidRPr="00103893">
        <w:rPr>
          <w:rFonts w:ascii="Segoe UI" w:hAnsi="Segoe UI" w:cs="Segoe UI"/>
        </w:rPr>
        <w:t>Knobel</w:t>
      </w:r>
      <w:proofErr w:type="spellEnd"/>
      <w:r w:rsidRPr="00103893">
        <w:rPr>
          <w:rFonts w:ascii="Segoe UI" w:hAnsi="Segoe UI" w:cs="Segoe UI"/>
        </w:rPr>
        <w:t>.</w:t>
      </w:r>
    </w:p>
    <w:p w14:paraId="7B80453D" w14:textId="77777777" w:rsidR="001C4BF2" w:rsidRPr="001C4BF2" w:rsidRDefault="001C4BF2" w:rsidP="00901E1D">
      <w:pPr>
        <w:spacing w:line="240" w:lineRule="auto"/>
        <w:jc w:val="both"/>
        <w:rPr>
          <w:rFonts w:ascii="Segoe UI" w:hAnsi="Segoe UI" w:cs="Segoe UI"/>
        </w:rPr>
      </w:pPr>
    </w:p>
    <w:p w14:paraId="085D80AA" w14:textId="075EF0DA" w:rsidR="001C4BF2" w:rsidRDefault="001C4BF2" w:rsidP="00901E1D">
      <w:pPr>
        <w:spacing w:line="240" w:lineRule="auto"/>
        <w:jc w:val="both"/>
        <w:rPr>
          <w:rFonts w:ascii="Segoe UI" w:hAnsi="Segoe UI" w:cs="Segoe UI"/>
        </w:rPr>
      </w:pPr>
      <w:r w:rsidRPr="001C4BF2">
        <w:rPr>
          <w:rFonts w:ascii="Segoe UI" w:hAnsi="Segoe UI" w:cs="Segoe UI"/>
        </w:rPr>
        <w:t xml:space="preserve">En esa línea, </w:t>
      </w:r>
      <w:proofErr w:type="spellStart"/>
      <w:r w:rsidRPr="001C4BF2">
        <w:rPr>
          <w:rFonts w:ascii="Segoe UI" w:hAnsi="Segoe UI" w:cs="Segoe UI"/>
        </w:rPr>
        <w:t>Knobel</w:t>
      </w:r>
      <w:proofErr w:type="spellEnd"/>
      <w:r w:rsidRPr="001C4BF2">
        <w:rPr>
          <w:rFonts w:ascii="Segoe UI" w:hAnsi="Segoe UI" w:cs="Segoe UI"/>
        </w:rPr>
        <w:t xml:space="preserve"> destacó que tras los buenos resultados empresariales del primer semestre confían en lo que queda de </w:t>
      </w:r>
      <w:r w:rsidRPr="00103893">
        <w:rPr>
          <w:rFonts w:ascii="Segoe UI" w:hAnsi="Segoe UI" w:cs="Segoe UI"/>
        </w:rPr>
        <w:t>año</w:t>
      </w:r>
      <w:r w:rsidR="00403720" w:rsidRPr="00103893">
        <w:rPr>
          <w:rFonts w:ascii="Segoe UI" w:hAnsi="Segoe UI" w:cs="Segoe UI"/>
        </w:rPr>
        <w:t xml:space="preserve">: </w:t>
      </w:r>
      <w:r w:rsidRPr="00103893">
        <w:rPr>
          <w:rFonts w:ascii="Segoe UI" w:hAnsi="Segoe UI" w:cs="Segoe UI"/>
          <w:i/>
          <w:iCs/>
        </w:rPr>
        <w:t>“</w:t>
      </w:r>
      <w:r w:rsidR="00403720" w:rsidRPr="00103893">
        <w:rPr>
          <w:rFonts w:ascii="Segoe UI" w:hAnsi="Segoe UI" w:cs="Segoe UI"/>
          <w:i/>
          <w:iCs/>
        </w:rPr>
        <w:t>A</w:t>
      </w:r>
      <w:r w:rsidRPr="00103893">
        <w:rPr>
          <w:rFonts w:ascii="Segoe UI" w:hAnsi="Segoe UI" w:cs="Segoe UI"/>
          <w:i/>
          <w:iCs/>
        </w:rPr>
        <w:t xml:space="preserve"> mediados de julio elevamos nuestras perspectivas de beneficios para el ejercicio 2024. Estamos cumpliendo nuestros compromisos y vamos por el buen camino para seguir creciendo de forma rentable. Esto también se refleja en el ajuste de nuestra ambición financiera a medio y largo plazo: confiamos en alcanzar los objetivos de ventas y </w:t>
      </w:r>
      <w:r w:rsidR="00403720" w:rsidRPr="00103893">
        <w:rPr>
          <w:rFonts w:ascii="Segoe UI" w:hAnsi="Segoe UI" w:cs="Segoe UI"/>
          <w:i/>
          <w:iCs/>
        </w:rPr>
        <w:t>resultados</w:t>
      </w:r>
      <w:r w:rsidRPr="00103893">
        <w:rPr>
          <w:rFonts w:ascii="Segoe UI" w:hAnsi="Segoe UI" w:cs="Segoe UI"/>
          <w:i/>
          <w:iCs/>
        </w:rPr>
        <w:t xml:space="preserve"> ahora</w:t>
      </w:r>
      <w:r w:rsidRPr="00D22627">
        <w:rPr>
          <w:rFonts w:ascii="Segoe UI" w:hAnsi="Segoe UI" w:cs="Segoe UI"/>
          <w:i/>
          <w:iCs/>
        </w:rPr>
        <w:t xml:space="preserve"> ya a medio plazo”</w:t>
      </w:r>
      <w:r w:rsidR="00403720" w:rsidRPr="00D22627">
        <w:rPr>
          <w:rFonts w:ascii="Segoe UI" w:hAnsi="Segoe UI" w:cs="Segoe UI"/>
          <w:i/>
          <w:iCs/>
        </w:rPr>
        <w:t>.</w:t>
      </w:r>
    </w:p>
    <w:p w14:paraId="6733A04A" w14:textId="77777777" w:rsidR="00403720" w:rsidRDefault="00403720" w:rsidP="00901E1D">
      <w:pPr>
        <w:spacing w:line="240" w:lineRule="auto"/>
        <w:jc w:val="both"/>
        <w:rPr>
          <w:rFonts w:ascii="Segoe UI" w:hAnsi="Segoe UI" w:cs="Segoe UI"/>
        </w:rPr>
      </w:pPr>
    </w:p>
    <w:p w14:paraId="6DECBA0F" w14:textId="77777777" w:rsidR="00403720" w:rsidRPr="00403720" w:rsidRDefault="00403720" w:rsidP="00901E1D">
      <w:pPr>
        <w:spacing w:line="240" w:lineRule="auto"/>
        <w:jc w:val="both"/>
        <w:rPr>
          <w:rFonts w:ascii="Segoe UI" w:hAnsi="Segoe UI" w:cs="Segoe UI"/>
          <w:b/>
          <w:bCs/>
        </w:rPr>
      </w:pPr>
      <w:r w:rsidRPr="00403720">
        <w:rPr>
          <w:rFonts w:ascii="Segoe UI" w:hAnsi="Segoe UI" w:cs="Segoe UI"/>
          <w:b/>
          <w:bCs/>
        </w:rPr>
        <w:t>Perspectivas para el ejercicio 2024</w:t>
      </w:r>
    </w:p>
    <w:p w14:paraId="2DAAC331" w14:textId="77777777" w:rsidR="00403720" w:rsidRPr="00403720" w:rsidRDefault="00403720" w:rsidP="00901E1D">
      <w:pPr>
        <w:spacing w:line="240" w:lineRule="auto"/>
        <w:jc w:val="both"/>
        <w:rPr>
          <w:rFonts w:ascii="Segoe UI" w:hAnsi="Segoe UI" w:cs="Segoe UI"/>
        </w:rPr>
      </w:pPr>
    </w:p>
    <w:p w14:paraId="0967A9BD" w14:textId="59445ED6" w:rsidR="00403720" w:rsidRDefault="00403720" w:rsidP="00901E1D">
      <w:pPr>
        <w:spacing w:line="240" w:lineRule="auto"/>
        <w:jc w:val="both"/>
        <w:rPr>
          <w:rFonts w:ascii="Segoe UI" w:hAnsi="Segoe UI" w:cs="Segoe UI"/>
        </w:rPr>
      </w:pPr>
      <w:r w:rsidRPr="00403720">
        <w:rPr>
          <w:rFonts w:ascii="Segoe UI" w:hAnsi="Segoe UI" w:cs="Segoe UI"/>
        </w:rPr>
        <w:t xml:space="preserve">Las perspectivas para el ejercicio en curso, actualizadas el 3 de mayo de 2024, se elevaron el 17 de julio en lo que respecta al beneficio previsto. Esto se debe principalmente a las mayores expectativas de resultados en la unidad de negocio de </w:t>
      </w:r>
      <w:proofErr w:type="spellStart"/>
      <w:r w:rsidRPr="00403720">
        <w:rPr>
          <w:rFonts w:ascii="Segoe UI" w:hAnsi="Segoe UI" w:cs="Segoe UI"/>
        </w:rPr>
        <w:t>Consumer</w:t>
      </w:r>
      <w:proofErr w:type="spellEnd"/>
      <w:r w:rsidRPr="00403720">
        <w:rPr>
          <w:rFonts w:ascii="Segoe UI" w:hAnsi="Segoe UI" w:cs="Segoe UI"/>
        </w:rPr>
        <w:t xml:space="preserve"> </w:t>
      </w:r>
      <w:proofErr w:type="spellStart"/>
      <w:r w:rsidRPr="00403720">
        <w:rPr>
          <w:rFonts w:ascii="Segoe UI" w:hAnsi="Segoe UI" w:cs="Segoe UI"/>
        </w:rPr>
        <w:t>Brands</w:t>
      </w:r>
      <w:proofErr w:type="spellEnd"/>
      <w:r w:rsidRPr="00403720">
        <w:rPr>
          <w:rFonts w:ascii="Segoe UI" w:hAnsi="Segoe UI" w:cs="Segoe UI"/>
        </w:rPr>
        <w:t>, mientras que, al mismo tiempo, la empresa está aumentando las inversiones en marketing para apoyar las innovaciones. La previsión sigue teniendo en cuenta la expectativa de precios más altos para los materiales directos en la segunda mitad del año.</w:t>
      </w:r>
    </w:p>
    <w:p w14:paraId="1247A9C6" w14:textId="77777777" w:rsidR="00403720" w:rsidRDefault="00403720" w:rsidP="00901E1D">
      <w:pPr>
        <w:spacing w:line="240" w:lineRule="auto"/>
        <w:jc w:val="both"/>
        <w:rPr>
          <w:rFonts w:ascii="Segoe UI" w:hAnsi="Segoe UI" w:cs="Segoe UI"/>
        </w:rPr>
      </w:pPr>
    </w:p>
    <w:p w14:paraId="7243CB76" w14:textId="77777777" w:rsidR="00D22627" w:rsidRDefault="00403720" w:rsidP="00901E1D">
      <w:pPr>
        <w:spacing w:line="240" w:lineRule="auto"/>
        <w:jc w:val="both"/>
        <w:rPr>
          <w:rFonts w:ascii="Segoe UI" w:hAnsi="Segoe UI" w:cs="Segoe UI"/>
        </w:rPr>
      </w:pPr>
      <w:r w:rsidRPr="00403720">
        <w:rPr>
          <w:rFonts w:ascii="Segoe UI" w:hAnsi="Segoe UI" w:cs="Segoe UI"/>
        </w:rPr>
        <w:t xml:space="preserve">A nivel de Grupo, Henkel espera un </w:t>
      </w:r>
      <w:r w:rsidRPr="00A613BF">
        <w:rPr>
          <w:rFonts w:ascii="Segoe UI" w:hAnsi="Segoe UI" w:cs="Segoe UI"/>
          <w:b/>
          <w:bCs/>
        </w:rPr>
        <w:t>crecimiento orgánico de las ventas</w:t>
      </w:r>
      <w:r w:rsidRPr="00403720">
        <w:rPr>
          <w:rFonts w:ascii="Segoe UI" w:hAnsi="Segoe UI" w:cs="Segoe UI"/>
        </w:rPr>
        <w:t xml:space="preserve"> del 2,5% al 4,5% en el ejercicio 2024. Para la unidad de negocio Adhesive Technologies se espera un crecimiento orgánico de las ventas de entre el 2,0% y el 4,0%, y para la unidad de negocio </w:t>
      </w:r>
      <w:proofErr w:type="spellStart"/>
      <w:r w:rsidRPr="00403720">
        <w:rPr>
          <w:rFonts w:ascii="Segoe UI" w:hAnsi="Segoe UI" w:cs="Segoe UI"/>
        </w:rPr>
        <w:t>Consumer</w:t>
      </w:r>
      <w:proofErr w:type="spellEnd"/>
      <w:r w:rsidRPr="00403720">
        <w:rPr>
          <w:rFonts w:ascii="Segoe UI" w:hAnsi="Segoe UI" w:cs="Segoe UI"/>
        </w:rPr>
        <w:t xml:space="preserve"> </w:t>
      </w:r>
      <w:proofErr w:type="spellStart"/>
      <w:r w:rsidRPr="00403720">
        <w:rPr>
          <w:rFonts w:ascii="Segoe UI" w:hAnsi="Segoe UI" w:cs="Segoe UI"/>
        </w:rPr>
        <w:t>Brands</w:t>
      </w:r>
      <w:proofErr w:type="spellEnd"/>
      <w:r w:rsidRPr="00403720">
        <w:rPr>
          <w:rFonts w:ascii="Segoe UI" w:hAnsi="Segoe UI" w:cs="Segoe UI"/>
        </w:rPr>
        <w:t xml:space="preserve"> de entre el 3,0% y el 5,0%. </w:t>
      </w:r>
    </w:p>
    <w:p w14:paraId="39A218CF" w14:textId="77777777" w:rsidR="00D22627" w:rsidRDefault="00D22627" w:rsidP="00901E1D">
      <w:pPr>
        <w:spacing w:line="240" w:lineRule="auto"/>
        <w:jc w:val="both"/>
        <w:rPr>
          <w:rFonts w:ascii="Segoe UI" w:hAnsi="Segoe UI" w:cs="Segoe UI"/>
        </w:rPr>
      </w:pPr>
    </w:p>
    <w:p w14:paraId="201BD37E" w14:textId="2DE15C63" w:rsidR="00403720" w:rsidRPr="001C4BF2" w:rsidRDefault="00403720" w:rsidP="00901E1D">
      <w:pPr>
        <w:spacing w:line="240" w:lineRule="auto"/>
        <w:jc w:val="both"/>
        <w:rPr>
          <w:rFonts w:ascii="Segoe UI" w:hAnsi="Segoe UI" w:cs="Segoe UI"/>
        </w:rPr>
      </w:pPr>
      <w:r w:rsidRPr="00403720">
        <w:rPr>
          <w:rFonts w:ascii="Segoe UI" w:hAnsi="Segoe UI" w:cs="Segoe UI"/>
        </w:rPr>
        <w:t xml:space="preserve">El </w:t>
      </w:r>
      <w:r w:rsidRPr="00403720">
        <w:rPr>
          <w:rFonts w:ascii="Segoe UI" w:hAnsi="Segoe UI" w:cs="Segoe UI"/>
          <w:b/>
          <w:bCs/>
        </w:rPr>
        <w:t>rendimiento ajustado de las ventas</w:t>
      </w:r>
      <w:r w:rsidRPr="00403720">
        <w:rPr>
          <w:rFonts w:ascii="Segoe UI" w:hAnsi="Segoe UI" w:cs="Segoe UI"/>
        </w:rPr>
        <w:t xml:space="preserve"> (margen EBIT), a nivel de Grupo, se espera que se sitúe entre el 13,5% y el 14,5% (anteriormente estuvo entre el 13,0% y el 14,0%). Para </w:t>
      </w:r>
      <w:r w:rsidRPr="00403720">
        <w:rPr>
          <w:rFonts w:ascii="Segoe UI" w:hAnsi="Segoe UI" w:cs="Segoe UI"/>
        </w:rPr>
        <w:lastRenderedPageBreak/>
        <w:t xml:space="preserve">la unidad de negocio Adhesive Technologies, el </w:t>
      </w:r>
      <w:r w:rsidRPr="00103893">
        <w:rPr>
          <w:rFonts w:ascii="Segoe UI" w:hAnsi="Segoe UI" w:cs="Segoe UI"/>
        </w:rPr>
        <w:t xml:space="preserve">rendimiento ajustado de las ventas se espera que se sitúe entre el 16,0% y el 17,0%. Para la unidad de negocio de </w:t>
      </w:r>
      <w:proofErr w:type="spellStart"/>
      <w:r w:rsidRPr="00103893">
        <w:rPr>
          <w:rFonts w:ascii="Segoe UI" w:hAnsi="Segoe UI" w:cs="Segoe UI"/>
        </w:rPr>
        <w:t>Consumer</w:t>
      </w:r>
      <w:proofErr w:type="spellEnd"/>
      <w:r w:rsidRPr="00103893">
        <w:rPr>
          <w:rFonts w:ascii="Segoe UI" w:hAnsi="Segoe UI" w:cs="Segoe UI"/>
        </w:rPr>
        <w:t xml:space="preserve"> </w:t>
      </w:r>
      <w:proofErr w:type="spellStart"/>
      <w:r w:rsidRPr="00103893">
        <w:rPr>
          <w:rFonts w:ascii="Segoe UI" w:hAnsi="Segoe UI" w:cs="Segoe UI"/>
        </w:rPr>
        <w:t>Brands</w:t>
      </w:r>
      <w:proofErr w:type="spellEnd"/>
      <w:r w:rsidRPr="00103893">
        <w:rPr>
          <w:rFonts w:ascii="Segoe UI" w:hAnsi="Segoe UI" w:cs="Segoe UI"/>
        </w:rPr>
        <w:t>, el rendimiento ajustado de las ventas se proyecta ahora entre el 13,0% y el 14,0% (anteriormente entre el 12,0% y el 13,0%). Para el</w:t>
      </w:r>
      <w:r w:rsidRPr="00403720">
        <w:rPr>
          <w:rFonts w:ascii="Segoe UI" w:hAnsi="Segoe UI" w:cs="Segoe UI"/>
        </w:rPr>
        <w:t xml:space="preserve"> desarrollo del </w:t>
      </w:r>
      <w:r w:rsidRPr="00A613BF">
        <w:rPr>
          <w:rFonts w:ascii="Segoe UI" w:hAnsi="Segoe UI" w:cs="Segoe UI"/>
          <w:b/>
          <w:bCs/>
        </w:rPr>
        <w:t>beneficio ajustado por acción preferente</w:t>
      </w:r>
      <w:r w:rsidRPr="00403720">
        <w:rPr>
          <w:rFonts w:ascii="Segoe UI" w:hAnsi="Segoe UI" w:cs="Segoe UI"/>
        </w:rPr>
        <w:t xml:space="preserve"> (EPS) a tipos de cambio constantes, Henkel espera un aumento en el rango del +20,0% al +30,0% (anteriormente del +15,0% al +25,0%)</w:t>
      </w:r>
      <w:r w:rsidR="00A613BF">
        <w:rPr>
          <w:rFonts w:ascii="Segoe UI" w:hAnsi="Segoe UI" w:cs="Segoe UI"/>
        </w:rPr>
        <w:t>.</w:t>
      </w:r>
    </w:p>
    <w:p w14:paraId="17C4E1A3" w14:textId="77777777" w:rsidR="00A613BF" w:rsidRDefault="00A613BF" w:rsidP="00901E1D">
      <w:pPr>
        <w:pStyle w:val="Ttulo2"/>
        <w:keepNext w:val="0"/>
        <w:keepLines w:val="0"/>
        <w:widowControl w:val="0"/>
        <w:spacing w:before="0" w:after="0" w:line="240" w:lineRule="auto"/>
        <w:jc w:val="both"/>
        <w:rPr>
          <w:rFonts w:ascii="Segoe UI" w:eastAsia="Quattrocento Sans" w:hAnsi="Segoe UI" w:cs="Segoe UI"/>
          <w:b/>
          <w:sz w:val="22"/>
          <w:szCs w:val="22"/>
        </w:rPr>
      </w:pPr>
      <w:bookmarkStart w:id="3" w:name="_wp0t0n4san9i" w:colFirst="0" w:colLast="0"/>
      <w:bookmarkStart w:id="4" w:name="_hg7ychcwrm9y" w:colFirst="0" w:colLast="0"/>
      <w:bookmarkStart w:id="5" w:name="_8zz96tftwr6n" w:colFirst="0" w:colLast="0"/>
      <w:bookmarkEnd w:id="3"/>
      <w:bookmarkEnd w:id="4"/>
      <w:bookmarkEnd w:id="5"/>
    </w:p>
    <w:p w14:paraId="6CAA8AB4" w14:textId="26E419F7" w:rsidR="00B823D9" w:rsidRPr="00103893" w:rsidRDefault="005D16A9" w:rsidP="00901E1D">
      <w:pPr>
        <w:pStyle w:val="Ttulo2"/>
        <w:keepNext w:val="0"/>
        <w:keepLines w:val="0"/>
        <w:widowControl w:val="0"/>
        <w:spacing w:before="0" w:after="0" w:line="240" w:lineRule="auto"/>
        <w:jc w:val="both"/>
        <w:rPr>
          <w:rFonts w:ascii="Segoe UI" w:eastAsia="Quattrocento Sans" w:hAnsi="Segoe UI" w:cs="Segoe UI"/>
          <w:b/>
          <w:sz w:val="22"/>
          <w:szCs w:val="22"/>
        </w:rPr>
      </w:pPr>
      <w:r w:rsidRPr="001C4BF2">
        <w:rPr>
          <w:rFonts w:ascii="Segoe UI" w:eastAsia="Quattrocento Sans" w:hAnsi="Segoe UI" w:cs="Segoe UI"/>
          <w:b/>
          <w:sz w:val="22"/>
          <w:szCs w:val="22"/>
        </w:rPr>
        <w:t xml:space="preserve">Evolución </w:t>
      </w:r>
      <w:r w:rsidRPr="00103893">
        <w:rPr>
          <w:rFonts w:ascii="Segoe UI" w:eastAsia="Quattrocento Sans" w:hAnsi="Segoe UI" w:cs="Segoe UI"/>
          <w:b/>
          <w:sz w:val="22"/>
          <w:szCs w:val="22"/>
        </w:rPr>
        <w:t>de las ventas y</w:t>
      </w:r>
      <w:r w:rsidR="00A613BF" w:rsidRPr="00103893">
        <w:rPr>
          <w:rFonts w:ascii="Segoe UI" w:eastAsia="Quattrocento Sans" w:hAnsi="Segoe UI" w:cs="Segoe UI"/>
          <w:b/>
          <w:sz w:val="22"/>
          <w:szCs w:val="22"/>
        </w:rPr>
        <w:t xml:space="preserve"> </w:t>
      </w:r>
      <w:r w:rsidRPr="00103893">
        <w:rPr>
          <w:rFonts w:ascii="Segoe UI" w:eastAsia="Quattrocento Sans" w:hAnsi="Segoe UI" w:cs="Segoe UI"/>
          <w:b/>
          <w:sz w:val="22"/>
          <w:szCs w:val="22"/>
        </w:rPr>
        <w:t>los</w:t>
      </w:r>
      <w:r w:rsidR="00A613BF" w:rsidRPr="00103893">
        <w:rPr>
          <w:rFonts w:ascii="Segoe UI" w:eastAsia="Quattrocento Sans" w:hAnsi="Segoe UI" w:cs="Segoe UI"/>
          <w:b/>
          <w:sz w:val="22"/>
          <w:szCs w:val="22"/>
        </w:rPr>
        <w:t xml:space="preserve"> resultados </w:t>
      </w:r>
      <w:r w:rsidRPr="00103893">
        <w:rPr>
          <w:rFonts w:ascii="Segoe UI" w:eastAsia="Quattrocento Sans" w:hAnsi="Segoe UI" w:cs="Segoe UI"/>
          <w:b/>
          <w:sz w:val="22"/>
          <w:szCs w:val="22"/>
        </w:rPr>
        <w:t>en el primer semestre de 2024</w:t>
      </w:r>
    </w:p>
    <w:p w14:paraId="65981380" w14:textId="77777777" w:rsidR="00B823D9" w:rsidRPr="00103893" w:rsidRDefault="00B823D9" w:rsidP="00901E1D">
      <w:pPr>
        <w:widowControl w:val="0"/>
        <w:spacing w:line="240" w:lineRule="auto"/>
        <w:rPr>
          <w:rFonts w:ascii="Segoe UI" w:eastAsia="Quattrocento Sans" w:hAnsi="Segoe UI" w:cs="Segoe UI"/>
          <w:b/>
          <w:sz w:val="28"/>
          <w:szCs w:val="28"/>
        </w:rPr>
      </w:pPr>
    </w:p>
    <w:p w14:paraId="1630F5F0" w14:textId="77777777"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rPr>
        <w:t xml:space="preserve">En un entorno de mercado persistentemente desafiante, Henkel alcanzó unas </w:t>
      </w:r>
      <w:r w:rsidRPr="00103893">
        <w:rPr>
          <w:rFonts w:ascii="Segoe UI" w:eastAsia="Quattrocento Sans" w:hAnsi="Segoe UI" w:cs="Segoe UI"/>
          <w:b/>
        </w:rPr>
        <w:t xml:space="preserve">ventas del Grupo </w:t>
      </w:r>
      <w:r w:rsidRPr="00103893">
        <w:rPr>
          <w:rFonts w:ascii="Segoe UI" w:eastAsia="Quattrocento Sans" w:hAnsi="Segoe UI" w:cs="Segoe UI"/>
        </w:rPr>
        <w:t>de 10.813 millones de euros en el primer semestre de 2024, lo que equivale a un desarrollo nominal del -1,0%. Después de que el desarrollo nominal de las ventas en los trimestres anteriores se viera negativamente afectado por la desinversión de las actividades comerciales en Rusia,</w:t>
      </w:r>
      <w:r w:rsidRPr="001C4BF2">
        <w:rPr>
          <w:rFonts w:ascii="Segoe UI" w:eastAsia="Quattrocento Sans" w:hAnsi="Segoe UI" w:cs="Segoe UI"/>
        </w:rPr>
        <w:t xml:space="preserve"> Henkel ha podido lograr de nuevo un crecimiento nominal de las ventas en el segundo trimestre de 2024 (en el segundo trimestre: 5.496 millones de euros, +3,4%). Los efectos del tipo de cambio han reducido las ventas en un -1,9% (en el segundo trimestre: +0,2%).</w:t>
      </w:r>
    </w:p>
    <w:p w14:paraId="6F57A2E5" w14:textId="77777777" w:rsidR="00B823D9" w:rsidRPr="001C4BF2" w:rsidRDefault="00B823D9" w:rsidP="00901E1D">
      <w:pPr>
        <w:widowControl w:val="0"/>
        <w:spacing w:line="240" w:lineRule="auto"/>
        <w:ind w:left="181"/>
        <w:jc w:val="both"/>
        <w:rPr>
          <w:rFonts w:ascii="Segoe UI" w:eastAsia="Quattrocento Sans" w:hAnsi="Segoe UI" w:cs="Segoe UI"/>
        </w:rPr>
      </w:pPr>
    </w:p>
    <w:p w14:paraId="10111990" w14:textId="1C8B929B"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Las adquisiciones y desinversiones han reducido las ventas un -2,1% (en el segundo trimestre: +0,3%). Mientras que la desinversión de nuestras actividades en Rusia en abril de 2023 tuvo un impacto negativo, las adquisiciones cerradas recientemente en ambas unidades de negocio - </w:t>
      </w:r>
      <w:proofErr w:type="spellStart"/>
      <w:r w:rsidRPr="001C4BF2">
        <w:rPr>
          <w:rFonts w:ascii="Segoe UI" w:eastAsia="Quattrocento Sans" w:hAnsi="Segoe UI" w:cs="Segoe UI"/>
        </w:rPr>
        <w:t>Seal</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for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Life</w:t>
      </w:r>
      <w:proofErr w:type="spellEnd"/>
      <w:r w:rsidRPr="001C4BF2">
        <w:rPr>
          <w:rFonts w:ascii="Segoe UI" w:eastAsia="Quattrocento Sans" w:hAnsi="Segoe UI" w:cs="Segoe UI"/>
        </w:rPr>
        <w:t xml:space="preserve"> y Vidal Sassoon - han contribuido positivamente. En términos </w:t>
      </w:r>
      <w:r w:rsidRPr="001C4BF2">
        <w:rPr>
          <w:rFonts w:ascii="Segoe UI" w:eastAsia="Quattrocento Sans" w:hAnsi="Segoe UI" w:cs="Segoe UI"/>
          <w:b/>
        </w:rPr>
        <w:t>orgánicos</w:t>
      </w:r>
      <w:r w:rsidR="00492C18">
        <w:rPr>
          <w:rFonts w:ascii="Segoe UI" w:eastAsia="Quattrocento Sans" w:hAnsi="Segoe UI" w:cs="Segoe UI"/>
          <w:b/>
        </w:rPr>
        <w:t xml:space="preserve">, </w:t>
      </w:r>
      <w:r w:rsidRPr="001C4BF2">
        <w:rPr>
          <w:rFonts w:ascii="Segoe UI" w:eastAsia="Quattrocento Sans" w:hAnsi="Segoe UI" w:cs="Segoe UI"/>
        </w:rPr>
        <w:t>es decir, ajustados por el tipo de cambio y las adquisiciones/desinversiones</w:t>
      </w:r>
      <w:r w:rsidR="00492C18">
        <w:rPr>
          <w:rFonts w:ascii="Segoe UI" w:eastAsia="Quattrocento Sans" w:hAnsi="Segoe UI" w:cs="Segoe UI"/>
        </w:rPr>
        <w:t>,</w:t>
      </w:r>
      <w:r w:rsidRPr="001C4BF2">
        <w:rPr>
          <w:rFonts w:ascii="Segoe UI" w:eastAsia="Quattrocento Sans" w:hAnsi="Segoe UI" w:cs="Segoe UI"/>
        </w:rPr>
        <w:t xml:space="preserve"> Henkel ha logrado un buen crecimiento de las ventas del 2,9% (en el segundo trimestre: +2,8%).</w:t>
      </w:r>
    </w:p>
    <w:p w14:paraId="42A46F7F" w14:textId="77777777" w:rsidR="00C95F86" w:rsidRPr="001C4BF2" w:rsidRDefault="00C95F86" w:rsidP="00901E1D">
      <w:pPr>
        <w:widowControl w:val="0"/>
        <w:spacing w:line="240" w:lineRule="auto"/>
        <w:ind w:left="181"/>
        <w:jc w:val="both"/>
        <w:rPr>
          <w:rFonts w:ascii="Segoe UI" w:eastAsia="Quattrocento Sans" w:hAnsi="Segoe UI" w:cs="Segoe UI"/>
        </w:rPr>
      </w:pPr>
    </w:p>
    <w:p w14:paraId="7502A93A" w14:textId="5031CE0C" w:rsidR="00C95F86" w:rsidRPr="00370C14" w:rsidRDefault="00C95F86" w:rsidP="00901E1D">
      <w:pPr>
        <w:widowControl w:val="0"/>
        <w:spacing w:line="240" w:lineRule="auto"/>
        <w:jc w:val="both"/>
        <w:rPr>
          <w:rFonts w:ascii="Segoe UI" w:eastAsia="Quattrocento Sans" w:hAnsi="Segoe UI" w:cs="Segoe UI"/>
        </w:rPr>
      </w:pPr>
      <w:r w:rsidRPr="00370C14">
        <w:rPr>
          <w:rFonts w:ascii="Segoe UI" w:eastAsia="Quattrocento Sans" w:hAnsi="Segoe UI" w:cs="Segoe UI"/>
        </w:rPr>
        <w:t xml:space="preserve">La unidad de negocio </w:t>
      </w:r>
      <w:r w:rsidRPr="00370C14">
        <w:rPr>
          <w:rFonts w:ascii="Segoe UI" w:eastAsia="Quattrocento Sans" w:hAnsi="Segoe UI" w:cs="Segoe UI"/>
          <w:b/>
          <w:bCs/>
        </w:rPr>
        <w:t>Adhesive Technologies</w:t>
      </w:r>
      <w:r w:rsidRPr="00370C14">
        <w:rPr>
          <w:rFonts w:ascii="Segoe UI" w:eastAsia="Quattrocento Sans" w:hAnsi="Segoe UI" w:cs="Segoe UI"/>
        </w:rPr>
        <w:t xml:space="preserve"> ha generado un buen crecimiento orgánico de las ventas del 2,0% en el primer semestre de 2024, impulsado por las áreas de negocio </w:t>
      </w:r>
      <w:proofErr w:type="spellStart"/>
      <w:r w:rsidRPr="00370C14">
        <w:rPr>
          <w:rFonts w:ascii="Segoe UI" w:eastAsia="Quattrocento Sans" w:hAnsi="Segoe UI" w:cs="Segoe UI"/>
        </w:rPr>
        <w:t>Mobility</w:t>
      </w:r>
      <w:proofErr w:type="spellEnd"/>
      <w:r w:rsidRPr="00370C14">
        <w:rPr>
          <w:rFonts w:ascii="Segoe UI" w:eastAsia="Quattrocento Sans" w:hAnsi="Segoe UI" w:cs="Segoe UI"/>
        </w:rPr>
        <w:t xml:space="preserve"> &amp; </w:t>
      </w:r>
      <w:proofErr w:type="spellStart"/>
      <w:r w:rsidRPr="00370C14">
        <w:rPr>
          <w:rFonts w:ascii="Segoe UI" w:eastAsia="Quattrocento Sans" w:hAnsi="Segoe UI" w:cs="Segoe UI"/>
        </w:rPr>
        <w:t>Electronics</w:t>
      </w:r>
      <w:proofErr w:type="spellEnd"/>
      <w:r w:rsidRPr="00370C14">
        <w:rPr>
          <w:rFonts w:ascii="Segoe UI" w:eastAsia="Quattrocento Sans" w:hAnsi="Segoe UI" w:cs="Segoe UI"/>
        </w:rPr>
        <w:t xml:space="preserve">, y </w:t>
      </w:r>
      <w:proofErr w:type="spellStart"/>
      <w:r w:rsidRPr="00370C14">
        <w:rPr>
          <w:rFonts w:ascii="Segoe UI" w:eastAsia="Quattrocento Sans" w:hAnsi="Segoe UI" w:cs="Segoe UI"/>
        </w:rPr>
        <w:t>Craftsmen</w:t>
      </w:r>
      <w:proofErr w:type="spellEnd"/>
      <w:r w:rsidRPr="00370C14">
        <w:rPr>
          <w:rFonts w:ascii="Segoe UI" w:eastAsia="Quattrocento Sans" w:hAnsi="Segoe UI" w:cs="Segoe UI"/>
        </w:rPr>
        <w:t xml:space="preserve">, </w:t>
      </w:r>
      <w:proofErr w:type="spellStart"/>
      <w:r w:rsidRPr="00370C14">
        <w:rPr>
          <w:rFonts w:ascii="Segoe UI" w:eastAsia="Quattrocento Sans" w:hAnsi="Segoe UI" w:cs="Segoe UI"/>
        </w:rPr>
        <w:t>Construction</w:t>
      </w:r>
      <w:proofErr w:type="spellEnd"/>
      <w:r w:rsidRPr="00370C14">
        <w:rPr>
          <w:rFonts w:ascii="Segoe UI" w:eastAsia="Quattrocento Sans" w:hAnsi="Segoe UI" w:cs="Segoe UI"/>
        </w:rPr>
        <w:t xml:space="preserve"> &amp; Professional (en el segundo trimestre: +2,6%). La unidad de negocio de </w:t>
      </w:r>
      <w:proofErr w:type="spellStart"/>
      <w:r w:rsidRPr="00370C14">
        <w:rPr>
          <w:rFonts w:ascii="Segoe UI" w:eastAsia="Quattrocento Sans" w:hAnsi="Segoe UI" w:cs="Segoe UI"/>
          <w:b/>
          <w:bCs/>
        </w:rPr>
        <w:t>Consumer</w:t>
      </w:r>
      <w:proofErr w:type="spellEnd"/>
      <w:r w:rsidRPr="00370C14">
        <w:rPr>
          <w:rFonts w:ascii="Segoe UI" w:eastAsia="Quattrocento Sans" w:hAnsi="Segoe UI" w:cs="Segoe UI"/>
          <w:b/>
          <w:bCs/>
        </w:rPr>
        <w:t xml:space="preserve"> </w:t>
      </w:r>
      <w:proofErr w:type="spellStart"/>
      <w:r w:rsidRPr="00370C14">
        <w:rPr>
          <w:rFonts w:ascii="Segoe UI" w:eastAsia="Quattrocento Sans" w:hAnsi="Segoe UI" w:cs="Segoe UI"/>
          <w:b/>
          <w:bCs/>
        </w:rPr>
        <w:t>Brands</w:t>
      </w:r>
      <w:proofErr w:type="spellEnd"/>
      <w:r w:rsidRPr="00370C14">
        <w:rPr>
          <w:rFonts w:ascii="Segoe UI" w:eastAsia="Quattrocento Sans" w:hAnsi="Segoe UI" w:cs="Segoe UI"/>
        </w:rPr>
        <w:t xml:space="preserve"> ha logrado un fuerte crecimiento orgánico de las ventas del 4,3%, al que han contribuido todas las áreas de negocio (en el segundo trimestre: +3,3%). </w:t>
      </w:r>
    </w:p>
    <w:p w14:paraId="02230D5C" w14:textId="77777777" w:rsidR="00C95F86" w:rsidRPr="00370C14" w:rsidRDefault="00C95F86" w:rsidP="00901E1D">
      <w:pPr>
        <w:widowControl w:val="0"/>
        <w:spacing w:line="240" w:lineRule="auto"/>
        <w:ind w:left="181"/>
        <w:jc w:val="both"/>
        <w:rPr>
          <w:rFonts w:ascii="Segoe UI" w:eastAsia="Quattrocento Sans" w:hAnsi="Segoe UI" w:cs="Segoe UI"/>
        </w:rPr>
      </w:pPr>
    </w:p>
    <w:p w14:paraId="3A667610" w14:textId="72B47DFB" w:rsidR="00C95F86" w:rsidRPr="00370C14" w:rsidRDefault="00C95F86" w:rsidP="00901E1D">
      <w:pPr>
        <w:widowControl w:val="0"/>
        <w:spacing w:line="240" w:lineRule="auto"/>
        <w:jc w:val="both"/>
        <w:rPr>
          <w:rFonts w:ascii="Segoe UI" w:eastAsia="Quattrocento Sans" w:hAnsi="Segoe UI" w:cs="Segoe UI"/>
        </w:rPr>
      </w:pPr>
      <w:r w:rsidRPr="00370C14">
        <w:rPr>
          <w:rFonts w:ascii="Segoe UI" w:eastAsia="Quattrocento Sans" w:hAnsi="Segoe UI" w:cs="Segoe UI"/>
        </w:rPr>
        <w:t xml:space="preserve">El crecimiento de las ventas en ambas unidades de negocio se ha visto impulsado por una evolución positiva de los precios. A nivel de Grupo, la evolución del volumen, que sigue viéndose afectada por las medidas del portafolio en </w:t>
      </w:r>
      <w:proofErr w:type="spellStart"/>
      <w:r w:rsidRPr="00370C14">
        <w:rPr>
          <w:rFonts w:ascii="Segoe UI" w:eastAsia="Quattrocento Sans" w:hAnsi="Segoe UI" w:cs="Segoe UI"/>
        </w:rPr>
        <w:t>Consumer</w:t>
      </w:r>
      <w:proofErr w:type="spellEnd"/>
      <w:r w:rsidRPr="00370C14">
        <w:rPr>
          <w:rFonts w:ascii="Segoe UI" w:eastAsia="Quattrocento Sans" w:hAnsi="Segoe UI" w:cs="Segoe UI"/>
        </w:rPr>
        <w:t xml:space="preserve"> </w:t>
      </w:r>
      <w:proofErr w:type="spellStart"/>
      <w:r w:rsidRPr="00370C14">
        <w:rPr>
          <w:rFonts w:ascii="Segoe UI" w:eastAsia="Quattrocento Sans" w:hAnsi="Segoe UI" w:cs="Segoe UI"/>
        </w:rPr>
        <w:t>Brands</w:t>
      </w:r>
      <w:proofErr w:type="spellEnd"/>
      <w:r w:rsidRPr="00370C14">
        <w:rPr>
          <w:rFonts w:ascii="Segoe UI" w:eastAsia="Quattrocento Sans" w:hAnsi="Segoe UI" w:cs="Segoe UI"/>
        </w:rPr>
        <w:t xml:space="preserve">, se ha mostrado ligeramente positiva, tanto en comparación con el primer semestre de 2023 como con una mejora secuencial respecto al primer trimestre de 2024.  </w:t>
      </w:r>
    </w:p>
    <w:p w14:paraId="4B58543C" w14:textId="77777777" w:rsidR="00C95F86" w:rsidRPr="00370C14" w:rsidRDefault="00C95F86" w:rsidP="00901E1D">
      <w:pPr>
        <w:widowControl w:val="0"/>
        <w:spacing w:line="240" w:lineRule="auto"/>
        <w:ind w:left="181"/>
        <w:jc w:val="both"/>
        <w:rPr>
          <w:rFonts w:ascii="Segoe UI" w:eastAsia="Quattrocento Sans" w:hAnsi="Segoe UI" w:cs="Segoe UI"/>
        </w:rPr>
      </w:pPr>
    </w:p>
    <w:p w14:paraId="7B0E7237" w14:textId="4A3F2BE7" w:rsidR="00B823D9" w:rsidRPr="00103893" w:rsidRDefault="00C95F86" w:rsidP="00901E1D">
      <w:pPr>
        <w:widowControl w:val="0"/>
        <w:spacing w:line="240" w:lineRule="auto"/>
        <w:jc w:val="both"/>
        <w:rPr>
          <w:rFonts w:ascii="Segoe UI" w:eastAsia="Quattrocento Sans" w:hAnsi="Segoe UI" w:cs="Segoe UI"/>
        </w:rPr>
      </w:pPr>
      <w:r w:rsidRPr="00370C14">
        <w:rPr>
          <w:rFonts w:ascii="Segoe UI" w:eastAsia="Quattrocento Sans" w:hAnsi="Segoe UI" w:cs="Segoe UI"/>
        </w:rPr>
        <w:t xml:space="preserve">En el primer semestre del año, el crecimiento orgánico de las ventas en la región de </w:t>
      </w:r>
      <w:r w:rsidRPr="00370C14">
        <w:rPr>
          <w:rFonts w:ascii="Segoe UI" w:eastAsia="Quattrocento Sans" w:hAnsi="Segoe UI" w:cs="Segoe UI"/>
          <w:b/>
          <w:bCs/>
        </w:rPr>
        <w:lastRenderedPageBreak/>
        <w:t xml:space="preserve">Europa </w:t>
      </w:r>
      <w:r w:rsidRPr="00370C14">
        <w:rPr>
          <w:rFonts w:ascii="Segoe UI" w:eastAsia="Quattrocento Sans" w:hAnsi="Segoe UI" w:cs="Segoe UI"/>
        </w:rPr>
        <w:t xml:space="preserve">ha ascendido al 1,8% (en el segundo trimestre: +1,2%). En la región </w:t>
      </w:r>
      <w:r w:rsidRPr="00370C14">
        <w:rPr>
          <w:rFonts w:ascii="Segoe UI" w:eastAsia="Quattrocento Sans" w:hAnsi="Segoe UI" w:cs="Segoe UI"/>
          <w:b/>
          <w:bCs/>
        </w:rPr>
        <w:t>IMEA</w:t>
      </w:r>
      <w:r w:rsidRPr="00370C14">
        <w:rPr>
          <w:rFonts w:ascii="Segoe UI" w:eastAsia="Quattrocento Sans" w:hAnsi="Segoe UI" w:cs="Segoe UI"/>
        </w:rPr>
        <w:t xml:space="preserve">, Henkel ha logrado un importante crecimiento orgánico de las ventas de dos dígitos del 21,0% (en el segundo trimestre: +13,7%). La región de </w:t>
      </w:r>
      <w:r w:rsidRPr="00370C14">
        <w:rPr>
          <w:rFonts w:ascii="Segoe UI" w:eastAsia="Quattrocento Sans" w:hAnsi="Segoe UI" w:cs="Segoe UI"/>
          <w:b/>
          <w:bCs/>
        </w:rPr>
        <w:t>Norteamérica</w:t>
      </w:r>
      <w:r w:rsidRPr="00370C14">
        <w:rPr>
          <w:rFonts w:ascii="Segoe UI" w:eastAsia="Quattrocento Sans" w:hAnsi="Segoe UI" w:cs="Segoe UI"/>
        </w:rPr>
        <w:t xml:space="preserve"> ha registrado un crecimiento orgánico de las ventas del -1,6% (en el segundo trimestre: -0,2%). La región de </w:t>
      </w:r>
      <w:r w:rsidRPr="00370C14">
        <w:rPr>
          <w:rFonts w:ascii="Segoe UI" w:eastAsia="Quattrocento Sans" w:hAnsi="Segoe UI" w:cs="Segoe UI"/>
          <w:b/>
          <w:bCs/>
        </w:rPr>
        <w:t>Latinoamérica</w:t>
      </w:r>
      <w:r w:rsidRPr="00370C14">
        <w:rPr>
          <w:rFonts w:ascii="Segoe UI" w:eastAsia="Quattrocento Sans" w:hAnsi="Segoe UI" w:cs="Segoe UI"/>
        </w:rPr>
        <w:t xml:space="preserve"> ha registrado un desarrollo orgánico de las ventas del 0,0% (en el segundo trimestre: +2,7%). La región </w:t>
      </w:r>
      <w:r w:rsidRPr="00370C14">
        <w:rPr>
          <w:rFonts w:ascii="Segoe UI" w:eastAsia="Quattrocento Sans" w:hAnsi="Segoe UI" w:cs="Segoe UI"/>
          <w:b/>
          <w:bCs/>
        </w:rPr>
        <w:t>Asia/Pacífico</w:t>
      </w:r>
      <w:r w:rsidRPr="00370C14">
        <w:rPr>
          <w:rFonts w:ascii="Segoe UI" w:eastAsia="Quattrocento Sans" w:hAnsi="Segoe UI" w:cs="Segoe UI"/>
        </w:rPr>
        <w:t xml:space="preserve"> ha registrado un crecimiento </w:t>
      </w:r>
      <w:r w:rsidRPr="00103893">
        <w:rPr>
          <w:rFonts w:ascii="Segoe UI" w:eastAsia="Quattrocento Sans" w:hAnsi="Segoe UI" w:cs="Segoe UI"/>
        </w:rPr>
        <w:t>orgánico de las ventas del 5,5% (en el segundo trimestre: +7,5%).</w:t>
      </w:r>
    </w:p>
    <w:p w14:paraId="6DFCD634" w14:textId="77777777" w:rsidR="00B823D9" w:rsidRPr="00103893" w:rsidRDefault="00B823D9" w:rsidP="00901E1D">
      <w:pPr>
        <w:widowControl w:val="0"/>
        <w:spacing w:line="240" w:lineRule="auto"/>
        <w:ind w:left="181"/>
        <w:jc w:val="both"/>
        <w:rPr>
          <w:rFonts w:ascii="Segoe UI" w:eastAsia="Quattrocento Sans" w:hAnsi="Segoe UI" w:cs="Segoe UI"/>
        </w:rPr>
      </w:pPr>
    </w:p>
    <w:p w14:paraId="17B2759D" w14:textId="0CD0B629" w:rsidR="00B823D9" w:rsidRPr="00103893"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 xml:space="preserve">El </w:t>
      </w:r>
      <w:r w:rsidR="00492C18" w:rsidRPr="00103893">
        <w:rPr>
          <w:rFonts w:ascii="Segoe UI" w:eastAsia="Quattrocento Sans" w:hAnsi="Segoe UI" w:cs="Segoe UI"/>
          <w:b/>
        </w:rPr>
        <w:t>resultado</w:t>
      </w:r>
      <w:r w:rsidRPr="00103893">
        <w:rPr>
          <w:rFonts w:ascii="Segoe UI" w:eastAsia="Quattrocento Sans" w:hAnsi="Segoe UI" w:cs="Segoe UI"/>
          <w:b/>
        </w:rPr>
        <w:t xml:space="preserve"> operativo ajustado (EBIT ajustado)</w:t>
      </w:r>
      <w:r w:rsidR="00492C18" w:rsidRPr="00103893">
        <w:rPr>
          <w:rFonts w:ascii="Segoe UI" w:eastAsia="Quattrocento Sans" w:hAnsi="Segoe UI" w:cs="Segoe UI"/>
          <w:b/>
        </w:rPr>
        <w:t>,</w:t>
      </w:r>
      <w:r w:rsidRPr="00103893">
        <w:rPr>
          <w:rFonts w:ascii="Segoe UI" w:eastAsia="Quattrocento Sans" w:hAnsi="Segoe UI" w:cs="Segoe UI"/>
        </w:rPr>
        <w:t xml:space="preserve"> aumentó significativamente en el primer semestre de 202</w:t>
      </w:r>
      <w:r w:rsidR="0027678C" w:rsidRPr="00103893">
        <w:rPr>
          <w:rFonts w:ascii="Segoe UI" w:eastAsia="Quattrocento Sans" w:hAnsi="Segoe UI" w:cs="Segoe UI"/>
        </w:rPr>
        <w:t>3</w:t>
      </w:r>
      <w:r w:rsidRPr="00103893">
        <w:rPr>
          <w:rFonts w:ascii="Segoe UI" w:eastAsia="Quattrocento Sans" w:hAnsi="Segoe UI" w:cs="Segoe UI"/>
        </w:rPr>
        <w:t xml:space="preserve">, pasando de 1.254 millones de euros a 1.610 millones de euros (+28,4%), como resultado del fuerte crecimiento del margen bruto. </w:t>
      </w:r>
    </w:p>
    <w:p w14:paraId="3456D117" w14:textId="77777777" w:rsidR="00B823D9" w:rsidRPr="00103893" w:rsidRDefault="00B823D9" w:rsidP="00901E1D">
      <w:pPr>
        <w:widowControl w:val="0"/>
        <w:spacing w:line="240" w:lineRule="auto"/>
        <w:rPr>
          <w:rFonts w:ascii="Segoe UI" w:eastAsia="Quattrocento Sans" w:hAnsi="Segoe UI" w:cs="Segoe UI"/>
          <w:sz w:val="25"/>
          <w:szCs w:val="25"/>
        </w:rPr>
      </w:pPr>
    </w:p>
    <w:p w14:paraId="01A03D05" w14:textId="474370ED" w:rsidR="00B823D9" w:rsidRPr="001C4BF2" w:rsidRDefault="0089484B"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El</w:t>
      </w:r>
      <w:r w:rsidR="005D16A9" w:rsidRPr="00103893">
        <w:rPr>
          <w:rFonts w:ascii="Segoe UI" w:eastAsia="Quattrocento Sans" w:hAnsi="Segoe UI" w:cs="Segoe UI"/>
          <w:b/>
        </w:rPr>
        <w:t xml:space="preserve"> ren</w:t>
      </w:r>
      <w:r w:rsidRPr="00103893">
        <w:rPr>
          <w:rFonts w:ascii="Segoe UI" w:eastAsia="Quattrocento Sans" w:hAnsi="Segoe UI" w:cs="Segoe UI"/>
          <w:b/>
        </w:rPr>
        <w:t>dimiento</w:t>
      </w:r>
      <w:r w:rsidR="005D16A9" w:rsidRPr="00103893">
        <w:rPr>
          <w:rFonts w:ascii="Segoe UI" w:eastAsia="Quattrocento Sans" w:hAnsi="Segoe UI" w:cs="Segoe UI"/>
          <w:b/>
        </w:rPr>
        <w:t xml:space="preserve"> ajustad</w:t>
      </w:r>
      <w:r w:rsidRPr="00103893">
        <w:rPr>
          <w:rFonts w:ascii="Segoe UI" w:eastAsia="Quattrocento Sans" w:hAnsi="Segoe UI" w:cs="Segoe UI"/>
          <w:b/>
        </w:rPr>
        <w:t>o</w:t>
      </w:r>
      <w:r w:rsidR="005D16A9" w:rsidRPr="00103893">
        <w:rPr>
          <w:rFonts w:ascii="Segoe UI" w:eastAsia="Quattrocento Sans" w:hAnsi="Segoe UI" w:cs="Segoe UI"/>
          <w:b/>
        </w:rPr>
        <w:t xml:space="preserve"> de</w:t>
      </w:r>
      <w:r w:rsidR="005D16A9" w:rsidRPr="001C4BF2">
        <w:rPr>
          <w:rFonts w:ascii="Segoe UI" w:eastAsia="Quattrocento Sans" w:hAnsi="Segoe UI" w:cs="Segoe UI"/>
          <w:b/>
        </w:rPr>
        <w:t xml:space="preserve"> las ventas (margen EBIT ajustado) </w:t>
      </w:r>
      <w:r w:rsidR="005D16A9" w:rsidRPr="001C4BF2">
        <w:rPr>
          <w:rFonts w:ascii="Segoe UI" w:eastAsia="Quattrocento Sans" w:hAnsi="Segoe UI" w:cs="Segoe UI"/>
        </w:rPr>
        <w:t>del Grupo Henkel ha registrado en consecuencia un fuerte aumento de 340 puntos básicos, pasando del 11,5% al 14,9%.</w:t>
      </w:r>
    </w:p>
    <w:p w14:paraId="7B519E3D" w14:textId="77777777" w:rsidR="00B823D9" w:rsidRPr="001C4BF2" w:rsidRDefault="00B823D9" w:rsidP="00901E1D">
      <w:pPr>
        <w:widowControl w:val="0"/>
        <w:spacing w:line="240" w:lineRule="auto"/>
        <w:rPr>
          <w:rFonts w:ascii="Segoe UI" w:eastAsia="Quattrocento Sans" w:hAnsi="Segoe UI" w:cs="Segoe UI"/>
          <w:sz w:val="24"/>
          <w:szCs w:val="24"/>
        </w:rPr>
      </w:pPr>
    </w:p>
    <w:p w14:paraId="05307790" w14:textId="326FD3FF" w:rsidR="00B823D9" w:rsidRPr="00103893" w:rsidRDefault="005D16A9" w:rsidP="00901E1D">
      <w:pPr>
        <w:widowControl w:val="0"/>
        <w:spacing w:line="240" w:lineRule="auto"/>
        <w:jc w:val="both"/>
        <w:rPr>
          <w:rFonts w:ascii="Segoe UI" w:eastAsia="Quattrocento Sans" w:hAnsi="Segoe UI" w:cs="Segoe UI"/>
        </w:rPr>
      </w:pPr>
      <w:r w:rsidRPr="0089484B">
        <w:rPr>
          <w:rFonts w:ascii="Segoe UI" w:eastAsia="Quattrocento Sans" w:hAnsi="Segoe UI" w:cs="Segoe UI"/>
          <w:b/>
        </w:rPr>
        <w:t>El beneficio</w:t>
      </w:r>
      <w:r w:rsidRPr="001C4BF2">
        <w:rPr>
          <w:rFonts w:ascii="Segoe UI" w:eastAsia="Quattrocento Sans" w:hAnsi="Segoe UI" w:cs="Segoe UI"/>
          <w:b/>
        </w:rPr>
        <w:t xml:space="preserve"> por acción preferente </w:t>
      </w:r>
      <w:r w:rsidRPr="001C4BF2">
        <w:rPr>
          <w:rFonts w:ascii="Segoe UI" w:eastAsia="Quattrocento Sans" w:hAnsi="Segoe UI" w:cs="Segoe UI"/>
        </w:rPr>
        <w:t xml:space="preserve">ha aumentado significativamente hasta los 2,46 euros (en el año anterior: 1,35 euros). El </w:t>
      </w:r>
      <w:r w:rsidRPr="0089484B">
        <w:rPr>
          <w:rFonts w:ascii="Segoe UI" w:eastAsia="Quattrocento Sans" w:hAnsi="Segoe UI" w:cs="Segoe UI"/>
        </w:rPr>
        <w:t>beneficio ajustado</w:t>
      </w:r>
      <w:r w:rsidRPr="001C4BF2">
        <w:rPr>
          <w:rFonts w:ascii="Segoe UI" w:eastAsia="Quattrocento Sans" w:hAnsi="Segoe UI" w:cs="Segoe UI"/>
        </w:rPr>
        <w:t xml:space="preserve"> por acción preferente ha crecido un 30,5% </w:t>
      </w:r>
      <w:r w:rsidRPr="00103893">
        <w:rPr>
          <w:rFonts w:ascii="Segoe UI" w:eastAsia="Quattrocento Sans" w:hAnsi="Segoe UI" w:cs="Segoe UI"/>
        </w:rPr>
        <w:t xml:space="preserve">hasta los 2,78 euros, frente a los 2,13 euros del ejercicio anterior. Este aumento sustancial se ha debido principalmente al incremento del </w:t>
      </w:r>
      <w:r w:rsidR="0089484B" w:rsidRPr="00103893">
        <w:rPr>
          <w:rFonts w:ascii="Segoe UI" w:eastAsia="Quattrocento Sans" w:hAnsi="Segoe UI" w:cs="Segoe UI"/>
        </w:rPr>
        <w:t xml:space="preserve">resultado operativo </w:t>
      </w:r>
      <w:r w:rsidRPr="00103893">
        <w:rPr>
          <w:rFonts w:ascii="Segoe UI" w:eastAsia="Quattrocento Sans" w:hAnsi="Segoe UI" w:cs="Segoe UI"/>
        </w:rPr>
        <w:t>ajustado. A tipos de cambio constantes, el beneficio ajustado por acción preferente ha aumentado un 32,9%.</w:t>
      </w:r>
    </w:p>
    <w:p w14:paraId="2F676F75" w14:textId="77777777" w:rsidR="00B823D9" w:rsidRPr="00103893" w:rsidRDefault="00B823D9" w:rsidP="00901E1D">
      <w:pPr>
        <w:widowControl w:val="0"/>
        <w:spacing w:line="240" w:lineRule="auto"/>
        <w:rPr>
          <w:rFonts w:ascii="Segoe UI" w:eastAsia="Quattrocento Sans" w:hAnsi="Segoe UI" w:cs="Segoe UI"/>
          <w:sz w:val="25"/>
          <w:szCs w:val="25"/>
        </w:rPr>
      </w:pPr>
    </w:p>
    <w:p w14:paraId="2E2BB26C" w14:textId="77777777" w:rsidR="00B823D9" w:rsidRPr="00103893"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 xml:space="preserve">El capital circulante neto </w:t>
      </w:r>
      <w:r w:rsidRPr="00103893">
        <w:rPr>
          <w:rFonts w:ascii="Segoe UI" w:eastAsia="Quattrocento Sans" w:hAnsi="Segoe UI" w:cs="Segoe UI"/>
        </w:rPr>
        <w:t>ha disminuido 0,9 puntos porcentuales con respecto al ejercicio anterior, pasando del 6,1% al 5,2%.</w:t>
      </w:r>
    </w:p>
    <w:p w14:paraId="5D68A7AF" w14:textId="77777777" w:rsidR="00B823D9" w:rsidRPr="00103893" w:rsidRDefault="00B823D9" w:rsidP="00901E1D">
      <w:pPr>
        <w:widowControl w:val="0"/>
        <w:spacing w:line="240" w:lineRule="auto"/>
        <w:rPr>
          <w:rFonts w:ascii="Segoe UI" w:eastAsia="Quattrocento Sans" w:hAnsi="Segoe UI" w:cs="Segoe UI"/>
          <w:sz w:val="25"/>
          <w:szCs w:val="25"/>
        </w:rPr>
      </w:pPr>
    </w:p>
    <w:p w14:paraId="12F5C53C" w14:textId="3E5A20C6"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b/>
        </w:rPr>
        <w:t xml:space="preserve">El flujo de </w:t>
      </w:r>
      <w:proofErr w:type="spellStart"/>
      <w:r w:rsidR="0089484B" w:rsidRPr="00103893">
        <w:rPr>
          <w:rFonts w:ascii="Segoe UI" w:eastAsia="Quattrocento Sans" w:hAnsi="Segoe UI" w:cs="Segoe UI"/>
          <w:b/>
        </w:rPr>
        <w:t>efecivo</w:t>
      </w:r>
      <w:proofErr w:type="spellEnd"/>
      <w:r w:rsidRPr="00103893">
        <w:rPr>
          <w:rFonts w:ascii="Segoe UI" w:eastAsia="Quattrocento Sans" w:hAnsi="Segoe UI" w:cs="Segoe UI"/>
          <w:b/>
        </w:rPr>
        <w:t xml:space="preserve"> </w:t>
      </w:r>
      <w:r w:rsidRPr="00103893">
        <w:rPr>
          <w:rFonts w:ascii="Segoe UI" w:eastAsia="Quattrocento Sans" w:hAnsi="Segoe UI" w:cs="Segoe UI"/>
        </w:rPr>
        <w:t xml:space="preserve">ha alcanzado los 772 millones de euros y, por tanto, ha sido superior al del primer semestre de 2023 (749 millones de euros). Esto se debe principalmente al mayor flujo de </w:t>
      </w:r>
      <w:r w:rsidR="0089484B" w:rsidRPr="00103893">
        <w:rPr>
          <w:rFonts w:ascii="Segoe UI" w:eastAsia="Quattrocento Sans" w:hAnsi="Segoe UI" w:cs="Segoe UI"/>
        </w:rPr>
        <w:t>efectivo</w:t>
      </w:r>
      <w:r w:rsidRPr="00103893">
        <w:rPr>
          <w:rFonts w:ascii="Segoe UI" w:eastAsia="Quattrocento Sans" w:hAnsi="Segoe UI" w:cs="Segoe UI"/>
        </w:rPr>
        <w:t xml:space="preserve"> de las actividades</w:t>
      </w:r>
      <w:r w:rsidRPr="001C4BF2">
        <w:rPr>
          <w:rFonts w:ascii="Segoe UI" w:eastAsia="Quattrocento Sans" w:hAnsi="Segoe UI" w:cs="Segoe UI"/>
        </w:rPr>
        <w:t xml:space="preserve"> de explotación.</w:t>
      </w:r>
    </w:p>
    <w:p w14:paraId="799C4E68" w14:textId="77777777" w:rsidR="00B823D9" w:rsidRPr="001C4BF2" w:rsidRDefault="00B823D9" w:rsidP="00901E1D">
      <w:pPr>
        <w:widowControl w:val="0"/>
        <w:spacing w:line="240" w:lineRule="auto"/>
        <w:rPr>
          <w:rFonts w:ascii="Segoe UI" w:eastAsia="Quattrocento Sans" w:hAnsi="Segoe UI" w:cs="Segoe UI"/>
          <w:sz w:val="25"/>
          <w:szCs w:val="25"/>
        </w:rPr>
      </w:pPr>
    </w:p>
    <w:p w14:paraId="7C78F426"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A 30 de junio de 2024, la </w:t>
      </w:r>
      <w:r w:rsidRPr="001C4BF2">
        <w:rPr>
          <w:rFonts w:ascii="Segoe UI" w:eastAsia="Quattrocento Sans" w:hAnsi="Segoe UI" w:cs="Segoe UI"/>
          <w:b/>
        </w:rPr>
        <w:t xml:space="preserve">posición financiera neta </w:t>
      </w:r>
      <w:r w:rsidRPr="001C4BF2">
        <w:rPr>
          <w:rFonts w:ascii="Segoe UI" w:eastAsia="Quattrocento Sans" w:hAnsi="Segoe UI" w:cs="Segoe UI"/>
        </w:rPr>
        <w:t>ascendía a -1.440 millones de euros (31 de diciembre de 2023: 12 millones de euros).</w:t>
      </w:r>
    </w:p>
    <w:p w14:paraId="473B461F" w14:textId="77777777" w:rsidR="00B823D9" w:rsidRPr="001C4BF2" w:rsidRDefault="00B823D9" w:rsidP="00901E1D">
      <w:pPr>
        <w:widowControl w:val="0"/>
        <w:spacing w:line="240" w:lineRule="auto"/>
        <w:rPr>
          <w:rFonts w:ascii="Segoe UI" w:eastAsia="Quattrocento Sans" w:hAnsi="Segoe UI" w:cs="Segoe UI"/>
          <w:sz w:val="25"/>
          <w:szCs w:val="25"/>
        </w:rPr>
      </w:pPr>
    </w:p>
    <w:p w14:paraId="47FDF7E4" w14:textId="77777777" w:rsidR="00B823D9" w:rsidRPr="001C4BF2" w:rsidRDefault="005D16A9" w:rsidP="00901E1D">
      <w:pPr>
        <w:pStyle w:val="Ttulo2"/>
        <w:keepNext w:val="0"/>
        <w:keepLines w:val="0"/>
        <w:widowControl w:val="0"/>
        <w:spacing w:before="0" w:after="0" w:line="240" w:lineRule="auto"/>
        <w:jc w:val="both"/>
        <w:rPr>
          <w:rFonts w:ascii="Segoe UI" w:eastAsia="Quattrocento Sans" w:hAnsi="Segoe UI" w:cs="Segoe UI"/>
          <w:b/>
          <w:sz w:val="22"/>
          <w:szCs w:val="22"/>
        </w:rPr>
      </w:pPr>
      <w:bookmarkStart w:id="6" w:name="_65u1ygzhdneq" w:colFirst="0" w:colLast="0"/>
      <w:bookmarkEnd w:id="6"/>
      <w:r w:rsidRPr="001C4BF2">
        <w:rPr>
          <w:rFonts w:ascii="Segoe UI" w:eastAsia="Quattrocento Sans" w:hAnsi="Segoe UI" w:cs="Segoe UI"/>
          <w:b/>
          <w:sz w:val="22"/>
          <w:szCs w:val="22"/>
        </w:rPr>
        <w:t>Desarrollo de las unidades de negocio en el primer semestre de 2024</w:t>
      </w:r>
    </w:p>
    <w:p w14:paraId="751BBD7E" w14:textId="77777777" w:rsidR="00B823D9" w:rsidRPr="001C4BF2" w:rsidRDefault="00B823D9" w:rsidP="00901E1D">
      <w:pPr>
        <w:widowControl w:val="0"/>
        <w:spacing w:line="240" w:lineRule="auto"/>
        <w:rPr>
          <w:rFonts w:ascii="Segoe UI" w:eastAsia="Quattrocento Sans" w:hAnsi="Segoe UI" w:cs="Segoe UI"/>
          <w:b/>
          <w:sz w:val="28"/>
          <w:szCs w:val="28"/>
        </w:rPr>
      </w:pPr>
    </w:p>
    <w:p w14:paraId="4441788B"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 unidad de negocio </w:t>
      </w:r>
      <w:r w:rsidRPr="001C4BF2">
        <w:rPr>
          <w:rFonts w:ascii="Segoe UI" w:eastAsia="Quattrocento Sans" w:hAnsi="Segoe UI" w:cs="Segoe UI"/>
          <w:b/>
        </w:rPr>
        <w:t xml:space="preserve">Adhesive Technologies </w:t>
      </w:r>
      <w:r w:rsidRPr="001C4BF2">
        <w:rPr>
          <w:rFonts w:ascii="Segoe UI" w:eastAsia="Quattrocento Sans" w:hAnsi="Segoe UI" w:cs="Segoe UI"/>
        </w:rPr>
        <w:t xml:space="preserve">ha generado unas </w:t>
      </w:r>
      <w:r w:rsidRPr="001C4BF2">
        <w:rPr>
          <w:rFonts w:ascii="Segoe UI" w:eastAsia="Quattrocento Sans" w:hAnsi="Segoe UI" w:cs="Segoe UI"/>
          <w:b/>
        </w:rPr>
        <w:t xml:space="preserve">ventas </w:t>
      </w:r>
      <w:r w:rsidRPr="001C4BF2">
        <w:rPr>
          <w:rFonts w:ascii="Segoe UI" w:eastAsia="Quattrocento Sans" w:hAnsi="Segoe UI" w:cs="Segoe UI"/>
        </w:rPr>
        <w:t xml:space="preserve">de 5.475 millones de euros en el primer semestre de 2024, cifra nominalmente igual a la del periodo del año anterior (en el segundo trimestre: 2.798 millones de euros). </w:t>
      </w:r>
      <w:r w:rsidRPr="001C4BF2">
        <w:rPr>
          <w:rFonts w:ascii="Segoe UI" w:eastAsia="Quattrocento Sans" w:hAnsi="Segoe UI" w:cs="Segoe UI"/>
          <w:b/>
        </w:rPr>
        <w:t>Orgánicamente</w:t>
      </w:r>
      <w:r w:rsidRPr="001C4BF2">
        <w:rPr>
          <w:rFonts w:ascii="Segoe UI" w:eastAsia="Quattrocento Sans" w:hAnsi="Segoe UI" w:cs="Segoe UI"/>
        </w:rPr>
        <w:t xml:space="preserve">, las ventas han aumentado un 2,0% (en el segundo trimestre: 2,6%). Esta </w:t>
      </w:r>
      <w:r w:rsidRPr="001C4BF2">
        <w:rPr>
          <w:rFonts w:ascii="Segoe UI" w:eastAsia="Quattrocento Sans" w:hAnsi="Segoe UI" w:cs="Segoe UI"/>
        </w:rPr>
        <w:lastRenderedPageBreak/>
        <w:t>evolución se ha visto impulsada por un componente de precios del +0,2% y un crecimiento del volumen del 1,8%. Así, la unidad de negocio ha mostrado una mejora secuencial en el desarrollo del volumen en el segundo trimestre en comparación con el primer trimestre de 2024.</w:t>
      </w:r>
    </w:p>
    <w:p w14:paraId="1EBA4A62" w14:textId="77777777" w:rsidR="00B823D9" w:rsidRPr="001C4BF2" w:rsidRDefault="00B823D9" w:rsidP="00901E1D">
      <w:pPr>
        <w:widowControl w:val="0"/>
        <w:spacing w:line="240" w:lineRule="auto"/>
        <w:ind w:left="181"/>
        <w:jc w:val="both"/>
        <w:rPr>
          <w:rFonts w:ascii="Segoe UI" w:eastAsia="Quattrocento Sans" w:hAnsi="Segoe UI" w:cs="Segoe UI"/>
        </w:rPr>
      </w:pPr>
    </w:p>
    <w:p w14:paraId="6BC45BEE"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El área de negocio de </w:t>
      </w:r>
      <w:proofErr w:type="spellStart"/>
      <w:r w:rsidRPr="001C4BF2">
        <w:rPr>
          <w:rFonts w:ascii="Segoe UI" w:eastAsia="Quattrocento Sans" w:hAnsi="Segoe UI" w:cs="Segoe UI"/>
          <w:b/>
        </w:rPr>
        <w:t>Mobility</w:t>
      </w:r>
      <w:proofErr w:type="spellEnd"/>
      <w:r w:rsidRPr="001C4BF2">
        <w:rPr>
          <w:rFonts w:ascii="Segoe UI" w:eastAsia="Quattrocento Sans" w:hAnsi="Segoe UI" w:cs="Segoe UI"/>
          <w:b/>
        </w:rPr>
        <w:t xml:space="preserve"> &amp; </w:t>
      </w:r>
      <w:proofErr w:type="spellStart"/>
      <w:r w:rsidRPr="001C4BF2">
        <w:rPr>
          <w:rFonts w:ascii="Segoe UI" w:eastAsia="Quattrocento Sans" w:hAnsi="Segoe UI" w:cs="Segoe UI"/>
          <w:b/>
        </w:rPr>
        <w:t>Electronics</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logrado un fuerte aumento orgánico de las ventas del 5,3% (en el segundo trimestre: +6,8%). Este crecimiento se ha apoyado en todos los negocios y, en particular, en el de Electronic, que ha registrado un aumento orgánico de las ventas de dos dígitos frente al débil periodo del año anterior. El área de negocio de </w:t>
      </w:r>
      <w:proofErr w:type="spellStart"/>
      <w:r w:rsidRPr="001C4BF2">
        <w:rPr>
          <w:rFonts w:ascii="Segoe UI" w:eastAsia="Quattrocento Sans" w:hAnsi="Segoe UI" w:cs="Segoe UI"/>
          <w:b/>
        </w:rPr>
        <w:t>Packaging</w:t>
      </w:r>
      <w:proofErr w:type="spellEnd"/>
      <w:r w:rsidRPr="001C4BF2">
        <w:rPr>
          <w:rFonts w:ascii="Segoe UI" w:eastAsia="Quattrocento Sans" w:hAnsi="Segoe UI" w:cs="Segoe UI"/>
          <w:b/>
        </w:rPr>
        <w:t xml:space="preserve"> &amp;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Goods</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registrado una evolución orgánica de las ventas del -0,6% (en el segundo trimestre: -1,0%). En el negocio de </w:t>
      </w:r>
      <w:proofErr w:type="spellStart"/>
      <w:r w:rsidRPr="001C4BF2">
        <w:rPr>
          <w:rFonts w:ascii="Segoe UI" w:eastAsia="Quattrocento Sans" w:hAnsi="Segoe UI" w:cs="Segoe UI"/>
        </w:rPr>
        <w:t>Packaging</w:t>
      </w:r>
      <w:proofErr w:type="spellEnd"/>
      <w:r w:rsidRPr="001C4BF2">
        <w:rPr>
          <w:rFonts w:ascii="Segoe UI" w:eastAsia="Quattrocento Sans" w:hAnsi="Segoe UI" w:cs="Segoe UI"/>
        </w:rPr>
        <w:t xml:space="preserve">, el aumento del volumen ha compensado la evolución negativa de los precios. En conjunto, el negocio de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Goods</w:t>
      </w:r>
      <w:proofErr w:type="spellEnd"/>
      <w:r w:rsidRPr="001C4BF2">
        <w:rPr>
          <w:rFonts w:ascii="Segoe UI" w:eastAsia="Quattrocento Sans" w:hAnsi="Segoe UI" w:cs="Segoe UI"/>
        </w:rPr>
        <w:t xml:space="preserve"> ha registrado un ligero descenso en comparación con el fuerte periodo del año anterior. El área de negocio de </w:t>
      </w:r>
      <w:proofErr w:type="spellStart"/>
      <w:r w:rsidRPr="001C4BF2">
        <w:rPr>
          <w:rFonts w:ascii="Segoe UI" w:eastAsia="Quattrocento Sans" w:hAnsi="Segoe UI" w:cs="Segoe UI"/>
          <w:b/>
        </w:rPr>
        <w:t>Craftsmen</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Construction</w:t>
      </w:r>
      <w:proofErr w:type="spellEnd"/>
      <w:r w:rsidRPr="001C4BF2">
        <w:rPr>
          <w:rFonts w:ascii="Segoe UI" w:eastAsia="Quattrocento Sans" w:hAnsi="Segoe UI" w:cs="Segoe UI"/>
          <w:b/>
        </w:rPr>
        <w:t xml:space="preserve"> &amp; Professional </w:t>
      </w:r>
      <w:r w:rsidRPr="001C4BF2">
        <w:rPr>
          <w:rFonts w:ascii="Segoe UI" w:eastAsia="Quattrocento Sans" w:hAnsi="Segoe UI" w:cs="Segoe UI"/>
        </w:rPr>
        <w:t xml:space="preserve">ha generado un crecimiento orgánico de las ventas del 1,0% (en el segundo trimestre: +1,7%), al que han contribuido los negocios de </w:t>
      </w:r>
      <w:proofErr w:type="spellStart"/>
      <w:r w:rsidRPr="001C4BF2">
        <w:rPr>
          <w:rFonts w:ascii="Segoe UI" w:eastAsia="Quattrocento Sans" w:hAnsi="Segoe UI" w:cs="Segoe UI"/>
        </w:rPr>
        <w:t>Construction</w:t>
      </w:r>
      <w:proofErr w:type="spellEnd"/>
      <w:r w:rsidRPr="001C4BF2">
        <w:rPr>
          <w:rFonts w:ascii="Segoe UI" w:eastAsia="Quattrocento Sans" w:hAnsi="Segoe UI" w:cs="Segoe UI"/>
        </w:rPr>
        <w:t xml:space="preserve"> and </w:t>
      </w:r>
      <w:proofErr w:type="spellStart"/>
      <w:r w:rsidRPr="001C4BF2">
        <w:rPr>
          <w:rFonts w:ascii="Segoe UI" w:eastAsia="Quattrocento Sans" w:hAnsi="Segoe UI" w:cs="Segoe UI"/>
        </w:rPr>
        <w:t>Consumers</w:t>
      </w:r>
      <w:proofErr w:type="spellEnd"/>
      <w:r w:rsidRPr="001C4BF2">
        <w:rPr>
          <w:rFonts w:ascii="Segoe UI" w:eastAsia="Quattrocento Sans" w:hAnsi="Segoe UI" w:cs="Segoe UI"/>
        </w:rPr>
        <w:t xml:space="preserve"> &amp; </w:t>
      </w:r>
      <w:proofErr w:type="spellStart"/>
      <w:r w:rsidRPr="001C4BF2">
        <w:rPr>
          <w:rFonts w:ascii="Segoe UI" w:eastAsia="Quattrocento Sans" w:hAnsi="Segoe UI" w:cs="Segoe UI"/>
        </w:rPr>
        <w:t>Craftsmen</w:t>
      </w:r>
      <w:proofErr w:type="spellEnd"/>
      <w:r w:rsidRPr="001C4BF2">
        <w:rPr>
          <w:rFonts w:ascii="Segoe UI" w:eastAsia="Quattrocento Sans" w:hAnsi="Segoe UI" w:cs="Segoe UI"/>
        </w:rPr>
        <w:t xml:space="preserve">. Por el contrario, el negocio de General </w:t>
      </w:r>
      <w:proofErr w:type="spellStart"/>
      <w:r w:rsidRPr="001C4BF2">
        <w:rPr>
          <w:rFonts w:ascii="Segoe UI" w:eastAsia="Quattrocento Sans" w:hAnsi="Segoe UI" w:cs="Segoe UI"/>
        </w:rPr>
        <w:t>Manufacturing</w:t>
      </w:r>
      <w:proofErr w:type="spellEnd"/>
      <w:r w:rsidRPr="001C4BF2">
        <w:rPr>
          <w:rFonts w:ascii="Segoe UI" w:eastAsia="Quattrocento Sans" w:hAnsi="Segoe UI" w:cs="Segoe UI"/>
        </w:rPr>
        <w:t xml:space="preserve"> &amp; </w:t>
      </w:r>
      <w:proofErr w:type="spellStart"/>
      <w:r w:rsidRPr="001C4BF2">
        <w:rPr>
          <w:rFonts w:ascii="Segoe UI" w:eastAsia="Quattrocento Sans" w:hAnsi="Segoe UI" w:cs="Segoe UI"/>
        </w:rPr>
        <w:t>Maintenance</w:t>
      </w:r>
      <w:proofErr w:type="spellEnd"/>
      <w:r w:rsidRPr="001C4BF2">
        <w:rPr>
          <w:rFonts w:ascii="Segoe UI" w:eastAsia="Quattrocento Sans" w:hAnsi="Segoe UI" w:cs="Segoe UI"/>
        </w:rPr>
        <w:t xml:space="preserve"> ha registrado un ligero descenso como consecuencia de una menor demanda.</w:t>
      </w:r>
    </w:p>
    <w:p w14:paraId="3FF7D6B2" w14:textId="77777777" w:rsidR="00C924AD" w:rsidRDefault="00C924AD" w:rsidP="00901E1D">
      <w:pPr>
        <w:widowControl w:val="0"/>
        <w:spacing w:line="240" w:lineRule="auto"/>
        <w:jc w:val="both"/>
        <w:rPr>
          <w:rFonts w:ascii="Segoe UI" w:eastAsia="Quattrocento Sans" w:hAnsi="Segoe UI" w:cs="Segoe UI"/>
        </w:rPr>
      </w:pPr>
    </w:p>
    <w:p w14:paraId="29BEB64E" w14:textId="3FF7B4CC"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rPr>
        <w:t xml:space="preserve">El </w:t>
      </w:r>
      <w:r w:rsidR="00C924AD" w:rsidRPr="00103893">
        <w:rPr>
          <w:rFonts w:ascii="Segoe UI" w:eastAsia="Quattrocento Sans" w:hAnsi="Segoe UI" w:cs="Segoe UI"/>
          <w:b/>
        </w:rPr>
        <w:t>resultado</w:t>
      </w:r>
      <w:r w:rsidRPr="00103893">
        <w:rPr>
          <w:rFonts w:ascii="Segoe UI" w:eastAsia="Quattrocento Sans" w:hAnsi="Segoe UI" w:cs="Segoe UI"/>
          <w:b/>
        </w:rPr>
        <w:t xml:space="preserve"> operativo ajustado</w:t>
      </w:r>
      <w:r w:rsidRPr="00103893">
        <w:rPr>
          <w:rFonts w:ascii="Segoe UI" w:eastAsia="Quattrocento Sans" w:hAnsi="Segoe UI" w:cs="Segoe UI"/>
        </w:rPr>
        <w:t xml:space="preserve"> aumentó un 21,8% hasta 933 millones de euros en el primer semestre de 2024, frente a los 766 millones del mismo periodo del año anterior. </w:t>
      </w:r>
      <w:r w:rsidR="00C924AD" w:rsidRPr="00103893">
        <w:rPr>
          <w:rFonts w:ascii="Segoe UI" w:eastAsia="Quattrocento Sans" w:hAnsi="Segoe UI" w:cs="Segoe UI"/>
          <w:b/>
          <w:bCs/>
        </w:rPr>
        <w:t>El rendimiento ajustado</w:t>
      </w:r>
      <w:r w:rsidRPr="00103893">
        <w:rPr>
          <w:rFonts w:ascii="Segoe UI" w:eastAsia="Quattrocento Sans" w:hAnsi="Segoe UI" w:cs="Segoe UI"/>
          <w:b/>
        </w:rPr>
        <w:t xml:space="preserve"> de las ventas </w:t>
      </w:r>
      <w:r w:rsidRPr="00103893">
        <w:rPr>
          <w:rFonts w:ascii="Segoe UI" w:eastAsia="Quattrocento Sans" w:hAnsi="Segoe UI" w:cs="Segoe UI"/>
        </w:rPr>
        <w:t>ha aumentado significativamente en 310 puntos básicos, hasta el 17,0%. Los menores costes de las materias primas, los efectos positivos de la combinación de productos y las eficiencias</w:t>
      </w:r>
      <w:r w:rsidRPr="001C4BF2">
        <w:rPr>
          <w:rFonts w:ascii="Segoe UI" w:eastAsia="Quattrocento Sans" w:hAnsi="Segoe UI" w:cs="Segoe UI"/>
        </w:rPr>
        <w:t xml:space="preserve"> de la cadena de suministro han tenido un impacto especialmente positivo en el margen bruto</w:t>
      </w:r>
      <w:r w:rsidR="00364A82" w:rsidRPr="001C4BF2">
        <w:rPr>
          <w:rFonts w:ascii="Segoe UI" w:eastAsia="Quattrocento Sans" w:hAnsi="Segoe UI" w:cs="Segoe UI"/>
        </w:rPr>
        <w:t>.</w:t>
      </w:r>
    </w:p>
    <w:p w14:paraId="1464A2B5" w14:textId="77777777" w:rsidR="00B823D9" w:rsidRPr="001C4BF2" w:rsidRDefault="00B823D9" w:rsidP="00901E1D">
      <w:pPr>
        <w:widowControl w:val="0"/>
        <w:spacing w:line="240" w:lineRule="auto"/>
        <w:ind w:left="181"/>
        <w:jc w:val="both"/>
        <w:rPr>
          <w:rFonts w:ascii="Segoe UI" w:eastAsia="Quattrocento Sans" w:hAnsi="Segoe UI" w:cs="Segoe UI"/>
        </w:rPr>
      </w:pPr>
    </w:p>
    <w:p w14:paraId="73C2C175"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 unidad de negocio de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Brands</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generado </w:t>
      </w:r>
      <w:r w:rsidRPr="001C4BF2">
        <w:rPr>
          <w:rFonts w:ascii="Segoe UI" w:eastAsia="Quattrocento Sans" w:hAnsi="Segoe UI" w:cs="Segoe UI"/>
          <w:b/>
        </w:rPr>
        <w:t xml:space="preserve">ventas </w:t>
      </w:r>
      <w:r w:rsidRPr="001C4BF2">
        <w:rPr>
          <w:rFonts w:ascii="Segoe UI" w:eastAsia="Quattrocento Sans" w:hAnsi="Segoe UI" w:cs="Segoe UI"/>
        </w:rPr>
        <w:t xml:space="preserve">de 5.266 millones de euros en los primeros seis meses de 2024 (en el segundo trimestre: 2.662 millones de euros). Esto corresponde a una evolución nominal del -1,8%. </w:t>
      </w:r>
      <w:r w:rsidRPr="001C4BF2">
        <w:rPr>
          <w:rFonts w:ascii="Segoe UI" w:eastAsia="Quattrocento Sans" w:hAnsi="Segoe UI" w:cs="Segoe UI"/>
          <w:b/>
        </w:rPr>
        <w:t>Orgánicamente</w:t>
      </w:r>
      <w:r w:rsidRPr="001C4BF2">
        <w:rPr>
          <w:rFonts w:ascii="Segoe UI" w:eastAsia="Quattrocento Sans" w:hAnsi="Segoe UI" w:cs="Segoe UI"/>
        </w:rPr>
        <w:t>, las ventas aumentaron un 4,3% (en el segundo trimestre: +3,3%). Esta evolución se vio impulsada por un componente de precios del +5,1%. Debido principalmente a las medidas de optimización de la cartera en curso, los volúmenes han disminuido ligeramente en -0,9%. Sin embargo, la evolución del volumen ha mostrado una mejora secuencial en el segundo trimestre en comparación con el primer trimestre de 2024.</w:t>
      </w:r>
    </w:p>
    <w:p w14:paraId="11849F31" w14:textId="77777777" w:rsidR="00B823D9" w:rsidRPr="001C4BF2" w:rsidRDefault="00B823D9" w:rsidP="00901E1D">
      <w:pPr>
        <w:widowControl w:val="0"/>
        <w:spacing w:line="240" w:lineRule="auto"/>
        <w:rPr>
          <w:rFonts w:ascii="Segoe UI" w:eastAsia="Quattrocento Sans" w:hAnsi="Segoe UI" w:cs="Segoe UI"/>
          <w:sz w:val="25"/>
          <w:szCs w:val="25"/>
        </w:rPr>
      </w:pPr>
    </w:p>
    <w:p w14:paraId="27DBCDAE"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El área de negocio de </w:t>
      </w:r>
      <w:proofErr w:type="spellStart"/>
      <w:r w:rsidRPr="001C4BF2">
        <w:rPr>
          <w:rFonts w:ascii="Segoe UI" w:eastAsia="Quattrocento Sans" w:hAnsi="Segoe UI" w:cs="Segoe UI"/>
          <w:b/>
        </w:rPr>
        <w:t>Laundry</w:t>
      </w:r>
      <w:proofErr w:type="spellEnd"/>
      <w:r w:rsidRPr="001C4BF2">
        <w:rPr>
          <w:rFonts w:ascii="Segoe UI" w:eastAsia="Quattrocento Sans" w:hAnsi="Segoe UI" w:cs="Segoe UI"/>
          <w:b/>
        </w:rPr>
        <w:t xml:space="preserve"> &amp; Home Care </w:t>
      </w:r>
      <w:r w:rsidRPr="001C4BF2">
        <w:rPr>
          <w:rFonts w:ascii="Segoe UI" w:eastAsia="Quattrocento Sans" w:hAnsi="Segoe UI" w:cs="Segoe UI"/>
        </w:rPr>
        <w:t xml:space="preserve">ha generado un fuerte crecimiento orgánico de las ventas del 3,1% (en el segundo trimestre: +1,5%). El negocio de </w:t>
      </w:r>
      <w:proofErr w:type="spellStart"/>
      <w:r w:rsidRPr="001C4BF2">
        <w:rPr>
          <w:rFonts w:ascii="Segoe UI" w:eastAsia="Quattrocento Sans" w:hAnsi="Segoe UI" w:cs="Segoe UI"/>
        </w:rPr>
        <w:t>Laundry</w:t>
      </w:r>
      <w:proofErr w:type="spellEnd"/>
      <w:r w:rsidRPr="001C4BF2">
        <w:rPr>
          <w:rFonts w:ascii="Segoe UI" w:eastAsia="Quattrocento Sans" w:hAnsi="Segoe UI" w:cs="Segoe UI"/>
        </w:rPr>
        <w:t xml:space="preserve"> Care ha logrado un aumento orgánico positivo de las ventas, impulsado principalmente por un incremento de dos dígitos en la categoría de </w:t>
      </w:r>
      <w:proofErr w:type="spellStart"/>
      <w:r w:rsidRPr="001C4BF2">
        <w:rPr>
          <w:rFonts w:ascii="Segoe UI" w:eastAsia="Quattrocento Sans" w:hAnsi="Segoe UI" w:cs="Segoe UI"/>
        </w:rPr>
        <w:t>Fabric</w:t>
      </w:r>
      <w:proofErr w:type="spellEnd"/>
      <w:r w:rsidRPr="001C4BF2">
        <w:rPr>
          <w:rFonts w:ascii="Segoe UI" w:eastAsia="Quattrocento Sans" w:hAnsi="Segoe UI" w:cs="Segoe UI"/>
        </w:rPr>
        <w:t xml:space="preserve"> Care y un buen crecimiento de las ventas en la categoría de </w:t>
      </w:r>
      <w:proofErr w:type="spellStart"/>
      <w:r w:rsidRPr="001C4BF2">
        <w:rPr>
          <w:rFonts w:ascii="Segoe UI" w:eastAsia="Quattrocento Sans" w:hAnsi="Segoe UI" w:cs="Segoe UI"/>
        </w:rPr>
        <w:t>Fabric</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Cleaning</w:t>
      </w:r>
      <w:proofErr w:type="spellEnd"/>
      <w:r w:rsidRPr="001C4BF2">
        <w:rPr>
          <w:rFonts w:ascii="Segoe UI" w:eastAsia="Quattrocento Sans" w:hAnsi="Segoe UI" w:cs="Segoe UI"/>
        </w:rPr>
        <w:t xml:space="preserve">. El importante crecimiento del negocio </w:t>
      </w:r>
      <w:r w:rsidRPr="001C4BF2">
        <w:rPr>
          <w:rFonts w:ascii="Segoe UI" w:eastAsia="Quattrocento Sans" w:hAnsi="Segoe UI" w:cs="Segoe UI"/>
        </w:rPr>
        <w:lastRenderedPageBreak/>
        <w:t xml:space="preserve">de Home Care se ha debido principalmente al aumento de dos dígitos de las ventas en las categorías </w:t>
      </w:r>
      <w:proofErr w:type="spellStart"/>
      <w:r w:rsidRPr="001C4BF2">
        <w:rPr>
          <w:rFonts w:ascii="Segoe UI" w:eastAsia="Quattrocento Sans" w:hAnsi="Segoe UI" w:cs="Segoe UI"/>
        </w:rPr>
        <w:t>Dishwashing</w:t>
      </w:r>
      <w:proofErr w:type="spellEnd"/>
      <w:r w:rsidRPr="001C4BF2">
        <w:rPr>
          <w:rFonts w:ascii="Segoe UI" w:eastAsia="Quattrocento Sans" w:hAnsi="Segoe UI" w:cs="Segoe UI"/>
        </w:rPr>
        <w:t xml:space="preserve"> y </w:t>
      </w:r>
      <w:proofErr w:type="spellStart"/>
      <w:r w:rsidRPr="001C4BF2">
        <w:rPr>
          <w:rFonts w:ascii="Segoe UI" w:eastAsia="Quattrocento Sans" w:hAnsi="Segoe UI" w:cs="Segoe UI"/>
        </w:rPr>
        <w:t>Toilet</w:t>
      </w:r>
      <w:proofErr w:type="spellEnd"/>
      <w:r w:rsidRPr="001C4BF2">
        <w:rPr>
          <w:rFonts w:ascii="Segoe UI" w:eastAsia="Quattrocento Sans" w:hAnsi="Segoe UI" w:cs="Segoe UI"/>
        </w:rPr>
        <w:t xml:space="preserve"> Care.</w:t>
      </w:r>
    </w:p>
    <w:p w14:paraId="366E4C80" w14:textId="77777777" w:rsidR="00B823D9" w:rsidRPr="001C4BF2" w:rsidRDefault="00B823D9" w:rsidP="00901E1D">
      <w:pPr>
        <w:widowControl w:val="0"/>
        <w:spacing w:line="240" w:lineRule="auto"/>
        <w:ind w:left="181"/>
        <w:jc w:val="both"/>
        <w:rPr>
          <w:rFonts w:ascii="Segoe UI" w:eastAsia="Quattrocento Sans" w:hAnsi="Segoe UI" w:cs="Segoe UI"/>
        </w:rPr>
      </w:pPr>
    </w:p>
    <w:p w14:paraId="40799E7F"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El área de negocio </w:t>
      </w:r>
      <w:proofErr w:type="spellStart"/>
      <w:r w:rsidRPr="001C4BF2">
        <w:rPr>
          <w:rFonts w:ascii="Segoe UI" w:eastAsia="Quattrocento Sans" w:hAnsi="Segoe UI" w:cs="Segoe UI"/>
          <w:b/>
        </w:rPr>
        <w:t>Hair</w:t>
      </w:r>
      <w:proofErr w:type="spellEnd"/>
      <w:r w:rsidRPr="001C4BF2">
        <w:rPr>
          <w:rFonts w:ascii="Segoe UI" w:eastAsia="Quattrocento Sans" w:hAnsi="Segoe UI" w:cs="Segoe UI"/>
          <w:b/>
        </w:rPr>
        <w:t xml:space="preserve"> </w:t>
      </w:r>
      <w:r w:rsidRPr="001C4BF2">
        <w:rPr>
          <w:rFonts w:ascii="Segoe UI" w:eastAsia="Quattrocento Sans" w:hAnsi="Segoe UI" w:cs="Segoe UI"/>
        </w:rPr>
        <w:t xml:space="preserve">ha logrado un importante crecimiento orgánico de las ventas del 7,3% en los seis primeros meses del año (en el segundo trimestre: +7,7%). El negocio de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ha registrado un crecimiento de dos dígitos, impulsado principalmente por la categoría </w:t>
      </w:r>
      <w:proofErr w:type="spellStart"/>
      <w:r w:rsidRPr="001C4BF2">
        <w:rPr>
          <w:rFonts w:ascii="Segoe UI" w:eastAsia="Quattrocento Sans" w:hAnsi="Segoe UI" w:cs="Segoe UI"/>
        </w:rPr>
        <w:t>Hair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Styling</w:t>
      </w:r>
      <w:proofErr w:type="spellEnd"/>
      <w:r w:rsidRPr="001C4BF2">
        <w:rPr>
          <w:rFonts w:ascii="Segoe UI" w:eastAsia="Quattrocento Sans" w:hAnsi="Segoe UI" w:cs="Segoe UI"/>
        </w:rPr>
        <w:t xml:space="preserve">, que también registró aumentos orgánicos de ventas de dos dígitos en el mismo periodo de los años anteriores. El negocio Professional ha logrado un fuerte crecimiento orgánico de las ventas. El área de negocio </w:t>
      </w:r>
      <w:proofErr w:type="spellStart"/>
      <w:r w:rsidRPr="001C4BF2">
        <w:rPr>
          <w:rFonts w:ascii="Segoe UI" w:eastAsia="Quattrocento Sans" w:hAnsi="Segoe UI" w:cs="Segoe UI"/>
          <w:b/>
        </w:rPr>
        <w:t>Other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Businesses</w:t>
      </w:r>
      <w:proofErr w:type="spellEnd"/>
      <w:r w:rsidRPr="001C4BF2">
        <w:rPr>
          <w:rFonts w:ascii="Segoe UI" w:eastAsia="Quattrocento Sans" w:hAnsi="Segoe UI" w:cs="Segoe UI"/>
          <w:b/>
        </w:rPr>
        <w:t xml:space="preserve"> </w:t>
      </w:r>
      <w:r w:rsidRPr="001C4BF2">
        <w:rPr>
          <w:rFonts w:ascii="Segoe UI" w:eastAsia="Quattrocento Sans" w:hAnsi="Segoe UI" w:cs="Segoe UI"/>
        </w:rPr>
        <w:t>ha registrado un buen crecimiento orgánico de las ventas del 2,3% (en el segundo trimestre: +0,7%).</w:t>
      </w:r>
    </w:p>
    <w:p w14:paraId="14C2395E" w14:textId="77777777" w:rsidR="00B823D9" w:rsidRPr="001C4BF2" w:rsidRDefault="00B823D9" w:rsidP="00901E1D">
      <w:pPr>
        <w:widowControl w:val="0"/>
        <w:spacing w:line="240" w:lineRule="auto"/>
        <w:rPr>
          <w:rFonts w:ascii="Segoe UI" w:eastAsia="Quattrocento Sans" w:hAnsi="Segoe UI" w:cs="Segoe UI"/>
          <w:sz w:val="28"/>
          <w:szCs w:val="28"/>
        </w:rPr>
      </w:pPr>
    </w:p>
    <w:p w14:paraId="7A1F8CB5" w14:textId="57693DF6" w:rsidR="00B823D9" w:rsidRPr="001C4BF2" w:rsidRDefault="005D16A9" w:rsidP="00901E1D">
      <w:pPr>
        <w:widowControl w:val="0"/>
        <w:spacing w:line="240" w:lineRule="auto"/>
        <w:jc w:val="both"/>
        <w:rPr>
          <w:rFonts w:ascii="Segoe UI" w:eastAsia="Quattrocento Sans" w:hAnsi="Segoe UI" w:cs="Segoe UI"/>
        </w:rPr>
      </w:pPr>
      <w:r w:rsidRPr="00103893">
        <w:rPr>
          <w:rFonts w:ascii="Segoe UI" w:eastAsia="Quattrocento Sans" w:hAnsi="Segoe UI" w:cs="Segoe UI"/>
        </w:rPr>
        <w:t xml:space="preserve">El </w:t>
      </w:r>
      <w:r w:rsidR="00C924AD" w:rsidRPr="00103893">
        <w:rPr>
          <w:rFonts w:ascii="Segoe UI" w:eastAsia="Quattrocento Sans" w:hAnsi="Segoe UI" w:cs="Segoe UI"/>
          <w:b/>
        </w:rPr>
        <w:t>resultado operativo</w:t>
      </w:r>
      <w:r w:rsidRPr="00103893">
        <w:rPr>
          <w:rFonts w:ascii="Segoe UI" w:eastAsia="Quattrocento Sans" w:hAnsi="Segoe UI" w:cs="Segoe UI"/>
          <w:b/>
        </w:rPr>
        <w:t xml:space="preserve"> ajustado</w:t>
      </w:r>
      <w:r w:rsidRPr="001C4BF2">
        <w:rPr>
          <w:rFonts w:ascii="Segoe UI" w:eastAsia="Quattrocento Sans" w:hAnsi="Segoe UI" w:cs="Segoe UI"/>
          <w:b/>
        </w:rPr>
        <w:t xml:space="preserve"> </w:t>
      </w:r>
      <w:r w:rsidRPr="001C4BF2">
        <w:rPr>
          <w:rFonts w:ascii="Segoe UI" w:eastAsia="Quattrocento Sans" w:hAnsi="Segoe UI" w:cs="Segoe UI"/>
        </w:rPr>
        <w:t xml:space="preserve">ha ascendido a 753 millones de euros, lo que supone un aumento del 34,8% con respecto al ejercicio anterior. Este aumento se ha visto impulsado por la evolución de los precios de venta y los ahorros generados por la creación de la unidad de negocio integrada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Brands</w:t>
      </w:r>
      <w:proofErr w:type="spellEnd"/>
      <w:r w:rsidRPr="001C4BF2">
        <w:rPr>
          <w:rFonts w:ascii="Segoe UI" w:eastAsia="Quattrocento Sans" w:hAnsi="Segoe UI" w:cs="Segoe UI"/>
        </w:rPr>
        <w:t xml:space="preserve">, así como por las medidas de optimización y valorización de la cartera. El </w:t>
      </w:r>
      <w:r w:rsidRPr="001C4BF2">
        <w:rPr>
          <w:rFonts w:ascii="Segoe UI" w:eastAsia="Quattrocento Sans" w:hAnsi="Segoe UI" w:cs="Segoe UI"/>
          <w:b/>
        </w:rPr>
        <w:t xml:space="preserve">rendimiento ajustado de las ventas </w:t>
      </w:r>
      <w:r w:rsidRPr="001C4BF2">
        <w:rPr>
          <w:rFonts w:ascii="Segoe UI" w:eastAsia="Quattrocento Sans" w:hAnsi="Segoe UI" w:cs="Segoe UI"/>
        </w:rPr>
        <w:t>ha aumentado significativamente en 390 puntos básicos, hasta el 14,3%.</w:t>
      </w:r>
    </w:p>
    <w:p w14:paraId="2765F97C" w14:textId="77777777" w:rsidR="00B823D9" w:rsidRPr="001C4BF2" w:rsidRDefault="00B823D9" w:rsidP="00901E1D">
      <w:pPr>
        <w:widowControl w:val="0"/>
        <w:spacing w:line="240" w:lineRule="auto"/>
        <w:rPr>
          <w:rFonts w:ascii="Segoe UI" w:eastAsia="Quattrocento Sans" w:hAnsi="Segoe UI" w:cs="Segoe UI"/>
          <w:sz w:val="25"/>
          <w:szCs w:val="25"/>
        </w:rPr>
      </w:pPr>
    </w:p>
    <w:p w14:paraId="0E20DC19" w14:textId="77777777" w:rsidR="00B823D9" w:rsidRPr="001C4BF2" w:rsidRDefault="005D16A9" w:rsidP="00901E1D">
      <w:pPr>
        <w:pStyle w:val="Ttulo2"/>
        <w:keepNext w:val="0"/>
        <w:keepLines w:val="0"/>
        <w:widowControl w:val="0"/>
        <w:spacing w:before="0" w:after="0" w:line="240" w:lineRule="auto"/>
        <w:rPr>
          <w:rFonts w:ascii="Segoe UI" w:eastAsia="Quattrocento Sans" w:hAnsi="Segoe UI" w:cs="Segoe UI"/>
          <w:b/>
          <w:sz w:val="22"/>
          <w:szCs w:val="22"/>
        </w:rPr>
      </w:pPr>
      <w:bookmarkStart w:id="7" w:name="_rbkdadwuvop9" w:colFirst="0" w:colLast="0"/>
      <w:bookmarkEnd w:id="7"/>
      <w:r w:rsidRPr="001C4BF2">
        <w:rPr>
          <w:rFonts w:ascii="Segoe UI" w:eastAsia="Quattrocento Sans" w:hAnsi="Segoe UI" w:cs="Segoe UI"/>
          <w:b/>
          <w:sz w:val="22"/>
          <w:szCs w:val="22"/>
        </w:rPr>
        <w:t>Impulso constante a la aplicación del programa de crecimiento</w:t>
      </w:r>
    </w:p>
    <w:p w14:paraId="1DA85A97" w14:textId="77777777" w:rsidR="00B823D9" w:rsidRPr="001C4BF2" w:rsidRDefault="00B823D9" w:rsidP="00901E1D">
      <w:pPr>
        <w:widowControl w:val="0"/>
        <w:spacing w:line="240" w:lineRule="auto"/>
        <w:jc w:val="both"/>
        <w:rPr>
          <w:rFonts w:ascii="Segoe UI" w:eastAsia="Quattrocento Sans" w:hAnsi="Segoe UI" w:cs="Segoe UI"/>
        </w:rPr>
      </w:pPr>
    </w:p>
    <w:p w14:paraId="5EA80C79" w14:textId="77777777"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En la primera mitad de 2024, Henkel continuó impulsando de forma consistente las prioridades estratégicas de su agenda de crecimiento y ha logrado un buen progreso en todas las áreas.</w:t>
      </w:r>
    </w:p>
    <w:p w14:paraId="6FF371F2" w14:textId="77777777" w:rsidR="00B823D9" w:rsidRPr="001C4BF2" w:rsidRDefault="00B823D9" w:rsidP="00901E1D">
      <w:pPr>
        <w:widowControl w:val="0"/>
        <w:spacing w:line="240" w:lineRule="auto"/>
        <w:rPr>
          <w:rFonts w:ascii="Segoe UI" w:eastAsia="Quattrocento Sans" w:hAnsi="Segoe UI" w:cs="Segoe UI"/>
          <w:sz w:val="24"/>
          <w:szCs w:val="24"/>
        </w:rPr>
      </w:pPr>
    </w:p>
    <w:p w14:paraId="696731A5" w14:textId="135DEA71" w:rsidR="00B823D9" w:rsidRPr="001C4BF2"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La </w:t>
      </w:r>
      <w:r w:rsidRPr="001C4BF2">
        <w:rPr>
          <w:rFonts w:ascii="Segoe UI" w:eastAsia="Quattrocento Sans" w:hAnsi="Segoe UI" w:cs="Segoe UI"/>
          <w:b/>
        </w:rPr>
        <w:t xml:space="preserve">fusión </w:t>
      </w:r>
      <w:r w:rsidRPr="001C4BF2">
        <w:rPr>
          <w:rFonts w:ascii="Segoe UI" w:eastAsia="Quattrocento Sans" w:hAnsi="Segoe UI" w:cs="Segoe UI"/>
        </w:rPr>
        <w:t xml:space="preserve">de los antiguos negocios de </w:t>
      </w:r>
      <w:proofErr w:type="spellStart"/>
      <w:r w:rsidRPr="001C4BF2">
        <w:rPr>
          <w:rFonts w:ascii="Segoe UI" w:eastAsia="Quattrocento Sans" w:hAnsi="Segoe UI" w:cs="Segoe UI"/>
        </w:rPr>
        <w:t>Laundry</w:t>
      </w:r>
      <w:proofErr w:type="spellEnd"/>
      <w:r w:rsidRPr="001C4BF2">
        <w:rPr>
          <w:rFonts w:ascii="Segoe UI" w:eastAsia="Quattrocento Sans" w:hAnsi="Segoe UI" w:cs="Segoe UI"/>
        </w:rPr>
        <w:t xml:space="preserve"> &amp; Home Care y </w:t>
      </w:r>
      <w:proofErr w:type="spellStart"/>
      <w:r w:rsidRPr="001C4BF2">
        <w:rPr>
          <w:rFonts w:ascii="Segoe UI" w:eastAsia="Quattrocento Sans" w:hAnsi="Segoe UI" w:cs="Segoe UI"/>
        </w:rPr>
        <w:t>Beauty</w:t>
      </w:r>
      <w:proofErr w:type="spellEnd"/>
      <w:r w:rsidRPr="001C4BF2">
        <w:rPr>
          <w:rFonts w:ascii="Segoe UI" w:eastAsia="Quattrocento Sans" w:hAnsi="Segoe UI" w:cs="Segoe UI"/>
        </w:rPr>
        <w:t xml:space="preserve"> Care en la unidad de negocio </w:t>
      </w:r>
      <w:proofErr w:type="spellStart"/>
      <w:r w:rsidRPr="001C4BF2">
        <w:rPr>
          <w:rFonts w:ascii="Segoe UI" w:eastAsia="Quattrocento Sans" w:hAnsi="Segoe UI" w:cs="Segoe UI"/>
          <w:b/>
        </w:rPr>
        <w:t>Consumer</w:t>
      </w:r>
      <w:proofErr w:type="spellEnd"/>
      <w:r w:rsidRPr="001C4BF2">
        <w:rPr>
          <w:rFonts w:ascii="Segoe UI" w:eastAsia="Quattrocento Sans" w:hAnsi="Segoe UI" w:cs="Segoe UI"/>
          <w:b/>
        </w:rPr>
        <w:t xml:space="preserve"> </w:t>
      </w:r>
      <w:proofErr w:type="spellStart"/>
      <w:r w:rsidRPr="001C4BF2">
        <w:rPr>
          <w:rFonts w:ascii="Segoe UI" w:eastAsia="Quattrocento Sans" w:hAnsi="Segoe UI" w:cs="Segoe UI"/>
          <w:b/>
        </w:rPr>
        <w:t>Brands</w:t>
      </w:r>
      <w:proofErr w:type="spellEnd"/>
      <w:r w:rsidRPr="001C4BF2">
        <w:rPr>
          <w:rFonts w:ascii="Segoe UI" w:eastAsia="Quattrocento Sans" w:hAnsi="Segoe UI" w:cs="Segoe UI"/>
        </w:rPr>
        <w:t xml:space="preserve">, que </w:t>
      </w:r>
      <w:r w:rsidRPr="00103893">
        <w:rPr>
          <w:rFonts w:ascii="Segoe UI" w:eastAsia="Quattrocento Sans" w:hAnsi="Segoe UI" w:cs="Segoe UI"/>
        </w:rPr>
        <w:t xml:space="preserve">se </w:t>
      </w:r>
      <w:r w:rsidR="0027678C" w:rsidRPr="00103893">
        <w:rPr>
          <w:rFonts w:ascii="Segoe UI" w:eastAsia="Quattrocento Sans" w:hAnsi="Segoe UI" w:cs="Segoe UI"/>
        </w:rPr>
        <w:t xml:space="preserve">está ejecutando </w:t>
      </w:r>
      <w:r w:rsidRPr="00103893">
        <w:rPr>
          <w:rFonts w:ascii="Segoe UI" w:eastAsia="Quattrocento Sans" w:hAnsi="Segoe UI" w:cs="Segoe UI"/>
        </w:rPr>
        <w:t>en dos fases, se ha impulsado con éxito en el primer semestre de 2024. Henkel ha conseguido nuevos ahorros en el proceso. En total, la empresa se ha propuesto ahorrar 525 millones de euros en ambas fases de la integración. Estos se realizarán e</w:t>
      </w:r>
      <w:r w:rsidRPr="001C4BF2">
        <w:rPr>
          <w:rFonts w:ascii="Segoe UI" w:eastAsia="Quattrocento Sans" w:hAnsi="Segoe UI" w:cs="Segoe UI"/>
        </w:rPr>
        <w:t>n su totalidad a finales de 2026.</w:t>
      </w:r>
    </w:p>
    <w:p w14:paraId="36E873F7" w14:textId="77777777" w:rsidR="00B823D9" w:rsidRPr="001C4BF2" w:rsidRDefault="00B823D9" w:rsidP="00901E1D">
      <w:pPr>
        <w:widowControl w:val="0"/>
        <w:spacing w:line="240" w:lineRule="auto"/>
        <w:rPr>
          <w:rFonts w:ascii="Segoe UI" w:eastAsia="Quattrocento Sans" w:hAnsi="Segoe UI" w:cs="Segoe UI"/>
          <w:sz w:val="25"/>
          <w:szCs w:val="25"/>
        </w:rPr>
      </w:pPr>
    </w:p>
    <w:p w14:paraId="655E15EA" w14:textId="76E4E701" w:rsidR="00B823D9" w:rsidRPr="00A47934"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Como parte de la segunda fase de la integración, que se centra en la excelencia de la cadena de suministro en la unidad de negocio de </w:t>
      </w:r>
      <w:proofErr w:type="spellStart"/>
      <w:r w:rsidRPr="001C4BF2">
        <w:rPr>
          <w:rFonts w:ascii="Segoe UI" w:eastAsia="Quattrocento Sans" w:hAnsi="Segoe UI" w:cs="Segoe UI"/>
        </w:rPr>
        <w:t>Consumer</w:t>
      </w:r>
      <w:proofErr w:type="spellEnd"/>
      <w:r w:rsidRPr="001C4BF2">
        <w:rPr>
          <w:rFonts w:ascii="Segoe UI" w:eastAsia="Quattrocento Sans" w:hAnsi="Segoe UI" w:cs="Segoe UI"/>
        </w:rPr>
        <w:t xml:space="preserve"> </w:t>
      </w:r>
      <w:proofErr w:type="spellStart"/>
      <w:r w:rsidRPr="001C4BF2">
        <w:rPr>
          <w:rFonts w:ascii="Segoe UI" w:eastAsia="Quattrocento Sans" w:hAnsi="Segoe UI" w:cs="Segoe UI"/>
        </w:rPr>
        <w:t>Brands</w:t>
      </w:r>
      <w:proofErr w:type="spellEnd"/>
      <w:r w:rsidRPr="001C4BF2">
        <w:rPr>
          <w:rFonts w:ascii="Segoe UI" w:eastAsia="Quattrocento Sans" w:hAnsi="Segoe UI" w:cs="Segoe UI"/>
        </w:rPr>
        <w:t>, ya se ha introducido el denominado principio 1-1-1 en cerca de 30 países. Se trata de impulsar la integración comercial con procesos logísticos optimizados de acuerdo con el principio de "una cara para el cliente". Esto significa: un pedido, una entrega, una factura.</w:t>
      </w:r>
      <w:r w:rsidR="002B7DA1">
        <w:rPr>
          <w:rFonts w:ascii="Segoe UI" w:eastAsia="Quattrocento Sans" w:hAnsi="Segoe UI" w:cs="Segoe UI"/>
        </w:rPr>
        <w:t xml:space="preserve"> </w:t>
      </w:r>
      <w:r w:rsidR="002B7DA1" w:rsidRPr="00A47934">
        <w:rPr>
          <w:rFonts w:ascii="Segoe UI" w:eastAsia="Quattrocento Sans" w:hAnsi="Segoe UI" w:cs="Segoe UI"/>
        </w:rPr>
        <w:t xml:space="preserve">Además, se ha seguido optimizando y consolidando la red de producción y logística, por ejemplo, en Estados Unidos y los países de Europa del Este en el negocio de </w:t>
      </w:r>
      <w:proofErr w:type="spellStart"/>
      <w:r w:rsidR="002B7DA1" w:rsidRPr="00A47934">
        <w:rPr>
          <w:rFonts w:ascii="Segoe UI" w:eastAsia="Quattrocento Sans" w:hAnsi="Segoe UI" w:cs="Segoe UI"/>
        </w:rPr>
        <w:t>Laundry</w:t>
      </w:r>
      <w:proofErr w:type="spellEnd"/>
      <w:r w:rsidR="002B7DA1" w:rsidRPr="00A47934">
        <w:rPr>
          <w:rFonts w:ascii="Segoe UI" w:eastAsia="Quattrocento Sans" w:hAnsi="Segoe UI" w:cs="Segoe UI"/>
        </w:rPr>
        <w:t xml:space="preserve"> &amp; Home Care. En conjunto, estas medidas ya han dado lugar a una reducción global de la complejidad de alrededor del 16%.</w:t>
      </w:r>
    </w:p>
    <w:p w14:paraId="0D4D5DA8" w14:textId="77777777" w:rsidR="002B7DA1" w:rsidRPr="00A47934" w:rsidRDefault="002B7DA1" w:rsidP="00901E1D">
      <w:pPr>
        <w:widowControl w:val="0"/>
        <w:spacing w:line="240" w:lineRule="auto"/>
        <w:jc w:val="both"/>
        <w:rPr>
          <w:rFonts w:ascii="Segoe UI" w:eastAsia="Quattrocento Sans" w:hAnsi="Segoe UI" w:cs="Segoe UI"/>
        </w:rPr>
      </w:pPr>
    </w:p>
    <w:p w14:paraId="0AC5E3AD" w14:textId="3292F454" w:rsidR="002B7DA1" w:rsidRDefault="002B7DA1" w:rsidP="00901E1D">
      <w:pPr>
        <w:widowControl w:val="0"/>
        <w:spacing w:line="240" w:lineRule="auto"/>
        <w:jc w:val="both"/>
        <w:rPr>
          <w:rFonts w:ascii="Segoe UI" w:eastAsia="Quattrocento Sans" w:hAnsi="Segoe UI" w:cs="Segoe UI"/>
        </w:rPr>
      </w:pPr>
      <w:r w:rsidRPr="00A47934">
        <w:rPr>
          <w:rFonts w:ascii="Segoe UI" w:eastAsia="Quattrocento Sans" w:hAnsi="Segoe UI" w:cs="Segoe UI"/>
        </w:rPr>
        <w:t xml:space="preserve">Henkel también ha seguido centrando su cartera de </w:t>
      </w:r>
      <w:proofErr w:type="spellStart"/>
      <w:r w:rsidRPr="00A47934">
        <w:rPr>
          <w:rFonts w:ascii="Segoe UI" w:eastAsia="Quattrocento Sans" w:hAnsi="Segoe UI" w:cs="Segoe UI"/>
        </w:rPr>
        <w:t>Consumer</w:t>
      </w:r>
      <w:proofErr w:type="spellEnd"/>
      <w:r w:rsidRPr="00A47934">
        <w:rPr>
          <w:rFonts w:ascii="Segoe UI" w:eastAsia="Quattrocento Sans" w:hAnsi="Segoe UI" w:cs="Segoe UI"/>
        </w:rPr>
        <w:t xml:space="preserve"> </w:t>
      </w:r>
      <w:proofErr w:type="spellStart"/>
      <w:r w:rsidRPr="00A47934">
        <w:rPr>
          <w:rFonts w:ascii="Segoe UI" w:eastAsia="Quattrocento Sans" w:hAnsi="Segoe UI" w:cs="Segoe UI"/>
        </w:rPr>
        <w:t>Brands</w:t>
      </w:r>
      <w:proofErr w:type="spellEnd"/>
      <w:r w:rsidRPr="00A47934">
        <w:rPr>
          <w:rFonts w:ascii="Segoe UI" w:eastAsia="Quattrocento Sans" w:hAnsi="Segoe UI" w:cs="Segoe UI"/>
        </w:rPr>
        <w:t xml:space="preserve">. Recientemente, la atención se ha centrado en el negocio de </w:t>
      </w:r>
      <w:proofErr w:type="spellStart"/>
      <w:r w:rsidRPr="00A47934">
        <w:rPr>
          <w:rFonts w:ascii="Segoe UI" w:eastAsia="Quattrocento Sans" w:hAnsi="Segoe UI" w:cs="Segoe UI"/>
        </w:rPr>
        <w:t>Laundry</w:t>
      </w:r>
      <w:proofErr w:type="spellEnd"/>
      <w:r w:rsidRPr="00A47934">
        <w:rPr>
          <w:rFonts w:ascii="Segoe UI" w:eastAsia="Quattrocento Sans" w:hAnsi="Segoe UI" w:cs="Segoe UI"/>
        </w:rPr>
        <w:t xml:space="preserve"> &amp; Home Care en Norteamérica. </w:t>
      </w:r>
    </w:p>
    <w:p w14:paraId="6AFB95F4" w14:textId="77777777" w:rsidR="002B7DA1" w:rsidRPr="001C4BF2" w:rsidRDefault="002B7DA1" w:rsidP="00901E1D">
      <w:pPr>
        <w:widowControl w:val="0"/>
        <w:spacing w:line="240" w:lineRule="auto"/>
        <w:jc w:val="both"/>
        <w:rPr>
          <w:rFonts w:ascii="Segoe UI" w:eastAsia="Quattrocento Sans" w:hAnsi="Segoe UI" w:cs="Segoe UI"/>
        </w:rPr>
      </w:pPr>
    </w:p>
    <w:p w14:paraId="657B936A" w14:textId="77777777" w:rsidR="00B823D9" w:rsidRDefault="005D16A9" w:rsidP="00901E1D">
      <w:pPr>
        <w:widowControl w:val="0"/>
        <w:spacing w:line="240" w:lineRule="auto"/>
        <w:jc w:val="both"/>
        <w:rPr>
          <w:rFonts w:ascii="Segoe UI" w:eastAsia="Quattrocento Sans" w:hAnsi="Segoe UI" w:cs="Segoe UI"/>
        </w:rPr>
      </w:pPr>
      <w:r w:rsidRPr="001C4BF2">
        <w:rPr>
          <w:rFonts w:ascii="Segoe UI" w:eastAsia="Quattrocento Sans" w:hAnsi="Segoe UI" w:cs="Segoe UI"/>
        </w:rPr>
        <w:t xml:space="preserve">Para seguir reforzando su </w:t>
      </w:r>
      <w:r w:rsidRPr="001C4BF2">
        <w:rPr>
          <w:rFonts w:ascii="Segoe UI" w:eastAsia="Quattrocento Sans" w:hAnsi="Segoe UI" w:cs="Segoe UI"/>
          <w:b/>
        </w:rPr>
        <w:t>competitividad</w:t>
      </w:r>
      <w:r w:rsidRPr="001C4BF2">
        <w:rPr>
          <w:rFonts w:ascii="Segoe UI" w:eastAsia="Quattrocento Sans" w:hAnsi="Segoe UI" w:cs="Segoe UI"/>
        </w:rPr>
        <w:t xml:space="preserve">, Henkel se ha centrado en fuertes innovaciones en áreas de negocio atractivas. Éstas contribuyeron nuevamente al crecimiento en ambas unidades de negocio en el primer semestre de 2024. En </w:t>
      </w:r>
      <w:r w:rsidRPr="002B7DA1">
        <w:rPr>
          <w:rFonts w:ascii="Segoe UI" w:eastAsia="Quattrocento Sans" w:hAnsi="Segoe UI" w:cs="Segoe UI"/>
          <w:b/>
          <w:bCs/>
        </w:rPr>
        <w:t>Adhesive Technologies,</w:t>
      </w:r>
      <w:r w:rsidRPr="001C4BF2">
        <w:rPr>
          <w:rFonts w:ascii="Segoe UI" w:eastAsia="Quattrocento Sans" w:hAnsi="Segoe UI" w:cs="Segoe UI"/>
        </w:rPr>
        <w:t xml:space="preserve"> Henkel atiende la tendencia hacia componentes de automoción más integrados, que impulsa la demanda de soluciones adhesivas innovadoras. Un ejemplo es la integración de componentes electrónicos que suponen un gran beneficio para los automóviles, independientemente de la cadena cinemática. Al mismo tiempo, se trata de un campo muy complejo con requisitos muy específicos en cuanto a la gestión térmica de las soluciones adhesivas aplicadas. Henkel es uno de los pocos actores que ha reconocido la tendencia desde el principio y ha colaborado con los principales fabricantes de equipos originales y proveedores de niveles clave en el desarrollo de soluciones innovadoras. Se espera un potencial de crecimiento del mercado de más del 20% para este tipo de componentes integrados en los próximos años.</w:t>
      </w:r>
    </w:p>
    <w:p w14:paraId="1E7697EE" w14:textId="77777777" w:rsidR="002B7DA1" w:rsidRDefault="002B7DA1" w:rsidP="00901E1D">
      <w:pPr>
        <w:widowControl w:val="0"/>
        <w:spacing w:line="240" w:lineRule="auto"/>
        <w:jc w:val="both"/>
        <w:rPr>
          <w:rFonts w:ascii="Segoe UI" w:eastAsia="Quattrocento Sans" w:hAnsi="Segoe UI" w:cs="Segoe UI"/>
        </w:rPr>
      </w:pPr>
    </w:p>
    <w:p w14:paraId="4F77EF33" w14:textId="601F503C" w:rsidR="002B7DA1" w:rsidRPr="00982EF7" w:rsidRDefault="002B7DA1" w:rsidP="00901E1D">
      <w:pPr>
        <w:widowControl w:val="0"/>
        <w:spacing w:line="240" w:lineRule="auto"/>
        <w:jc w:val="both"/>
        <w:rPr>
          <w:rFonts w:ascii="Segoe UI" w:eastAsia="Quattrocento Sans" w:hAnsi="Segoe UI" w:cs="Segoe UI"/>
        </w:rPr>
      </w:pPr>
      <w:r w:rsidRPr="00982EF7">
        <w:rPr>
          <w:rFonts w:ascii="Segoe UI" w:eastAsia="Quattrocento Sans" w:hAnsi="Segoe UI" w:cs="Segoe UI"/>
        </w:rPr>
        <w:t xml:space="preserve">En la unidad de negocio de </w:t>
      </w:r>
      <w:proofErr w:type="spellStart"/>
      <w:r w:rsidRPr="00982EF7">
        <w:rPr>
          <w:rFonts w:ascii="Segoe UI" w:eastAsia="Quattrocento Sans" w:hAnsi="Segoe UI" w:cs="Segoe UI"/>
          <w:b/>
          <w:bCs/>
        </w:rPr>
        <w:t>Consumer</w:t>
      </w:r>
      <w:proofErr w:type="spellEnd"/>
      <w:r w:rsidRPr="00982EF7">
        <w:rPr>
          <w:rFonts w:ascii="Segoe UI" w:eastAsia="Quattrocento Sans" w:hAnsi="Segoe UI" w:cs="Segoe UI"/>
          <w:b/>
          <w:bCs/>
        </w:rPr>
        <w:t xml:space="preserve"> </w:t>
      </w:r>
      <w:proofErr w:type="spellStart"/>
      <w:r w:rsidRPr="00982EF7">
        <w:rPr>
          <w:rFonts w:ascii="Segoe UI" w:eastAsia="Quattrocento Sans" w:hAnsi="Segoe UI" w:cs="Segoe UI"/>
          <w:b/>
          <w:bCs/>
        </w:rPr>
        <w:t>Brands</w:t>
      </w:r>
      <w:proofErr w:type="spellEnd"/>
      <w:r w:rsidRPr="00982EF7">
        <w:rPr>
          <w:rFonts w:ascii="Segoe UI" w:eastAsia="Quattrocento Sans" w:hAnsi="Segoe UI" w:cs="Segoe UI"/>
        </w:rPr>
        <w:t xml:space="preserve">, el fuerte crecimiento orgánico de las ventas de más del 7% en el sector capilar se ha visto impulsado en particular por la marca paraguas Schwarzkopf, tanto en </w:t>
      </w:r>
      <w:proofErr w:type="spellStart"/>
      <w:r w:rsidRPr="00982EF7">
        <w:rPr>
          <w:rFonts w:ascii="Segoe UI" w:eastAsia="Quattrocento Sans" w:hAnsi="Segoe UI" w:cs="Segoe UI"/>
        </w:rPr>
        <w:t>Consumer</w:t>
      </w:r>
      <w:proofErr w:type="spellEnd"/>
      <w:r w:rsidRPr="00982EF7">
        <w:rPr>
          <w:rFonts w:ascii="Segoe UI" w:eastAsia="Quattrocento Sans" w:hAnsi="Segoe UI" w:cs="Segoe UI"/>
        </w:rPr>
        <w:t xml:space="preserve"> como en Professional. Esta área de negocio ha registrado ya cuatro trimestres consecutivos de desarrollo positivo del volumen. Al mismo tiempo, la cuota de mercado ha aumentado en 40 puntos básicos tanto en </w:t>
      </w:r>
      <w:proofErr w:type="spellStart"/>
      <w:r w:rsidRPr="00982EF7">
        <w:rPr>
          <w:rFonts w:ascii="Segoe UI" w:eastAsia="Quattrocento Sans" w:hAnsi="Segoe UI" w:cs="Segoe UI"/>
        </w:rPr>
        <w:t>Hair</w:t>
      </w:r>
      <w:proofErr w:type="spellEnd"/>
      <w:r w:rsidRPr="00982EF7">
        <w:rPr>
          <w:rFonts w:ascii="Segoe UI" w:eastAsia="Quattrocento Sans" w:hAnsi="Segoe UI" w:cs="Segoe UI"/>
        </w:rPr>
        <w:t xml:space="preserve"> </w:t>
      </w:r>
      <w:proofErr w:type="spellStart"/>
      <w:r w:rsidRPr="00982EF7">
        <w:rPr>
          <w:rFonts w:ascii="Segoe UI" w:eastAsia="Quattrocento Sans" w:hAnsi="Segoe UI" w:cs="Segoe UI"/>
        </w:rPr>
        <w:t>Styling</w:t>
      </w:r>
      <w:proofErr w:type="spellEnd"/>
      <w:r w:rsidRPr="00982EF7">
        <w:rPr>
          <w:rFonts w:ascii="Segoe UI" w:eastAsia="Quattrocento Sans" w:hAnsi="Segoe UI" w:cs="Segoe UI"/>
        </w:rPr>
        <w:t xml:space="preserve"> como en </w:t>
      </w:r>
      <w:proofErr w:type="spellStart"/>
      <w:r w:rsidRPr="00982EF7">
        <w:rPr>
          <w:rFonts w:ascii="Segoe UI" w:eastAsia="Quattrocento Sans" w:hAnsi="Segoe UI" w:cs="Segoe UI"/>
        </w:rPr>
        <w:t>Coloration</w:t>
      </w:r>
      <w:proofErr w:type="spellEnd"/>
      <w:r w:rsidRPr="00982EF7">
        <w:rPr>
          <w:rFonts w:ascii="Segoe UI" w:eastAsia="Quattrocento Sans" w:hAnsi="Segoe UI" w:cs="Segoe UI"/>
        </w:rPr>
        <w:t xml:space="preserve">. Además, el relanzamiento de </w:t>
      </w:r>
      <w:proofErr w:type="spellStart"/>
      <w:r w:rsidRPr="00982EF7">
        <w:rPr>
          <w:rFonts w:ascii="Segoe UI" w:eastAsia="Quattrocento Sans" w:hAnsi="Segoe UI" w:cs="Segoe UI"/>
        </w:rPr>
        <w:t>Gliss</w:t>
      </w:r>
      <w:proofErr w:type="spellEnd"/>
      <w:r w:rsidRPr="00982EF7">
        <w:rPr>
          <w:rFonts w:ascii="Segoe UI" w:eastAsia="Quattrocento Sans" w:hAnsi="Segoe UI" w:cs="Segoe UI"/>
        </w:rPr>
        <w:t xml:space="preserve"> con nuevas fórmulas para un cabello 100% más fuerte se ha traducido en un crecimiento orgánico de las ventas de dos dígitos en el primer semestre.</w:t>
      </w:r>
    </w:p>
    <w:p w14:paraId="6DA6212C" w14:textId="77777777" w:rsidR="002B7DA1" w:rsidRPr="00982EF7" w:rsidRDefault="002B7DA1" w:rsidP="00901E1D">
      <w:pPr>
        <w:widowControl w:val="0"/>
        <w:spacing w:line="240" w:lineRule="auto"/>
        <w:jc w:val="both"/>
        <w:rPr>
          <w:rFonts w:ascii="Segoe UI" w:eastAsia="Quattrocento Sans" w:hAnsi="Segoe UI" w:cs="Segoe UI"/>
        </w:rPr>
      </w:pPr>
    </w:p>
    <w:p w14:paraId="36F3BFBC" w14:textId="0C25B059" w:rsidR="002B7DA1" w:rsidRPr="002B7DA1" w:rsidRDefault="002B7DA1" w:rsidP="00901E1D">
      <w:pPr>
        <w:widowControl w:val="0"/>
        <w:spacing w:line="240" w:lineRule="auto"/>
        <w:jc w:val="both"/>
        <w:rPr>
          <w:rFonts w:ascii="Segoe UI" w:eastAsia="Quattrocento Sans" w:hAnsi="Segoe UI" w:cs="Segoe UI"/>
          <w:i/>
          <w:iCs/>
        </w:rPr>
      </w:pPr>
      <w:r w:rsidRPr="00982EF7">
        <w:rPr>
          <w:rFonts w:ascii="Segoe UI" w:eastAsia="Quattrocento Sans" w:hAnsi="Segoe UI" w:cs="Segoe UI"/>
          <w:i/>
          <w:iCs/>
        </w:rPr>
        <w:t xml:space="preserve">"En general, estamos muy satisfechos con los buenos resultados de Henkel en el primer semestre del año y nos sentimos orgullosos del bueno progreso que hemos hecho en la aplicación de nuestra agenda estratégica de crecimiento", dijo Carsten </w:t>
      </w:r>
      <w:proofErr w:type="spellStart"/>
      <w:r w:rsidRPr="00982EF7">
        <w:rPr>
          <w:rFonts w:ascii="Segoe UI" w:eastAsia="Quattrocento Sans" w:hAnsi="Segoe UI" w:cs="Segoe UI"/>
          <w:i/>
          <w:iCs/>
        </w:rPr>
        <w:t>Knobel</w:t>
      </w:r>
      <w:proofErr w:type="spellEnd"/>
      <w:r w:rsidRPr="00982EF7">
        <w:rPr>
          <w:rFonts w:ascii="Segoe UI" w:eastAsia="Quattrocento Sans" w:hAnsi="Segoe UI" w:cs="Segoe UI"/>
          <w:i/>
          <w:iCs/>
        </w:rPr>
        <w:t>. "Estamos cumpliendo con lo que nos hemos comprometido y lo que hemos anunciado. Asimismo, continuamos haciendo progresos tangibles: en nuestros negocios, en ventas y en resultados. Estamos cambiando Henkel con decisiones audaces para un exitoso futuro y con una estrategia clara, vamos en el buen camino para un mayor crecimiento rentable".</w:t>
      </w:r>
    </w:p>
    <w:p w14:paraId="50D32871" w14:textId="77777777" w:rsidR="00B823D9" w:rsidRDefault="00B823D9" w:rsidP="00901E1D">
      <w:pPr>
        <w:widowControl w:val="0"/>
        <w:spacing w:line="240" w:lineRule="auto"/>
        <w:jc w:val="both"/>
        <w:rPr>
          <w:rFonts w:ascii="Segoe UI" w:eastAsia="Quattrocento Sans" w:hAnsi="Segoe UI" w:cs="Segoe UI"/>
        </w:rPr>
      </w:pPr>
    </w:p>
    <w:p w14:paraId="02E2ACB1" w14:textId="77777777" w:rsidR="00826B21" w:rsidRPr="00EA6B8E" w:rsidRDefault="00826B21" w:rsidP="00901E1D">
      <w:pPr>
        <w:spacing w:line="240" w:lineRule="auto"/>
        <w:jc w:val="both"/>
        <w:rPr>
          <w:rFonts w:ascii="Segoe UI" w:eastAsia="Times New Roman" w:hAnsi="Segoe UI" w:cs="Segoe UI"/>
          <w:sz w:val="24"/>
          <w:szCs w:val="24"/>
          <w:lang w:val="es-CL"/>
        </w:rPr>
      </w:pPr>
      <w:r w:rsidRPr="00EA6B8E">
        <w:rPr>
          <w:rFonts w:ascii="Segoe UI" w:eastAsia="Times New Roman" w:hAnsi="Segoe UI" w:cs="Segoe UI"/>
          <w:b/>
          <w:bCs/>
          <w:color w:val="000000"/>
          <w:sz w:val="14"/>
          <w:szCs w:val="14"/>
          <w:lang w:val="es-CL"/>
        </w:rPr>
        <w:t>Acerca de Henkel</w:t>
      </w:r>
    </w:p>
    <w:p w14:paraId="4D07A418" w14:textId="77777777" w:rsidR="00826B21" w:rsidRPr="00EA6B8E" w:rsidRDefault="00826B21" w:rsidP="00901E1D">
      <w:pPr>
        <w:spacing w:line="240" w:lineRule="auto"/>
        <w:jc w:val="both"/>
        <w:rPr>
          <w:rFonts w:ascii="Segoe UI" w:eastAsia="Times New Roman" w:hAnsi="Segoe UI" w:cs="Segoe UI"/>
          <w:sz w:val="24"/>
          <w:szCs w:val="24"/>
          <w:lang w:val="es-CL"/>
        </w:rPr>
      </w:pPr>
      <w:r w:rsidRPr="00EA6B8E">
        <w:rPr>
          <w:rFonts w:ascii="Segoe UI" w:eastAsia="Times New Roman" w:hAnsi="Segoe UI" w:cs="Segoe UI"/>
          <w:color w:val="000000"/>
          <w:sz w:val="14"/>
          <w:szCs w:val="14"/>
          <w:lang w:val="es-CL"/>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EA6B8E">
        <w:rPr>
          <w:rFonts w:ascii="Segoe UI" w:eastAsia="Times New Roman" w:hAnsi="Segoe UI" w:cs="Segoe UI"/>
          <w:color w:val="000000"/>
          <w:sz w:val="14"/>
          <w:szCs w:val="14"/>
          <w:lang w:val="es-CL"/>
        </w:rPr>
        <w:t>Consumer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Brands</w:t>
      </w:r>
      <w:proofErr w:type="spellEnd"/>
      <w:r w:rsidRPr="00EA6B8E">
        <w:rPr>
          <w:rFonts w:ascii="Segoe UI" w:eastAsia="Times New Roman" w:hAnsi="Segoe UI" w:cs="Segoe UI"/>
          <w:color w:val="000000"/>
          <w:sz w:val="14"/>
          <w:szCs w:val="14"/>
          <w:lang w:val="es-CL"/>
        </w:rPr>
        <w:t>, la empresa ocupa posiciones de liderazgo, especialmente en detergentes y cuidado del hogar</w:t>
      </w:r>
      <w:r>
        <w:rPr>
          <w:rFonts w:ascii="Segoe UI" w:eastAsia="Times New Roman" w:hAnsi="Segoe UI" w:cs="Segoe UI"/>
          <w:color w:val="000000"/>
          <w:sz w:val="14"/>
          <w:szCs w:val="14"/>
          <w:lang w:val="es-CL"/>
        </w:rPr>
        <w:t xml:space="preserve">, así como </w:t>
      </w:r>
      <w:r w:rsidRPr="00EA6B8E">
        <w:rPr>
          <w:rFonts w:ascii="Segoe UI" w:eastAsia="Times New Roman" w:hAnsi="Segoe UI" w:cs="Segoe UI"/>
          <w:color w:val="000000"/>
          <w:sz w:val="14"/>
          <w:szCs w:val="14"/>
          <w:lang w:val="es-CL"/>
        </w:rPr>
        <w:t xml:space="preserve">cuidado del cabello, en muchos mercados y categorías de todo el mundo. Las tres marcas más fuertes de la compañía son Loctite, </w:t>
      </w:r>
      <w:proofErr w:type="spellStart"/>
      <w:r>
        <w:rPr>
          <w:rFonts w:ascii="Segoe UI" w:eastAsia="Times New Roman" w:hAnsi="Segoe UI" w:cs="Segoe UI"/>
          <w:color w:val="000000"/>
          <w:sz w:val="14"/>
          <w:szCs w:val="14"/>
          <w:lang w:val="es-CL"/>
        </w:rPr>
        <w:t>Persil</w:t>
      </w:r>
      <w:proofErr w:type="spellEnd"/>
      <w:r w:rsidRPr="00EA6B8E">
        <w:rPr>
          <w:rFonts w:ascii="Segoe UI" w:eastAsia="Times New Roman" w:hAnsi="Segoe UI" w:cs="Segoe UI"/>
          <w:color w:val="000000"/>
          <w:sz w:val="14"/>
          <w:szCs w:val="14"/>
          <w:lang w:val="es-CL"/>
        </w:rPr>
        <w:t xml:space="preserve"> y Schwarzkopf. En el ejercicio fiscal 2023, Henkel registró unas ventas de </w:t>
      </w:r>
      <w:r>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21.500 millones de euros y un </w:t>
      </w:r>
      <w:r>
        <w:rPr>
          <w:rFonts w:ascii="Segoe UI" w:eastAsia="Times New Roman" w:hAnsi="Segoe UI" w:cs="Segoe UI"/>
          <w:color w:val="000000"/>
          <w:sz w:val="14"/>
          <w:szCs w:val="14"/>
          <w:lang w:val="es-CL"/>
        </w:rPr>
        <w:t>resultado</w:t>
      </w:r>
      <w:r w:rsidRPr="00EA6B8E">
        <w:rPr>
          <w:rFonts w:ascii="Segoe UI" w:eastAsia="Times New Roman" w:hAnsi="Segoe UI" w:cs="Segoe UI"/>
          <w:color w:val="000000"/>
          <w:sz w:val="14"/>
          <w:szCs w:val="14"/>
          <w:lang w:val="es-CL"/>
        </w:rPr>
        <w:t xml:space="preserve">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w:t>
      </w:r>
      <w:r w:rsidRPr="00EA6B8E">
        <w:rPr>
          <w:rFonts w:ascii="Segoe UI" w:eastAsia="Times New Roman" w:hAnsi="Segoe UI" w:cs="Segoe UI"/>
          <w:color w:val="000000"/>
          <w:sz w:val="14"/>
          <w:szCs w:val="14"/>
          <w:lang w:val="es-CL"/>
        </w:rPr>
        <w:lastRenderedPageBreak/>
        <w:t xml:space="preserve">emplea a un equipo diverso de </w:t>
      </w:r>
      <w:r>
        <w:rPr>
          <w:rFonts w:ascii="Segoe UI" w:eastAsia="Times New Roman" w:hAnsi="Segoe UI" w:cs="Segoe UI"/>
          <w:color w:val="000000"/>
          <w:sz w:val="14"/>
          <w:szCs w:val="14"/>
          <w:lang w:val="es-CL"/>
        </w:rPr>
        <w:t>cerca de</w:t>
      </w:r>
      <w:r w:rsidRPr="00EA6B8E">
        <w:rPr>
          <w:rFonts w:ascii="Segoe UI" w:eastAsia="Times New Roman" w:hAnsi="Segoe UI" w:cs="Segoe UI"/>
          <w:color w:val="000000"/>
          <w:sz w:val="14"/>
          <w:szCs w:val="14"/>
          <w:lang w:val="es-CL"/>
        </w:rPr>
        <w:t xml:space="preserve"> 48.000 personas en todo el mundo,</w:t>
      </w:r>
      <w:r>
        <w:rPr>
          <w:rFonts w:ascii="Segoe UI" w:eastAsia="Times New Roman" w:hAnsi="Segoe UI" w:cs="Segoe UI"/>
          <w:sz w:val="24"/>
          <w:szCs w:val="24"/>
          <w:lang w:val="es-CL"/>
        </w:rPr>
        <w:t xml:space="preserve"> </w:t>
      </w:r>
      <w:r w:rsidRPr="00EA6B8E">
        <w:rPr>
          <w:rFonts w:ascii="Segoe UI" w:eastAsia="Times New Roman" w:hAnsi="Segoe UI" w:cs="Segoe UI"/>
          <w:color w:val="000000"/>
          <w:sz w:val="14"/>
          <w:szCs w:val="14"/>
          <w:lang w:val="es-CL"/>
        </w:rPr>
        <w:t>unidas por una sólida cultura corporativa, valores compartidos y un propósito común: "</w:t>
      </w:r>
      <w:proofErr w:type="spellStart"/>
      <w:r w:rsidRPr="00EA6B8E">
        <w:rPr>
          <w:rFonts w:ascii="Segoe UI" w:eastAsia="Times New Roman" w:hAnsi="Segoe UI" w:cs="Segoe UI"/>
          <w:color w:val="000000"/>
          <w:sz w:val="14"/>
          <w:szCs w:val="14"/>
          <w:lang w:val="es-CL"/>
        </w:rPr>
        <w:t>Pioneers</w:t>
      </w:r>
      <w:proofErr w:type="spellEnd"/>
      <w:r w:rsidRPr="00EA6B8E">
        <w:rPr>
          <w:rFonts w:ascii="Segoe UI" w:eastAsia="Times New Roman" w:hAnsi="Segoe UI" w:cs="Segoe UI"/>
          <w:color w:val="000000"/>
          <w:sz w:val="14"/>
          <w:szCs w:val="14"/>
          <w:lang w:val="es-CL"/>
        </w:rPr>
        <w:t xml:space="preserve"> at </w:t>
      </w:r>
      <w:proofErr w:type="spellStart"/>
      <w:r w:rsidRPr="00EA6B8E">
        <w:rPr>
          <w:rFonts w:ascii="Segoe UI" w:eastAsia="Times New Roman" w:hAnsi="Segoe UI" w:cs="Segoe UI"/>
          <w:color w:val="000000"/>
          <w:sz w:val="14"/>
          <w:szCs w:val="14"/>
          <w:lang w:val="es-CL"/>
        </w:rPr>
        <w:t>heart</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for</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the</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good</w:t>
      </w:r>
      <w:proofErr w:type="spellEnd"/>
      <w:r w:rsidRPr="00EA6B8E">
        <w:rPr>
          <w:rFonts w:ascii="Segoe UI" w:eastAsia="Times New Roman" w:hAnsi="Segoe UI" w:cs="Segoe UI"/>
          <w:color w:val="000000"/>
          <w:sz w:val="14"/>
          <w:szCs w:val="14"/>
          <w:lang w:val="es-CL"/>
        </w:rPr>
        <w:t xml:space="preserve"> </w:t>
      </w:r>
      <w:proofErr w:type="spellStart"/>
      <w:r w:rsidRPr="00EA6B8E">
        <w:rPr>
          <w:rFonts w:ascii="Segoe UI" w:eastAsia="Times New Roman" w:hAnsi="Segoe UI" w:cs="Segoe UI"/>
          <w:color w:val="000000"/>
          <w:sz w:val="14"/>
          <w:szCs w:val="14"/>
          <w:lang w:val="es-CL"/>
        </w:rPr>
        <w:t>of</w:t>
      </w:r>
      <w:proofErr w:type="spellEnd"/>
      <w:r>
        <w:rPr>
          <w:rFonts w:ascii="Segoe UI" w:eastAsia="Times New Roman" w:hAnsi="Segoe UI" w:cs="Segoe UI"/>
          <w:sz w:val="24"/>
          <w:szCs w:val="24"/>
          <w:lang w:val="es-CL"/>
        </w:rPr>
        <w:t xml:space="preserve"> </w:t>
      </w:r>
      <w:proofErr w:type="spellStart"/>
      <w:r w:rsidRPr="00EA6B8E">
        <w:rPr>
          <w:rFonts w:ascii="Segoe UI" w:eastAsia="Times New Roman" w:hAnsi="Segoe UI" w:cs="Segoe UI"/>
          <w:color w:val="000000"/>
          <w:sz w:val="14"/>
          <w:szCs w:val="14"/>
          <w:lang w:val="es-CL"/>
        </w:rPr>
        <w:t>generations</w:t>
      </w:r>
      <w:proofErr w:type="spellEnd"/>
      <w:r w:rsidRPr="00EA6B8E">
        <w:rPr>
          <w:rFonts w:ascii="Segoe UI" w:eastAsia="Times New Roman" w:hAnsi="Segoe UI" w:cs="Segoe UI"/>
          <w:color w:val="000000"/>
          <w:sz w:val="14"/>
          <w:szCs w:val="14"/>
          <w:lang w:val="es-CL"/>
        </w:rPr>
        <w:t>"</w:t>
      </w:r>
      <w:r>
        <w:rPr>
          <w:rFonts w:ascii="Segoe UI" w:eastAsia="Times New Roman" w:hAnsi="Segoe UI" w:cs="Segoe UI"/>
          <w:color w:val="000000"/>
          <w:sz w:val="14"/>
          <w:szCs w:val="14"/>
          <w:lang w:val="es-CL"/>
        </w:rPr>
        <w:t xml:space="preserve">. </w:t>
      </w:r>
      <w:r w:rsidRPr="00EA6B8E">
        <w:rPr>
          <w:rFonts w:ascii="Segoe UI" w:eastAsia="Times New Roman" w:hAnsi="Segoe UI" w:cs="Segoe UI"/>
          <w:color w:val="000000"/>
          <w:sz w:val="14"/>
          <w:szCs w:val="14"/>
          <w:lang w:val="es-CL"/>
        </w:rPr>
        <w:t xml:space="preserve"> Más información en </w:t>
      </w:r>
      <w:hyperlink r:id="rId8" w:history="1">
        <w:r w:rsidRPr="00EA6B8E">
          <w:rPr>
            <w:rFonts w:ascii="Segoe UI" w:eastAsia="Times New Roman" w:hAnsi="Segoe UI" w:cs="Segoe UI"/>
            <w:color w:val="1155CC"/>
            <w:sz w:val="14"/>
            <w:szCs w:val="14"/>
            <w:u w:val="single"/>
            <w:lang w:val="es-CL"/>
          </w:rPr>
          <w:t>www.henkel.com</w:t>
        </w:r>
      </w:hyperlink>
    </w:p>
    <w:p w14:paraId="392F037D" w14:textId="77777777" w:rsidR="00826B21" w:rsidRPr="00EA6B8E" w:rsidRDefault="00826B21" w:rsidP="00901E1D">
      <w:pPr>
        <w:spacing w:line="240" w:lineRule="auto"/>
        <w:rPr>
          <w:rFonts w:ascii="Segoe UI" w:eastAsia="Times New Roman" w:hAnsi="Segoe UI" w:cs="Segoe UI"/>
          <w:sz w:val="24"/>
          <w:szCs w:val="24"/>
          <w:lang w:val="es-CL"/>
        </w:rPr>
      </w:pPr>
    </w:p>
    <w:p w14:paraId="2A633E07" w14:textId="41AC6CC2" w:rsidR="00716C9C" w:rsidRDefault="00826B21" w:rsidP="00716C9C">
      <w:pPr>
        <w:spacing w:line="240" w:lineRule="auto"/>
        <w:jc w:val="both"/>
        <w:rPr>
          <w:rFonts w:ascii="Segoe UI" w:eastAsia="Times New Roman" w:hAnsi="Segoe UI" w:cs="Segoe UI"/>
          <w:b/>
          <w:bCs/>
          <w:color w:val="000000"/>
          <w:sz w:val="14"/>
          <w:szCs w:val="14"/>
          <w:lang w:val="es-CL"/>
        </w:rPr>
      </w:pPr>
      <w:r w:rsidRPr="00EA6B8E">
        <w:rPr>
          <w:rFonts w:ascii="Segoe UI" w:eastAsia="Times New Roman" w:hAnsi="Segoe UI" w:cs="Segoe UI"/>
          <w:b/>
          <w:bCs/>
          <w:color w:val="000000"/>
          <w:sz w:val="14"/>
          <w:szCs w:val="14"/>
          <w:lang w:val="es-CL"/>
        </w:rPr>
        <w:t xml:space="preserve">Acerca de Henkel en </w:t>
      </w:r>
      <w:r w:rsidR="00716C9C">
        <w:rPr>
          <w:rFonts w:ascii="Segoe UI" w:eastAsia="Times New Roman" w:hAnsi="Segoe UI" w:cs="Segoe UI"/>
          <w:b/>
          <w:bCs/>
          <w:color w:val="000000"/>
          <w:sz w:val="14"/>
          <w:szCs w:val="14"/>
          <w:lang w:val="es-CL"/>
        </w:rPr>
        <w:t>Argentina</w:t>
      </w:r>
    </w:p>
    <w:p w14:paraId="7DE4EC67" w14:textId="7BE02A52" w:rsidR="00716C9C" w:rsidRPr="00716C9C" w:rsidRDefault="00716C9C" w:rsidP="00716C9C">
      <w:pPr>
        <w:spacing w:line="240" w:lineRule="auto"/>
        <w:jc w:val="both"/>
        <w:rPr>
          <w:rFonts w:ascii="Segoe UI" w:eastAsia="Times New Roman" w:hAnsi="Segoe UI" w:cs="Segoe UI"/>
          <w:color w:val="000000"/>
          <w:sz w:val="14"/>
          <w:szCs w:val="14"/>
          <w:lang w:val="es-CL"/>
        </w:rPr>
      </w:pPr>
      <w:r w:rsidRPr="00716C9C">
        <w:rPr>
          <w:rFonts w:ascii="Segoe UI" w:eastAsia="Times New Roman" w:hAnsi="Segoe UI" w:cs="Segoe UI"/>
          <w:color w:val="000000"/>
          <w:sz w:val="14"/>
          <w:szCs w:val="14"/>
          <w:lang w:val="es-CL"/>
        </w:rPr>
        <w:t xml:space="preserve">Henkel tiene más de 54 años de presencia en Argentina. Respaldados por su reconocida calidad a nivel mundial, se comercializan exitosamente productos en los sectores de Adhesive Technologies (sector industrial) y </w:t>
      </w:r>
      <w:proofErr w:type="spellStart"/>
      <w:r w:rsidRPr="00716C9C">
        <w:rPr>
          <w:rFonts w:ascii="Segoe UI" w:eastAsia="Times New Roman" w:hAnsi="Segoe UI" w:cs="Segoe UI"/>
          <w:color w:val="000000"/>
          <w:sz w:val="14"/>
          <w:szCs w:val="14"/>
          <w:lang w:val="es-CL"/>
        </w:rPr>
        <w:t>Consumer</w:t>
      </w:r>
      <w:proofErr w:type="spellEnd"/>
      <w:r w:rsidRPr="00716C9C">
        <w:rPr>
          <w:rFonts w:ascii="Segoe UI" w:eastAsia="Times New Roman" w:hAnsi="Segoe UI" w:cs="Segoe UI"/>
          <w:color w:val="000000"/>
          <w:sz w:val="14"/>
          <w:szCs w:val="14"/>
          <w:lang w:val="es-CL"/>
        </w:rPr>
        <w:t xml:space="preserve"> </w:t>
      </w:r>
      <w:proofErr w:type="spellStart"/>
      <w:r w:rsidRPr="00716C9C">
        <w:rPr>
          <w:rFonts w:ascii="Segoe UI" w:eastAsia="Times New Roman" w:hAnsi="Segoe UI" w:cs="Segoe UI"/>
          <w:color w:val="000000"/>
          <w:sz w:val="14"/>
          <w:szCs w:val="14"/>
          <w:lang w:val="es-CL"/>
        </w:rPr>
        <w:t>Brands</w:t>
      </w:r>
      <w:proofErr w:type="spellEnd"/>
      <w:r w:rsidRPr="00716C9C">
        <w:rPr>
          <w:rFonts w:ascii="Segoe UI" w:eastAsia="Times New Roman" w:hAnsi="Segoe UI" w:cs="Segoe UI"/>
          <w:color w:val="000000"/>
          <w:sz w:val="14"/>
          <w:szCs w:val="14"/>
          <w:lang w:val="es-CL"/>
        </w:rPr>
        <w:t xml:space="preserve"> (sector profesional). Hablando de las ventas, en 2023 fueron de más de 96 millones de euros, lo que representa más de 30,141 millones de pesos argentinos y cuenta con cerca de 120 colaboradores, distribuidos entre su oficina corporativa en San Isidro, una planta en Chivilcoy y una Academia en la Capital Federal. Para más información, visite www.henkel.com.ar</w:t>
      </w:r>
    </w:p>
    <w:p w14:paraId="524E2420" w14:textId="77777777" w:rsidR="00716C9C" w:rsidRPr="00716C9C" w:rsidRDefault="00716C9C" w:rsidP="00716C9C">
      <w:pPr>
        <w:spacing w:line="240" w:lineRule="auto"/>
        <w:jc w:val="both"/>
        <w:rPr>
          <w:rFonts w:ascii="Segoe UI" w:eastAsia="Times New Roman" w:hAnsi="Segoe UI" w:cs="Segoe UI"/>
          <w:b/>
          <w:bCs/>
          <w:color w:val="000000"/>
          <w:sz w:val="14"/>
          <w:szCs w:val="14"/>
          <w:lang w:val="es-CL"/>
        </w:rPr>
      </w:pPr>
    </w:p>
    <w:p w14:paraId="5D8B13CF" w14:textId="77777777" w:rsidR="00716C9C" w:rsidRPr="00716C9C" w:rsidRDefault="00716C9C" w:rsidP="00716C9C">
      <w:pPr>
        <w:spacing w:line="240" w:lineRule="auto"/>
        <w:jc w:val="both"/>
        <w:rPr>
          <w:rFonts w:ascii="Segoe UI" w:eastAsia="Times New Roman" w:hAnsi="Segoe UI" w:cs="Segoe UI"/>
          <w:b/>
          <w:bCs/>
          <w:color w:val="000000"/>
          <w:sz w:val="14"/>
          <w:szCs w:val="14"/>
          <w:lang w:val="es-CL"/>
        </w:rPr>
      </w:pPr>
    </w:p>
    <w:p w14:paraId="044D3884" w14:textId="77777777" w:rsidR="00826B21" w:rsidRPr="00EA6B8E" w:rsidRDefault="00826B21" w:rsidP="00901E1D">
      <w:pPr>
        <w:spacing w:line="240" w:lineRule="auto"/>
        <w:rPr>
          <w:rFonts w:ascii="Segoe UI" w:eastAsia="Times New Roman" w:hAnsi="Segoe UI" w:cs="Segoe UI"/>
          <w:sz w:val="24"/>
          <w:szCs w:val="24"/>
          <w:lang w:val="es-CL"/>
        </w:rPr>
      </w:pPr>
    </w:p>
    <w:p w14:paraId="217DE2B7" w14:textId="77777777" w:rsidR="00826B21" w:rsidRPr="00EA6B8E" w:rsidRDefault="00826B21" w:rsidP="00901E1D">
      <w:pPr>
        <w:spacing w:line="240" w:lineRule="auto"/>
        <w:jc w:val="center"/>
        <w:rPr>
          <w:rFonts w:ascii="Segoe UI" w:eastAsia="Times New Roman" w:hAnsi="Segoe UI" w:cs="Segoe UI"/>
          <w:sz w:val="24"/>
          <w:szCs w:val="24"/>
          <w:lang w:val="es-CL"/>
        </w:rPr>
      </w:pPr>
      <w:r w:rsidRPr="00EA6B8E">
        <w:rPr>
          <w:rFonts w:ascii="Segoe UI" w:eastAsia="Times New Roman" w:hAnsi="Segoe UI" w:cs="Segoe UI"/>
          <w:color w:val="000000"/>
          <w:sz w:val="24"/>
          <w:szCs w:val="24"/>
          <w:lang w:val="es-CL"/>
        </w:rPr>
        <w:t>###</w:t>
      </w:r>
    </w:p>
    <w:p w14:paraId="756F5A3F" w14:textId="77777777" w:rsidR="00826B21" w:rsidRDefault="00826B21" w:rsidP="00901E1D">
      <w:pPr>
        <w:spacing w:line="240" w:lineRule="auto"/>
        <w:jc w:val="center"/>
        <w:rPr>
          <w:rFonts w:ascii="Segoe UI" w:eastAsia="Times New Roman" w:hAnsi="Segoe UI" w:cs="Segoe UI"/>
          <w:b/>
          <w:bCs/>
          <w:color w:val="000000"/>
          <w:lang w:val="es-CL"/>
        </w:rPr>
      </w:pPr>
      <w:r w:rsidRPr="00EA6B8E">
        <w:rPr>
          <w:rFonts w:ascii="Segoe UI" w:eastAsia="Times New Roman" w:hAnsi="Segoe UI" w:cs="Segoe UI"/>
          <w:b/>
          <w:bCs/>
          <w:color w:val="000000"/>
          <w:lang w:val="es-CL"/>
        </w:rPr>
        <w:t>CONTACTO DE PRENSA</w:t>
      </w:r>
    </w:p>
    <w:p w14:paraId="2244382D" w14:textId="7CFC2164" w:rsidR="00716C9C" w:rsidRPr="00EA6B8E" w:rsidRDefault="00716C9C" w:rsidP="00901E1D">
      <w:pPr>
        <w:spacing w:line="240" w:lineRule="auto"/>
        <w:jc w:val="center"/>
        <w:rPr>
          <w:rFonts w:ascii="Segoe UI" w:eastAsia="Times New Roman" w:hAnsi="Segoe UI" w:cs="Segoe UI"/>
          <w:sz w:val="24"/>
          <w:szCs w:val="24"/>
          <w:lang w:val="es-CL"/>
        </w:rPr>
      </w:pPr>
      <w:r>
        <w:rPr>
          <w:rFonts w:ascii="Segoe UI" w:eastAsia="Times New Roman" w:hAnsi="Segoe UI" w:cs="Segoe UI"/>
          <w:b/>
          <w:bCs/>
          <w:color w:val="000000"/>
          <w:lang w:val="es-CL"/>
        </w:rPr>
        <w:t>POINTER DH</w:t>
      </w:r>
    </w:p>
    <w:p w14:paraId="3D29D751" w14:textId="77777777" w:rsidR="00716C9C" w:rsidRPr="00716C9C" w:rsidRDefault="00716C9C" w:rsidP="00716C9C">
      <w:pPr>
        <w:spacing w:line="240" w:lineRule="auto"/>
        <w:jc w:val="center"/>
        <w:rPr>
          <w:rFonts w:ascii="Segoe UI" w:eastAsia="Times New Roman" w:hAnsi="Segoe UI" w:cs="Segoe UI"/>
          <w:color w:val="000000"/>
          <w:sz w:val="14"/>
          <w:szCs w:val="14"/>
          <w:lang w:val="es-CL"/>
        </w:rPr>
      </w:pPr>
      <w:r w:rsidRPr="00716C9C">
        <w:rPr>
          <w:rFonts w:ascii="Segoe UI" w:eastAsia="Times New Roman" w:hAnsi="Segoe UI" w:cs="Segoe UI"/>
          <w:color w:val="000000"/>
          <w:sz w:val="14"/>
          <w:szCs w:val="14"/>
          <w:lang w:val="es-CL"/>
        </w:rPr>
        <w:t>Contacto: Nadia Amad</w:t>
      </w:r>
    </w:p>
    <w:p w14:paraId="09360995" w14:textId="1E2B2B7C" w:rsidR="00716C9C" w:rsidRPr="00716C9C" w:rsidRDefault="00716C9C" w:rsidP="00716C9C">
      <w:pPr>
        <w:spacing w:line="240" w:lineRule="auto"/>
        <w:jc w:val="center"/>
        <w:rPr>
          <w:rFonts w:ascii="Segoe UI" w:eastAsia="Times New Roman" w:hAnsi="Segoe UI" w:cs="Segoe UI"/>
          <w:color w:val="000000"/>
          <w:sz w:val="14"/>
          <w:szCs w:val="14"/>
          <w:lang w:val="de-DE"/>
        </w:rPr>
      </w:pPr>
      <w:proofErr w:type="spellStart"/>
      <w:r w:rsidRPr="00716C9C">
        <w:rPr>
          <w:rFonts w:ascii="Segoe UI" w:eastAsia="Times New Roman" w:hAnsi="Segoe UI" w:cs="Segoe UI"/>
          <w:color w:val="000000"/>
          <w:sz w:val="14"/>
          <w:szCs w:val="14"/>
          <w:lang w:val="de-DE"/>
        </w:rPr>
        <w:t>E-mail</w:t>
      </w:r>
      <w:proofErr w:type="spellEnd"/>
      <w:r w:rsidRPr="00716C9C">
        <w:rPr>
          <w:rFonts w:ascii="Segoe UI" w:eastAsia="Times New Roman" w:hAnsi="Segoe UI" w:cs="Segoe UI"/>
          <w:color w:val="000000"/>
          <w:sz w:val="14"/>
          <w:szCs w:val="14"/>
          <w:lang w:val="de-DE"/>
        </w:rPr>
        <w:t xml:space="preserve">: </w:t>
      </w:r>
      <w:hyperlink r:id="rId9" w:history="1">
        <w:r>
          <w:rPr>
            <w:rStyle w:val="Hipervnculo"/>
            <w:rFonts w:ascii="Segoe UI" w:eastAsia="Times New Roman" w:hAnsi="Segoe UI" w:cs="Segoe UI"/>
            <w:sz w:val="14"/>
            <w:szCs w:val="14"/>
            <w:lang w:val="de-DE"/>
          </w:rPr>
          <w:t>nadia@pointerdh.com.ar</w:t>
        </w:r>
      </w:hyperlink>
    </w:p>
    <w:p w14:paraId="791A53B8" w14:textId="77777777" w:rsidR="00716C9C" w:rsidRPr="00716C9C" w:rsidRDefault="00716C9C" w:rsidP="00716C9C">
      <w:pPr>
        <w:spacing w:line="240" w:lineRule="auto"/>
        <w:jc w:val="center"/>
        <w:rPr>
          <w:rFonts w:ascii="Segoe UI" w:eastAsia="Times New Roman" w:hAnsi="Segoe UI" w:cs="Segoe UI"/>
          <w:b/>
          <w:bCs/>
          <w:color w:val="000000"/>
          <w:sz w:val="14"/>
          <w:szCs w:val="14"/>
          <w:lang w:val="de-DE"/>
        </w:rPr>
      </w:pPr>
    </w:p>
    <w:p w14:paraId="020ABBB3" w14:textId="77777777" w:rsidR="00716C9C" w:rsidRPr="00716C9C" w:rsidRDefault="00716C9C" w:rsidP="00716C9C">
      <w:pPr>
        <w:spacing w:line="240" w:lineRule="auto"/>
        <w:jc w:val="center"/>
        <w:rPr>
          <w:rFonts w:ascii="Segoe UI" w:eastAsia="Times New Roman" w:hAnsi="Segoe UI" w:cs="Segoe UI"/>
          <w:color w:val="000000"/>
          <w:sz w:val="14"/>
          <w:szCs w:val="14"/>
          <w:lang w:val="es-CL"/>
        </w:rPr>
      </w:pPr>
      <w:r w:rsidRPr="00716C9C">
        <w:rPr>
          <w:rFonts w:ascii="Segoe UI" w:eastAsia="Times New Roman" w:hAnsi="Segoe UI" w:cs="Segoe UI"/>
          <w:color w:val="000000"/>
          <w:sz w:val="14"/>
          <w:szCs w:val="14"/>
          <w:lang w:val="es-CL"/>
        </w:rPr>
        <w:t>Contacto: Daniela Gigante</w:t>
      </w:r>
    </w:p>
    <w:p w14:paraId="70CF6D42" w14:textId="30607A1E" w:rsidR="00716C9C" w:rsidRPr="00716C9C" w:rsidRDefault="00716C9C" w:rsidP="00716C9C">
      <w:pPr>
        <w:spacing w:line="240" w:lineRule="auto"/>
        <w:jc w:val="center"/>
        <w:rPr>
          <w:rFonts w:ascii="Segoe UI" w:eastAsia="Times New Roman" w:hAnsi="Segoe UI" w:cs="Segoe UI"/>
          <w:color w:val="000000"/>
          <w:sz w:val="14"/>
          <w:szCs w:val="14"/>
          <w:lang w:val="de-DE"/>
        </w:rPr>
      </w:pPr>
      <w:proofErr w:type="spellStart"/>
      <w:r w:rsidRPr="00716C9C">
        <w:rPr>
          <w:rFonts w:ascii="Segoe UI" w:eastAsia="Times New Roman" w:hAnsi="Segoe UI" w:cs="Segoe UI"/>
          <w:color w:val="000000"/>
          <w:sz w:val="14"/>
          <w:szCs w:val="14"/>
          <w:lang w:val="de-DE"/>
        </w:rPr>
        <w:t>E-mail</w:t>
      </w:r>
      <w:proofErr w:type="spellEnd"/>
      <w:r w:rsidRPr="00716C9C">
        <w:rPr>
          <w:rFonts w:ascii="Segoe UI" w:eastAsia="Times New Roman" w:hAnsi="Segoe UI" w:cs="Segoe UI"/>
          <w:color w:val="000000"/>
          <w:sz w:val="14"/>
          <w:szCs w:val="14"/>
          <w:lang w:val="de-DE"/>
        </w:rPr>
        <w:t xml:space="preserve">: </w:t>
      </w:r>
      <w:hyperlink r:id="rId10" w:history="1">
        <w:r w:rsidRPr="00716C9C">
          <w:rPr>
            <w:rStyle w:val="Hipervnculo"/>
            <w:rFonts w:ascii="Segoe UI" w:eastAsia="Times New Roman" w:hAnsi="Segoe UI" w:cs="Segoe UI"/>
            <w:sz w:val="14"/>
            <w:szCs w:val="14"/>
            <w:lang w:val="de-DE"/>
          </w:rPr>
          <w:t>daniela.gigante@pointerdh.com.ar</w:t>
        </w:r>
      </w:hyperlink>
    </w:p>
    <w:p w14:paraId="609F75C3" w14:textId="77777777" w:rsidR="00716C9C" w:rsidRPr="00716C9C" w:rsidRDefault="00716C9C" w:rsidP="00716C9C">
      <w:pPr>
        <w:spacing w:line="240" w:lineRule="auto"/>
        <w:jc w:val="both"/>
        <w:rPr>
          <w:rFonts w:ascii="Segoe UI" w:eastAsia="Times New Roman" w:hAnsi="Segoe UI" w:cs="Segoe UI"/>
          <w:color w:val="000000"/>
          <w:sz w:val="14"/>
          <w:szCs w:val="14"/>
          <w:lang w:val="de-DE"/>
        </w:rPr>
      </w:pPr>
      <w:r w:rsidRPr="00716C9C">
        <w:rPr>
          <w:rFonts w:ascii="Segoe UI" w:eastAsia="Times New Roman" w:hAnsi="Segoe UI" w:cs="Segoe UI"/>
          <w:color w:val="000000"/>
          <w:sz w:val="14"/>
          <w:szCs w:val="14"/>
          <w:lang w:val="de-DE"/>
        </w:rPr>
        <w:t xml:space="preserve"> </w:t>
      </w:r>
    </w:p>
    <w:p w14:paraId="08A534A6" w14:textId="6C60159B" w:rsidR="00826B21" w:rsidRPr="00716C9C" w:rsidRDefault="00826B21" w:rsidP="00901E1D">
      <w:pPr>
        <w:spacing w:line="240" w:lineRule="auto"/>
        <w:jc w:val="center"/>
        <w:rPr>
          <w:rFonts w:ascii="Segoe UI" w:eastAsia="Times New Roman" w:hAnsi="Segoe UI" w:cs="Segoe UI"/>
          <w:sz w:val="24"/>
          <w:szCs w:val="24"/>
          <w:lang w:val="de-DE"/>
        </w:rPr>
      </w:pPr>
    </w:p>
    <w:p w14:paraId="591B087E" w14:textId="77777777" w:rsidR="00826B21" w:rsidRPr="00716C9C" w:rsidRDefault="00826B21" w:rsidP="00901E1D">
      <w:pPr>
        <w:widowControl w:val="0"/>
        <w:spacing w:line="240" w:lineRule="auto"/>
        <w:jc w:val="both"/>
        <w:rPr>
          <w:rFonts w:ascii="Segoe UI" w:eastAsia="Quattrocento Sans" w:hAnsi="Segoe UI" w:cs="Segoe UI"/>
          <w:lang w:val="de-DE"/>
        </w:rPr>
      </w:pPr>
    </w:p>
    <w:p w14:paraId="516D38E6" w14:textId="77777777" w:rsidR="00B823D9" w:rsidRPr="00716C9C" w:rsidRDefault="00B823D9" w:rsidP="00901E1D">
      <w:pPr>
        <w:widowControl w:val="0"/>
        <w:spacing w:line="240" w:lineRule="auto"/>
        <w:jc w:val="both"/>
        <w:rPr>
          <w:rFonts w:ascii="Segoe UI" w:eastAsia="Quattrocento Sans" w:hAnsi="Segoe UI" w:cs="Segoe UI"/>
          <w:lang w:val="de-DE"/>
        </w:rPr>
      </w:pPr>
    </w:p>
    <w:p w14:paraId="00D4797B" w14:textId="77777777" w:rsidR="00826B21" w:rsidRPr="00716C9C" w:rsidRDefault="00826B21" w:rsidP="00901E1D">
      <w:pPr>
        <w:widowControl w:val="0"/>
        <w:spacing w:line="240" w:lineRule="auto"/>
        <w:jc w:val="both"/>
        <w:rPr>
          <w:rFonts w:ascii="Segoe UI" w:eastAsia="Quattrocento Sans" w:hAnsi="Segoe UI" w:cs="Segoe UI"/>
          <w:lang w:val="de-DE"/>
        </w:rPr>
        <w:sectPr w:rsidR="00826B21" w:rsidRPr="00716C9C" w:rsidSect="009022D2">
          <w:headerReference w:type="default" r:id="rId11"/>
          <w:footerReference w:type="default" r:id="rId12"/>
          <w:pgSz w:w="11909" w:h="16834"/>
          <w:pgMar w:top="1417" w:right="1701" w:bottom="1417" w:left="1701" w:header="720" w:footer="720" w:gutter="0"/>
          <w:cols w:space="720"/>
          <w:docGrid w:linePitch="299"/>
        </w:sectPr>
      </w:pPr>
    </w:p>
    <w:p w14:paraId="6128BF76" w14:textId="77777777" w:rsidR="00B823D9" w:rsidRPr="00716C9C" w:rsidRDefault="00B823D9" w:rsidP="00901E1D">
      <w:pPr>
        <w:tabs>
          <w:tab w:val="left" w:pos="465"/>
          <w:tab w:val="left" w:pos="466"/>
        </w:tabs>
        <w:spacing w:line="240" w:lineRule="auto"/>
        <w:rPr>
          <w:rFonts w:ascii="Segoe UI" w:hAnsi="Segoe UI" w:cs="Segoe UI"/>
          <w:lang w:val="de-DE"/>
        </w:rPr>
      </w:pPr>
    </w:p>
    <w:sectPr w:rsidR="00B823D9" w:rsidRPr="00716C9C">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3F5F3" w14:textId="77777777" w:rsidR="00B13397" w:rsidRDefault="00B13397">
      <w:pPr>
        <w:spacing w:line="240" w:lineRule="auto"/>
      </w:pPr>
      <w:r>
        <w:separator/>
      </w:r>
    </w:p>
  </w:endnote>
  <w:endnote w:type="continuationSeparator" w:id="0">
    <w:p w14:paraId="763860BD" w14:textId="77777777" w:rsidR="00B13397" w:rsidRDefault="00B13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5EA9" w14:textId="20C6FFFB" w:rsidR="00B823D9" w:rsidRDefault="00492C18">
    <w:pPr>
      <w:widowControl w:val="0"/>
      <w:tabs>
        <w:tab w:val="center" w:pos="4252"/>
        <w:tab w:val="right" w:pos="8504"/>
      </w:tabs>
      <w:spacing w:line="240" w:lineRule="auto"/>
    </w:pPr>
    <w:r>
      <w:t xml:space="preserve"> </w:t>
    </w:r>
    <w:r w:rsidR="00716C9C">
      <w:rPr>
        <w:rFonts w:ascii="Quattrocento Sans" w:hAnsi="Quattrocento Sans"/>
        <w:noProof/>
        <w:color w:val="000000"/>
        <w:bdr w:val="none" w:sz="0" w:space="0" w:color="auto" w:frame="1"/>
      </w:rPr>
      <w:drawing>
        <wp:inline distT="0" distB="0" distL="0" distR="0" wp14:anchorId="69A06DFF" wp14:editId="1B1AA2BD">
          <wp:extent cx="5401945" cy="427990"/>
          <wp:effectExtent l="0" t="0" r="8255" b="0"/>
          <wp:docPr id="555959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945" cy="4279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91D06" w14:textId="77777777" w:rsidR="00B13397" w:rsidRDefault="00B13397">
      <w:pPr>
        <w:spacing w:line="240" w:lineRule="auto"/>
      </w:pPr>
      <w:r>
        <w:separator/>
      </w:r>
    </w:p>
  </w:footnote>
  <w:footnote w:type="continuationSeparator" w:id="0">
    <w:p w14:paraId="61F4BD57" w14:textId="77777777" w:rsidR="00B13397" w:rsidRDefault="00B13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4725" w14:textId="4E984913" w:rsidR="00330333" w:rsidRDefault="002E636D">
    <w:pPr>
      <w:pStyle w:val="Encabezado"/>
    </w:pPr>
    <w:r>
      <w:rPr>
        <w:rFonts w:ascii="Times New Roman" w:eastAsia="Times New Roman" w:hAnsi="Times New Roman" w:cs="Times New Roman"/>
        <w:noProof/>
        <w:sz w:val="20"/>
        <w:szCs w:val="20"/>
        <w:lang w:val="en-US"/>
      </w:rPr>
      <w:drawing>
        <wp:anchor distT="0" distB="0" distL="114300" distR="114300" simplePos="0" relativeHeight="251662336" behindDoc="0" locked="0" layoutInCell="1" allowOverlap="1" wp14:anchorId="12CEBEA3" wp14:editId="4A71A048">
          <wp:simplePos x="0" y="0"/>
          <wp:positionH relativeFrom="margin">
            <wp:align>right</wp:align>
          </wp:positionH>
          <wp:positionV relativeFrom="paragraph">
            <wp:posOffset>124851</wp:posOffset>
          </wp:positionV>
          <wp:extent cx="1025857" cy="578072"/>
          <wp:effectExtent l="0" t="0" r="3175" b="0"/>
          <wp:wrapNone/>
          <wp:docPr id="1687988019" name="image2.jp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image2.jpg" descr="Un dibujo de una cara feliz&#10;&#10;Descripción generada automáticamente con confianza baja"/>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25857" cy="578072"/>
                  </a:xfrm>
                  <a:prstGeom prst="rect">
                    <a:avLst/>
                  </a:prstGeom>
                  <a:ln/>
                </pic:spPr>
              </pic:pic>
            </a:graphicData>
          </a:graphic>
          <wp14:sizeRelH relativeFrom="page">
            <wp14:pctWidth>0</wp14:pctWidth>
          </wp14:sizeRelH>
          <wp14:sizeRelV relativeFrom="page">
            <wp14:pctHeight>0</wp14:pctHeight>
          </wp14:sizeRelV>
        </wp:anchor>
      </w:drawing>
    </w:r>
  </w:p>
  <w:p w14:paraId="3516EF7A" w14:textId="046C6CD8" w:rsidR="00330333" w:rsidRDefault="00330333">
    <w:pPr>
      <w:pStyle w:val="Encabezado"/>
    </w:pPr>
  </w:p>
  <w:p w14:paraId="016D4862" w14:textId="77777777" w:rsidR="00330333" w:rsidRDefault="00330333">
    <w:pPr>
      <w:pStyle w:val="Encabezado"/>
    </w:pPr>
  </w:p>
  <w:p w14:paraId="0965530C" w14:textId="77777777" w:rsidR="00330333" w:rsidRDefault="00330333">
    <w:pPr>
      <w:pStyle w:val="Encabezado"/>
    </w:pPr>
  </w:p>
  <w:p w14:paraId="3159DA57" w14:textId="77777777" w:rsidR="00330333" w:rsidRDefault="00330333">
    <w:pPr>
      <w:pStyle w:val="Encabezado"/>
    </w:pPr>
  </w:p>
  <w:p w14:paraId="03430FCB" w14:textId="77777777" w:rsidR="00330333" w:rsidRDefault="00330333">
    <w:pPr>
      <w:pStyle w:val="Encabezado"/>
    </w:pPr>
  </w:p>
  <w:p w14:paraId="22E28895" w14:textId="27F5895C" w:rsidR="00330333" w:rsidRDefault="002E636D" w:rsidP="00A613BF">
    <w:pPr>
      <w:pStyle w:val="Encabezado"/>
      <w:tabs>
        <w:tab w:val="clear" w:pos="8838"/>
        <w:tab w:val="right" w:pos="9072"/>
      </w:tabs>
      <w:ind w:right="108"/>
      <w:jc w:val="right"/>
      <w:rPr>
        <w:rFonts w:ascii="Segoe UI" w:hAnsi="Segoe UI" w:cs="Segoe UI"/>
        <w:b/>
        <w:bCs/>
        <w:color w:val="808080" w:themeColor="background1" w:themeShade="80"/>
        <w:sz w:val="36"/>
        <w:szCs w:val="36"/>
      </w:rPr>
    </w:pPr>
    <w:r w:rsidRPr="009B75B0">
      <w:rPr>
        <w:rFonts w:ascii="Segoe UI" w:hAnsi="Segoe UI" w:cs="Segoe UI"/>
        <w:b/>
        <w:bCs/>
        <w:color w:val="808080" w:themeColor="background1" w:themeShade="80"/>
        <w:sz w:val="36"/>
        <w:szCs w:val="36"/>
      </w:rPr>
      <w:t>Comunicado de Prensa</w:t>
    </w:r>
  </w:p>
  <w:p w14:paraId="720E4143" w14:textId="77777777" w:rsidR="001C4BF2" w:rsidRPr="009B75B0" w:rsidRDefault="001C4BF2" w:rsidP="009B75B0">
    <w:pPr>
      <w:pStyle w:val="Encabezado"/>
      <w:jc w:val="right"/>
      <w:rPr>
        <w:rFonts w:ascii="Segoe UI" w:hAnsi="Segoe UI" w:cs="Segoe UI"/>
        <w:b/>
        <w:bCs/>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1B5F"/>
    <w:multiLevelType w:val="hybridMultilevel"/>
    <w:tmpl w:val="8C229C1E"/>
    <w:lvl w:ilvl="0" w:tplc="36002C28">
      <w:start w:val="1"/>
      <w:numFmt w:val="bullet"/>
      <w:lvlText w:val=""/>
      <w:lvlJc w:val="left"/>
      <w:pPr>
        <w:ind w:left="360" w:hanging="360"/>
      </w:pPr>
      <w:rPr>
        <w:rFonts w:ascii="Wingdings" w:hAnsi="Wingdings" w:hint="default"/>
        <w:color w:val="E1000F"/>
        <w:sz w:val="24"/>
        <w:szCs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CE13C91"/>
    <w:multiLevelType w:val="hybridMultilevel"/>
    <w:tmpl w:val="7480AEBE"/>
    <w:lvl w:ilvl="0" w:tplc="36002C28">
      <w:start w:val="1"/>
      <w:numFmt w:val="bullet"/>
      <w:lvlText w:val=""/>
      <w:lvlJc w:val="left"/>
      <w:pPr>
        <w:ind w:left="468" w:hanging="360"/>
      </w:pPr>
      <w:rPr>
        <w:rFonts w:ascii="Wingdings" w:hAnsi="Wingdings" w:hint="default"/>
        <w:color w:val="E1000F"/>
        <w:sz w:val="24"/>
        <w:szCs w:val="24"/>
      </w:rPr>
    </w:lvl>
    <w:lvl w:ilvl="1" w:tplc="080A0003" w:tentative="1">
      <w:start w:val="1"/>
      <w:numFmt w:val="bullet"/>
      <w:lvlText w:val="o"/>
      <w:lvlJc w:val="left"/>
      <w:pPr>
        <w:ind w:left="1188" w:hanging="360"/>
      </w:pPr>
      <w:rPr>
        <w:rFonts w:ascii="Courier New" w:hAnsi="Courier New" w:cs="Courier New" w:hint="default"/>
      </w:rPr>
    </w:lvl>
    <w:lvl w:ilvl="2" w:tplc="080A0005" w:tentative="1">
      <w:start w:val="1"/>
      <w:numFmt w:val="bullet"/>
      <w:lvlText w:val=""/>
      <w:lvlJc w:val="left"/>
      <w:pPr>
        <w:ind w:left="1908" w:hanging="360"/>
      </w:pPr>
      <w:rPr>
        <w:rFonts w:ascii="Wingdings" w:hAnsi="Wingdings" w:hint="default"/>
      </w:rPr>
    </w:lvl>
    <w:lvl w:ilvl="3" w:tplc="080A0001" w:tentative="1">
      <w:start w:val="1"/>
      <w:numFmt w:val="bullet"/>
      <w:lvlText w:val=""/>
      <w:lvlJc w:val="left"/>
      <w:pPr>
        <w:ind w:left="2628" w:hanging="360"/>
      </w:pPr>
      <w:rPr>
        <w:rFonts w:ascii="Symbol" w:hAnsi="Symbol" w:hint="default"/>
      </w:rPr>
    </w:lvl>
    <w:lvl w:ilvl="4" w:tplc="080A0003" w:tentative="1">
      <w:start w:val="1"/>
      <w:numFmt w:val="bullet"/>
      <w:lvlText w:val="o"/>
      <w:lvlJc w:val="left"/>
      <w:pPr>
        <w:ind w:left="3348" w:hanging="360"/>
      </w:pPr>
      <w:rPr>
        <w:rFonts w:ascii="Courier New" w:hAnsi="Courier New" w:cs="Courier New" w:hint="default"/>
      </w:rPr>
    </w:lvl>
    <w:lvl w:ilvl="5" w:tplc="080A0005" w:tentative="1">
      <w:start w:val="1"/>
      <w:numFmt w:val="bullet"/>
      <w:lvlText w:val=""/>
      <w:lvlJc w:val="left"/>
      <w:pPr>
        <w:ind w:left="4068" w:hanging="360"/>
      </w:pPr>
      <w:rPr>
        <w:rFonts w:ascii="Wingdings" w:hAnsi="Wingdings" w:hint="default"/>
      </w:rPr>
    </w:lvl>
    <w:lvl w:ilvl="6" w:tplc="080A0001" w:tentative="1">
      <w:start w:val="1"/>
      <w:numFmt w:val="bullet"/>
      <w:lvlText w:val=""/>
      <w:lvlJc w:val="left"/>
      <w:pPr>
        <w:ind w:left="4788" w:hanging="360"/>
      </w:pPr>
      <w:rPr>
        <w:rFonts w:ascii="Symbol" w:hAnsi="Symbol" w:hint="default"/>
      </w:rPr>
    </w:lvl>
    <w:lvl w:ilvl="7" w:tplc="080A0003" w:tentative="1">
      <w:start w:val="1"/>
      <w:numFmt w:val="bullet"/>
      <w:lvlText w:val="o"/>
      <w:lvlJc w:val="left"/>
      <w:pPr>
        <w:ind w:left="5508" w:hanging="360"/>
      </w:pPr>
      <w:rPr>
        <w:rFonts w:ascii="Courier New" w:hAnsi="Courier New" w:cs="Courier New" w:hint="default"/>
      </w:rPr>
    </w:lvl>
    <w:lvl w:ilvl="8" w:tplc="080A0005" w:tentative="1">
      <w:start w:val="1"/>
      <w:numFmt w:val="bullet"/>
      <w:lvlText w:val=""/>
      <w:lvlJc w:val="left"/>
      <w:pPr>
        <w:ind w:left="6228" w:hanging="360"/>
      </w:pPr>
      <w:rPr>
        <w:rFonts w:ascii="Wingdings" w:hAnsi="Wingdings" w:hint="default"/>
      </w:rPr>
    </w:lvl>
  </w:abstractNum>
  <w:abstractNum w:abstractNumId="2" w15:restartNumberingAfterBreak="0">
    <w:nsid w:val="3D953ED4"/>
    <w:multiLevelType w:val="multilevel"/>
    <w:tmpl w:val="30A4719E"/>
    <w:lvl w:ilvl="0">
      <w:numFmt w:val="bullet"/>
      <w:lvlText w:val="▪"/>
      <w:lvlJc w:val="left"/>
      <w:pPr>
        <w:ind w:left="465" w:hanging="357"/>
      </w:pPr>
      <w:rPr>
        <w:rFonts w:ascii="Noto Sans Symbols" w:eastAsia="Noto Sans Symbols" w:hAnsi="Noto Sans Symbols" w:cs="Noto Sans Symbols"/>
        <w:color w:val="E1000F"/>
        <w:sz w:val="24"/>
        <w:szCs w:val="24"/>
      </w:rPr>
    </w:lvl>
    <w:lvl w:ilvl="1">
      <w:numFmt w:val="bullet"/>
      <w:lvlText w:val="-"/>
      <w:lvlJc w:val="left"/>
      <w:pPr>
        <w:ind w:left="881" w:hanging="360"/>
      </w:pPr>
      <w:rPr>
        <w:rFonts w:ascii="Quattrocento Sans" w:eastAsia="Quattrocento Sans" w:hAnsi="Quattrocento Sans" w:cs="Quattrocento Sans"/>
        <w:sz w:val="22"/>
        <w:szCs w:val="22"/>
      </w:rPr>
    </w:lvl>
    <w:lvl w:ilvl="2">
      <w:numFmt w:val="bullet"/>
      <w:lvlText w:val="•"/>
      <w:lvlJc w:val="left"/>
      <w:pPr>
        <w:ind w:left="1880" w:hanging="360"/>
      </w:pPr>
    </w:lvl>
    <w:lvl w:ilvl="3">
      <w:numFmt w:val="bullet"/>
      <w:lvlText w:val="•"/>
      <w:lvlJc w:val="left"/>
      <w:pPr>
        <w:ind w:left="2881" w:hanging="360"/>
      </w:pPr>
    </w:lvl>
    <w:lvl w:ilvl="4">
      <w:numFmt w:val="bullet"/>
      <w:lvlText w:val="•"/>
      <w:lvlJc w:val="left"/>
      <w:pPr>
        <w:ind w:left="3881" w:hanging="360"/>
      </w:pPr>
    </w:lvl>
    <w:lvl w:ilvl="5">
      <w:numFmt w:val="bullet"/>
      <w:lvlText w:val="•"/>
      <w:lvlJc w:val="left"/>
      <w:pPr>
        <w:ind w:left="4882" w:hanging="360"/>
      </w:pPr>
    </w:lvl>
    <w:lvl w:ilvl="6">
      <w:numFmt w:val="bullet"/>
      <w:lvlText w:val="•"/>
      <w:lvlJc w:val="left"/>
      <w:pPr>
        <w:ind w:left="5883" w:hanging="360"/>
      </w:pPr>
    </w:lvl>
    <w:lvl w:ilvl="7">
      <w:numFmt w:val="bullet"/>
      <w:lvlText w:val="•"/>
      <w:lvlJc w:val="left"/>
      <w:pPr>
        <w:ind w:left="6883" w:hanging="360"/>
      </w:pPr>
    </w:lvl>
    <w:lvl w:ilvl="8">
      <w:numFmt w:val="bullet"/>
      <w:lvlText w:val="•"/>
      <w:lvlJc w:val="left"/>
      <w:pPr>
        <w:ind w:left="7884" w:hanging="360"/>
      </w:pPr>
    </w:lvl>
  </w:abstractNum>
  <w:abstractNum w:abstractNumId="3" w15:restartNumberingAfterBreak="0">
    <w:nsid w:val="52350B8D"/>
    <w:multiLevelType w:val="hybridMultilevel"/>
    <w:tmpl w:val="FB989AC6"/>
    <w:lvl w:ilvl="0" w:tplc="645A6B9C">
      <w:numFmt w:val="bullet"/>
      <w:lvlText w:val="-"/>
      <w:lvlJc w:val="left"/>
      <w:pPr>
        <w:ind w:left="1080" w:hanging="360"/>
      </w:pPr>
      <w:rPr>
        <w:rFonts w:ascii="Arial" w:hAnsi="Arial" w:hint="default"/>
        <w:color w:val="FF0000"/>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535510349">
    <w:abstractNumId w:val="2"/>
  </w:num>
  <w:num w:numId="2" w16cid:durableId="623539529">
    <w:abstractNumId w:val="1"/>
  </w:num>
  <w:num w:numId="3" w16cid:durableId="1029799462">
    <w:abstractNumId w:val="3"/>
  </w:num>
  <w:num w:numId="4" w16cid:durableId="84590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D9"/>
    <w:rsid w:val="00006387"/>
    <w:rsid w:val="00012F8C"/>
    <w:rsid w:val="000345F4"/>
    <w:rsid w:val="00103893"/>
    <w:rsid w:val="001B2555"/>
    <w:rsid w:val="001C4BF2"/>
    <w:rsid w:val="001F0F5A"/>
    <w:rsid w:val="0027678C"/>
    <w:rsid w:val="002A7C52"/>
    <w:rsid w:val="002B7DA1"/>
    <w:rsid w:val="002E636D"/>
    <w:rsid w:val="00330333"/>
    <w:rsid w:val="00364A82"/>
    <w:rsid w:val="00370C14"/>
    <w:rsid w:val="00391F99"/>
    <w:rsid w:val="00403720"/>
    <w:rsid w:val="0042240A"/>
    <w:rsid w:val="00492C18"/>
    <w:rsid w:val="004A540D"/>
    <w:rsid w:val="004E71D6"/>
    <w:rsid w:val="00503059"/>
    <w:rsid w:val="00581926"/>
    <w:rsid w:val="005951F2"/>
    <w:rsid w:val="005C53D3"/>
    <w:rsid w:val="005D16A9"/>
    <w:rsid w:val="00600CFC"/>
    <w:rsid w:val="00690213"/>
    <w:rsid w:val="00716C9C"/>
    <w:rsid w:val="007315CB"/>
    <w:rsid w:val="00755165"/>
    <w:rsid w:val="00761174"/>
    <w:rsid w:val="00803933"/>
    <w:rsid w:val="00826B21"/>
    <w:rsid w:val="00877CF6"/>
    <w:rsid w:val="00883706"/>
    <w:rsid w:val="0089484B"/>
    <w:rsid w:val="00901E1D"/>
    <w:rsid w:val="009022D2"/>
    <w:rsid w:val="00924AAF"/>
    <w:rsid w:val="00930D40"/>
    <w:rsid w:val="00982EF7"/>
    <w:rsid w:val="009B75B0"/>
    <w:rsid w:val="00A47934"/>
    <w:rsid w:val="00A613BF"/>
    <w:rsid w:val="00B13397"/>
    <w:rsid w:val="00B43143"/>
    <w:rsid w:val="00B823D9"/>
    <w:rsid w:val="00BB48CC"/>
    <w:rsid w:val="00BC42FC"/>
    <w:rsid w:val="00C924AD"/>
    <w:rsid w:val="00C95F86"/>
    <w:rsid w:val="00CC252F"/>
    <w:rsid w:val="00D22627"/>
    <w:rsid w:val="00D53BE1"/>
    <w:rsid w:val="00D56822"/>
    <w:rsid w:val="00DD33BF"/>
    <w:rsid w:val="00DE5828"/>
    <w:rsid w:val="00F51EB0"/>
    <w:rsid w:val="00F81E9B"/>
    <w:rsid w:val="00F825AE"/>
    <w:rsid w:val="00FA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B0DA"/>
  <w15:docId w15:val="{87CC6831-1618-4A4B-A2B2-5A48E9A4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3033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30333"/>
  </w:style>
  <w:style w:type="paragraph" w:styleId="Piedepgina">
    <w:name w:val="footer"/>
    <w:basedOn w:val="Normal"/>
    <w:link w:val="PiedepginaCar"/>
    <w:uiPriority w:val="99"/>
    <w:unhideWhenUsed/>
    <w:rsid w:val="0033033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30333"/>
  </w:style>
  <w:style w:type="character" w:styleId="Refdecomentario">
    <w:name w:val="annotation reference"/>
    <w:basedOn w:val="Fuentedeprrafopredeter"/>
    <w:uiPriority w:val="99"/>
    <w:semiHidden/>
    <w:unhideWhenUsed/>
    <w:rsid w:val="0042240A"/>
    <w:rPr>
      <w:sz w:val="16"/>
      <w:szCs w:val="16"/>
    </w:rPr>
  </w:style>
  <w:style w:type="paragraph" w:styleId="Textocomentario">
    <w:name w:val="annotation text"/>
    <w:basedOn w:val="Normal"/>
    <w:link w:val="TextocomentarioCar"/>
    <w:uiPriority w:val="99"/>
    <w:unhideWhenUsed/>
    <w:rsid w:val="0042240A"/>
    <w:pPr>
      <w:spacing w:line="240" w:lineRule="auto"/>
    </w:pPr>
    <w:rPr>
      <w:sz w:val="20"/>
      <w:szCs w:val="20"/>
    </w:rPr>
  </w:style>
  <w:style w:type="character" w:customStyle="1" w:styleId="TextocomentarioCar">
    <w:name w:val="Texto comentario Car"/>
    <w:basedOn w:val="Fuentedeprrafopredeter"/>
    <w:link w:val="Textocomentario"/>
    <w:uiPriority w:val="99"/>
    <w:rsid w:val="0042240A"/>
    <w:rPr>
      <w:sz w:val="20"/>
      <w:szCs w:val="20"/>
    </w:rPr>
  </w:style>
  <w:style w:type="paragraph" w:styleId="Asuntodelcomentario">
    <w:name w:val="annotation subject"/>
    <w:basedOn w:val="Textocomentario"/>
    <w:next w:val="Textocomentario"/>
    <w:link w:val="AsuntodelcomentarioCar"/>
    <w:uiPriority w:val="99"/>
    <w:semiHidden/>
    <w:unhideWhenUsed/>
    <w:rsid w:val="0042240A"/>
    <w:rPr>
      <w:b/>
      <w:bCs/>
    </w:rPr>
  </w:style>
  <w:style w:type="character" w:customStyle="1" w:styleId="AsuntodelcomentarioCar">
    <w:name w:val="Asunto del comentario Car"/>
    <w:basedOn w:val="TextocomentarioCar"/>
    <w:link w:val="Asuntodelcomentario"/>
    <w:uiPriority w:val="99"/>
    <w:semiHidden/>
    <w:rsid w:val="0042240A"/>
    <w:rPr>
      <w:b/>
      <w:bCs/>
      <w:sz w:val="20"/>
      <w:szCs w:val="20"/>
    </w:rPr>
  </w:style>
  <w:style w:type="paragraph" w:styleId="Prrafodelista">
    <w:name w:val="List Paragraph"/>
    <w:basedOn w:val="Normal"/>
    <w:uiPriority w:val="34"/>
    <w:qFormat/>
    <w:rsid w:val="001F0F5A"/>
    <w:pPr>
      <w:ind w:left="720"/>
      <w:contextualSpacing/>
    </w:pPr>
  </w:style>
  <w:style w:type="character" w:styleId="Hipervnculo">
    <w:name w:val="Hyperlink"/>
    <w:basedOn w:val="Fuentedeprrafopredeter"/>
    <w:uiPriority w:val="99"/>
    <w:unhideWhenUsed/>
    <w:rsid w:val="00716C9C"/>
    <w:rPr>
      <w:color w:val="0000FF" w:themeColor="hyperlink"/>
      <w:u w:val="single"/>
    </w:rPr>
  </w:style>
  <w:style w:type="character" w:styleId="Mencinsinresolver">
    <w:name w:val="Unresolved Mention"/>
    <w:basedOn w:val="Fuentedeprrafopredeter"/>
    <w:uiPriority w:val="99"/>
    <w:semiHidden/>
    <w:unhideWhenUsed/>
    <w:rsid w:val="0071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niela.gigante@pointerdh.com.ar" TargetMode="External"/><Relationship Id="rId4" Type="http://schemas.openxmlformats.org/officeDocument/2006/relationships/settings" Target="settings.xml"/><Relationship Id="rId9" Type="http://schemas.openxmlformats.org/officeDocument/2006/relationships/hyperlink" Target="mailto:nadia@pointerdh.com.a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8D5D-0449-419F-A2DA-8CBD42E5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2971</Words>
  <Characters>16344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Cristina</dc:creator>
  <cp:lastModifiedBy>Delfina Freidzon (ext)</cp:lastModifiedBy>
  <cp:revision>27</cp:revision>
  <dcterms:created xsi:type="dcterms:W3CDTF">2024-08-14T22:52:00Z</dcterms:created>
  <dcterms:modified xsi:type="dcterms:W3CDTF">2024-08-15T18:37:00Z</dcterms:modified>
</cp:coreProperties>
</file>