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7FF69D2" w:rsidR="00B422EC" w:rsidRPr="00177A8C" w:rsidRDefault="0060298E" w:rsidP="00D65E91">
      <w:pPr>
        <w:pStyle w:val="MonthDayYear"/>
        <w:tabs>
          <w:tab w:val="left" w:pos="6804"/>
        </w:tabs>
        <w:rPr>
          <w:lang w:eastAsia="zh-TW"/>
        </w:rPr>
      </w:pPr>
      <w:r w:rsidRPr="00177A8C">
        <w:rPr>
          <w:lang w:eastAsia="zh-TW"/>
        </w:rPr>
        <w:tab/>
      </w:r>
      <w:r w:rsidRPr="00177A8C">
        <w:rPr>
          <w:lang w:eastAsia="zh-TW"/>
        </w:rPr>
        <w:tab/>
        <w:t>2024</w:t>
      </w:r>
      <w:r w:rsidRPr="00177A8C">
        <w:rPr>
          <w:rFonts w:hint="eastAsia"/>
          <w:lang w:eastAsia="zh-TW"/>
        </w:rPr>
        <w:t>年</w:t>
      </w:r>
      <w:r w:rsidRPr="00177A8C">
        <w:rPr>
          <w:lang w:eastAsia="zh-TW"/>
        </w:rPr>
        <w:t>8</w:t>
      </w:r>
      <w:r w:rsidRPr="00177A8C">
        <w:rPr>
          <w:rFonts w:hint="eastAsia"/>
          <w:lang w:eastAsia="zh-TW"/>
        </w:rPr>
        <w:t>月</w:t>
      </w:r>
      <w:r w:rsidRPr="00177A8C">
        <w:rPr>
          <w:lang w:eastAsia="zh-TW"/>
        </w:rPr>
        <w:t>13</w:t>
      </w:r>
      <w:r w:rsidRPr="00177A8C">
        <w:rPr>
          <w:rFonts w:hint="eastAsia"/>
          <w:lang w:eastAsia="zh-TW"/>
        </w:rPr>
        <w:t>日</w:t>
      </w:r>
    </w:p>
    <w:p w14:paraId="42E18679" w14:textId="0DF2F262" w:rsidR="00033476" w:rsidRPr="00177A8C" w:rsidRDefault="00033476" w:rsidP="00033476">
      <w:pPr>
        <w:pStyle w:val="MonthDayYear"/>
        <w:tabs>
          <w:tab w:val="left" w:pos="7513"/>
        </w:tabs>
        <w:jc w:val="left"/>
        <w:rPr>
          <w:lang w:eastAsia="zh-TW"/>
        </w:rPr>
      </w:pPr>
    </w:p>
    <w:p w14:paraId="60F0AAB2" w14:textId="5B2020DD" w:rsidR="00033476" w:rsidRPr="00177A8C" w:rsidRDefault="0060298E" w:rsidP="00D65E91">
      <w:pPr>
        <w:pStyle w:val="Topline"/>
        <w:spacing w:before="120" w:after="360"/>
        <w:rPr>
          <w:rFonts w:asciiTheme="majorHAnsi" w:eastAsiaTheme="majorEastAsia" w:hAnsiTheme="majorHAnsi" w:cstheme="majorHAnsi"/>
          <w:lang w:eastAsia="zh-TW"/>
        </w:rPr>
      </w:pPr>
      <w:r w:rsidRPr="00177A8C">
        <w:rPr>
          <w:rFonts w:asciiTheme="majorHAnsi" w:eastAsiaTheme="majorEastAsia" w:hAnsiTheme="majorHAnsi" w:hint="eastAsia"/>
          <w:lang w:eastAsia="zh-TW"/>
        </w:rPr>
        <w:t>上半年業績強勁增長，</w:t>
      </w:r>
      <w:r w:rsidRPr="00AC131D">
        <w:rPr>
          <w:rFonts w:asciiTheme="majorHAnsi" w:eastAsiaTheme="majorEastAsia" w:hAnsiTheme="majorHAnsi" w:hint="eastAsia"/>
          <w:lang w:eastAsia="zh-TW"/>
        </w:rPr>
        <w:t>加強</w:t>
      </w:r>
      <w:r w:rsidRPr="00FA14FE">
        <w:rPr>
          <w:rFonts w:asciiTheme="majorHAnsi" w:eastAsiaTheme="majorEastAsia" w:hAnsiTheme="majorHAnsi" w:hint="eastAsia"/>
          <w:lang w:eastAsia="zh-TW"/>
        </w:rPr>
        <w:t>了</w:t>
      </w:r>
      <w:r w:rsidRPr="00AC131D">
        <w:rPr>
          <w:rFonts w:asciiTheme="majorHAnsi" w:eastAsiaTheme="majorEastAsia" w:hAnsiTheme="majorHAnsi" w:hint="eastAsia"/>
          <w:lang w:eastAsia="zh-TW"/>
        </w:rPr>
        <w:t>對</w:t>
      </w:r>
      <w:r w:rsidRPr="00FA14FE">
        <w:rPr>
          <w:rFonts w:asciiTheme="majorHAnsi" w:eastAsiaTheme="majorEastAsia" w:hAnsiTheme="majorHAnsi" w:hint="eastAsia"/>
          <w:lang w:eastAsia="zh-TW"/>
        </w:rPr>
        <w:t>增長</w:t>
      </w:r>
      <w:r w:rsidR="00B6538F">
        <w:rPr>
          <w:rFonts w:asciiTheme="majorHAnsi" w:eastAsiaTheme="majorEastAsia" w:hAnsiTheme="majorHAnsi" w:hint="eastAsia"/>
          <w:lang w:eastAsia="zh-TW"/>
        </w:rPr>
        <w:t>策略</w:t>
      </w:r>
      <w:r w:rsidRPr="00FA14FE">
        <w:rPr>
          <w:rFonts w:asciiTheme="majorHAnsi" w:eastAsiaTheme="majorEastAsia" w:hAnsiTheme="majorHAnsi" w:hint="eastAsia"/>
          <w:lang w:eastAsia="zh-TW"/>
        </w:rPr>
        <w:t>的成功實施</w:t>
      </w:r>
    </w:p>
    <w:p w14:paraId="0BD1473C" w14:textId="30625604" w:rsidR="00033476" w:rsidRPr="00177A8C" w:rsidRDefault="0060298E" w:rsidP="00D65E91">
      <w:pPr>
        <w:rPr>
          <w:rStyle w:val="Headline"/>
          <w:rFonts w:asciiTheme="majorHAnsi" w:eastAsiaTheme="majorEastAsia" w:hAnsiTheme="majorHAnsi" w:cstheme="majorHAnsi"/>
          <w:lang w:eastAsia="zh-TW"/>
        </w:rPr>
      </w:pPr>
      <w:r w:rsidRPr="00177A8C">
        <w:rPr>
          <w:rStyle w:val="Headline"/>
          <w:rFonts w:asciiTheme="majorHAnsi" w:eastAsiaTheme="majorEastAsia" w:hAnsiTheme="majorHAnsi" w:hint="eastAsia"/>
          <w:lang w:eastAsia="zh-TW"/>
        </w:rPr>
        <w:t>漢高</w:t>
      </w:r>
      <w:r>
        <w:rPr>
          <w:rStyle w:val="Headline"/>
          <w:rFonts w:asciiTheme="majorHAnsi" w:eastAsiaTheme="majorEastAsia" w:hAnsiTheme="majorHAnsi" w:hint="eastAsia"/>
          <w:lang w:eastAsia="zh-TW"/>
        </w:rPr>
        <w:t>在</w:t>
      </w:r>
      <w:r w:rsidRPr="00177A8C">
        <w:rPr>
          <w:rStyle w:val="Headline"/>
          <w:rFonts w:asciiTheme="majorHAnsi" w:eastAsiaTheme="majorEastAsia" w:hAnsiTheme="majorHAnsi"/>
          <w:lang w:eastAsia="zh-TW"/>
        </w:rPr>
        <w:t>2024</w:t>
      </w:r>
      <w:r w:rsidRPr="00177A8C">
        <w:rPr>
          <w:rStyle w:val="Headline"/>
          <w:rFonts w:asciiTheme="majorHAnsi" w:eastAsiaTheme="majorEastAsia" w:hAnsiTheme="majorHAnsi" w:hint="eastAsia"/>
          <w:lang w:eastAsia="zh-TW"/>
        </w:rPr>
        <w:t>年上半年</w:t>
      </w:r>
      <w:r>
        <w:rPr>
          <w:rStyle w:val="Headline"/>
          <w:rFonts w:asciiTheme="majorHAnsi" w:eastAsiaTheme="majorEastAsia" w:hAnsiTheme="majorHAnsi" w:hint="eastAsia"/>
          <w:lang w:eastAsia="zh-TW"/>
        </w:rPr>
        <w:t>實現良好的</w:t>
      </w:r>
      <w:r w:rsidRPr="00177A8C">
        <w:rPr>
          <w:rStyle w:val="Headline"/>
          <w:rFonts w:asciiTheme="majorHAnsi" w:eastAsiaTheme="majorEastAsia" w:hAnsiTheme="majorHAnsi" w:hint="eastAsia"/>
          <w:lang w:eastAsia="zh-TW"/>
        </w:rPr>
        <w:t>有機銷售額增長，盈利情況顯著改善</w:t>
      </w:r>
    </w:p>
    <w:p w14:paraId="76A670BB" w14:textId="77777777" w:rsidR="00033476" w:rsidRPr="00177A8C" w:rsidRDefault="00033476" w:rsidP="00033476">
      <w:pPr>
        <w:rPr>
          <w:lang w:eastAsia="zh-TW"/>
        </w:rPr>
      </w:pPr>
    </w:p>
    <w:p w14:paraId="47B907C5" w14:textId="5AE6163A" w:rsidR="00EF6A33" w:rsidRPr="00EF6A33" w:rsidRDefault="0060298E"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bookmarkStart w:id="0" w:name="_Hlk140061525"/>
      <w:bookmarkStart w:id="1" w:name="_Hlk43712519"/>
      <w:r w:rsidRPr="00EF6A33">
        <w:rPr>
          <w:rFonts w:asciiTheme="majorHAnsi" w:eastAsiaTheme="majorEastAsia" w:hAnsiTheme="majorHAnsi" w:hint="eastAsia"/>
          <w:b/>
          <w:lang w:eastAsia="zh-TW"/>
        </w:rPr>
        <w:t>上半年集團有機銷售額增長</w:t>
      </w:r>
      <w:r w:rsidRPr="00EF6A33">
        <w:rPr>
          <w:rFonts w:asciiTheme="majorHAnsi" w:eastAsiaTheme="majorEastAsia" w:hAnsiTheme="majorHAnsi"/>
          <w:b/>
          <w:lang w:eastAsia="zh-TW"/>
        </w:rPr>
        <w:t>2.9%</w:t>
      </w:r>
      <w:r w:rsidRPr="00EF6A33">
        <w:rPr>
          <w:rFonts w:asciiTheme="majorHAnsi" w:eastAsiaTheme="majorEastAsia" w:hAnsiTheme="majorHAnsi" w:hint="eastAsia"/>
          <w:b/>
          <w:lang w:eastAsia="zh-TW"/>
        </w:rPr>
        <w:t>，達到約</w:t>
      </w:r>
      <w:r w:rsidRPr="00EF6A33">
        <w:rPr>
          <w:rFonts w:asciiTheme="majorHAnsi" w:eastAsiaTheme="majorEastAsia" w:hAnsiTheme="majorHAnsi"/>
          <w:b/>
          <w:lang w:eastAsia="zh-TW"/>
        </w:rPr>
        <w:t>108</w:t>
      </w:r>
      <w:r w:rsidRPr="00EF6A33">
        <w:rPr>
          <w:rFonts w:asciiTheme="majorHAnsi" w:eastAsiaTheme="majorEastAsia" w:hAnsiTheme="majorHAnsi" w:hint="eastAsia"/>
          <w:b/>
          <w:lang w:eastAsia="zh-TW"/>
        </w:rPr>
        <w:t>億歐元（名義下降</w:t>
      </w:r>
      <w:r w:rsidRPr="00EF6A33">
        <w:rPr>
          <w:rFonts w:asciiTheme="majorHAnsi" w:eastAsiaTheme="majorEastAsia" w:hAnsiTheme="majorHAnsi"/>
          <w:b/>
          <w:lang w:eastAsia="zh-TW"/>
        </w:rPr>
        <w:t>1.0%</w:t>
      </w:r>
      <w:r w:rsidRPr="00EF6A33">
        <w:rPr>
          <w:rFonts w:asciiTheme="majorHAnsi" w:eastAsiaTheme="majorEastAsia" w:hAnsiTheme="majorHAnsi" w:hint="eastAsia"/>
          <w:b/>
          <w:lang w:eastAsia="zh-TW"/>
        </w:rPr>
        <w:t>），兩個業務部門均有所增長</w:t>
      </w:r>
    </w:p>
    <w:p w14:paraId="65C7BEFB" w14:textId="7AE8F545" w:rsidR="00EF6A33" w:rsidRPr="00EF6A33" w:rsidRDefault="0060298E"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sidRPr="00EF6A33">
        <w:rPr>
          <w:rFonts w:asciiTheme="majorHAnsi" w:eastAsiaTheme="majorEastAsia" w:hAnsiTheme="majorHAnsi" w:hint="eastAsia"/>
          <w:b/>
          <w:lang w:eastAsia="zh-TW"/>
        </w:rPr>
        <w:t>營業利潤（息稅前利潤）</w:t>
      </w:r>
      <w:r w:rsidRPr="00EF6A33">
        <w:rPr>
          <w:rFonts w:asciiTheme="majorHAnsi" w:eastAsiaTheme="majorEastAsia" w:hAnsiTheme="majorHAnsi"/>
          <w:b/>
          <w:lang w:eastAsia="zh-TW"/>
        </w:rPr>
        <w:t>*</w:t>
      </w:r>
      <w:r w:rsidRPr="00EF6A33">
        <w:rPr>
          <w:rFonts w:asciiTheme="majorHAnsi" w:eastAsiaTheme="majorEastAsia" w:hAnsiTheme="majorHAnsi" w:hint="eastAsia"/>
          <w:b/>
          <w:lang w:eastAsia="zh-TW"/>
        </w:rPr>
        <w:t>：大幅增長至</w:t>
      </w:r>
      <w:r w:rsidRPr="00EF6A33">
        <w:rPr>
          <w:rFonts w:asciiTheme="majorHAnsi" w:eastAsiaTheme="majorEastAsia" w:hAnsiTheme="majorHAnsi"/>
          <w:b/>
          <w:lang w:eastAsia="zh-TW"/>
        </w:rPr>
        <w:t xml:space="preserve">16.10 </w:t>
      </w:r>
      <w:r w:rsidRPr="00EF6A33">
        <w:rPr>
          <w:rFonts w:asciiTheme="majorHAnsi" w:eastAsiaTheme="majorEastAsia" w:hAnsiTheme="majorHAnsi" w:hint="eastAsia"/>
          <w:b/>
          <w:lang w:eastAsia="zh-TW"/>
        </w:rPr>
        <w:t>億歐元（增長</w:t>
      </w:r>
      <w:r w:rsidRPr="00EF6A33">
        <w:rPr>
          <w:rFonts w:asciiTheme="majorHAnsi" w:eastAsiaTheme="majorEastAsia" w:hAnsiTheme="majorHAnsi"/>
          <w:b/>
          <w:lang w:eastAsia="zh-TW"/>
        </w:rPr>
        <w:t>28.4%</w:t>
      </w:r>
      <w:r w:rsidRPr="00EF6A33">
        <w:rPr>
          <w:rFonts w:asciiTheme="majorHAnsi" w:eastAsiaTheme="majorEastAsia" w:hAnsiTheme="majorHAnsi" w:hint="eastAsia"/>
          <w:b/>
          <w:lang w:eastAsia="zh-TW"/>
        </w:rPr>
        <w:t>）</w:t>
      </w:r>
    </w:p>
    <w:p w14:paraId="484D49DA" w14:textId="51AB44F2" w:rsidR="00EF6A33" w:rsidRPr="00EF6A33" w:rsidRDefault="0060298E"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sidRPr="00EF6A33">
        <w:rPr>
          <w:rFonts w:asciiTheme="majorHAnsi" w:eastAsiaTheme="majorEastAsia" w:hAnsiTheme="majorHAnsi" w:hint="eastAsia"/>
          <w:b/>
          <w:lang w:eastAsia="zh-TW"/>
        </w:rPr>
        <w:t>息稅前利潤率</w:t>
      </w:r>
      <w:r w:rsidRPr="00EF6A33">
        <w:rPr>
          <w:rFonts w:asciiTheme="majorHAnsi" w:eastAsiaTheme="majorEastAsia" w:hAnsiTheme="majorHAnsi"/>
          <w:b/>
          <w:lang w:eastAsia="zh-TW"/>
        </w:rPr>
        <w:t>*</w:t>
      </w:r>
      <w:r w:rsidRPr="00EF6A33">
        <w:rPr>
          <w:rFonts w:asciiTheme="majorHAnsi" w:eastAsiaTheme="majorEastAsia" w:hAnsiTheme="majorHAnsi" w:hint="eastAsia"/>
          <w:b/>
          <w:lang w:eastAsia="zh-TW"/>
        </w:rPr>
        <w:t>大幅增長至</w:t>
      </w:r>
      <w:r w:rsidRPr="00EF6A33">
        <w:rPr>
          <w:rFonts w:asciiTheme="majorHAnsi" w:eastAsiaTheme="majorEastAsia" w:hAnsiTheme="majorHAnsi"/>
          <w:b/>
          <w:lang w:eastAsia="zh-TW"/>
        </w:rPr>
        <w:t>14.9%</w:t>
      </w:r>
      <w:r w:rsidRPr="00EF6A33">
        <w:rPr>
          <w:rFonts w:asciiTheme="majorHAnsi" w:eastAsiaTheme="majorEastAsia" w:hAnsiTheme="majorHAnsi" w:hint="eastAsia"/>
          <w:b/>
          <w:lang w:eastAsia="zh-TW"/>
        </w:rPr>
        <w:t>（增長</w:t>
      </w:r>
      <w:r w:rsidRPr="00EF6A33">
        <w:rPr>
          <w:rFonts w:asciiTheme="majorHAnsi" w:eastAsiaTheme="majorEastAsia" w:hAnsiTheme="majorHAnsi"/>
          <w:b/>
          <w:lang w:eastAsia="zh-TW"/>
        </w:rPr>
        <w:t>340</w:t>
      </w:r>
      <w:r w:rsidRPr="00EF6A33">
        <w:rPr>
          <w:rFonts w:asciiTheme="majorHAnsi" w:eastAsiaTheme="majorEastAsia" w:hAnsiTheme="majorHAnsi" w:hint="eastAsia"/>
          <w:b/>
          <w:lang w:eastAsia="zh-TW"/>
        </w:rPr>
        <w:t>個基點）</w:t>
      </w:r>
    </w:p>
    <w:p w14:paraId="6DBE659A" w14:textId="5B45C651" w:rsidR="00EF6A33" w:rsidRPr="00EF6A33" w:rsidRDefault="0060298E"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sidRPr="00EF6A33">
        <w:rPr>
          <w:rFonts w:asciiTheme="majorHAnsi" w:eastAsiaTheme="majorEastAsia" w:hAnsiTheme="majorHAnsi" w:hint="eastAsia"/>
          <w:b/>
          <w:lang w:eastAsia="zh-TW"/>
        </w:rPr>
        <w:t>優先股每股收益（</w:t>
      </w:r>
      <w:r w:rsidRPr="00EF6A33">
        <w:rPr>
          <w:rFonts w:asciiTheme="majorHAnsi" w:eastAsiaTheme="majorEastAsia" w:hAnsiTheme="majorHAnsi"/>
          <w:b/>
          <w:lang w:eastAsia="zh-TW"/>
        </w:rPr>
        <w:t>EPS</w:t>
      </w:r>
      <w:r w:rsidRPr="00EF6A33">
        <w:rPr>
          <w:rFonts w:asciiTheme="majorHAnsi" w:eastAsiaTheme="majorEastAsia" w:hAnsiTheme="majorHAnsi" w:hint="eastAsia"/>
          <w:b/>
          <w:lang w:eastAsia="zh-TW"/>
        </w:rPr>
        <w:t>）</w:t>
      </w:r>
      <w:r w:rsidRPr="00EF6A33">
        <w:rPr>
          <w:rFonts w:asciiTheme="majorHAnsi" w:eastAsiaTheme="majorEastAsia" w:hAnsiTheme="majorHAnsi"/>
          <w:b/>
          <w:lang w:eastAsia="zh-TW"/>
        </w:rPr>
        <w:t>**</w:t>
      </w:r>
      <w:r w:rsidRPr="00EF6A33">
        <w:rPr>
          <w:rFonts w:asciiTheme="majorHAnsi" w:eastAsiaTheme="majorEastAsia" w:hAnsiTheme="majorHAnsi" w:hint="eastAsia"/>
          <w:b/>
          <w:lang w:eastAsia="zh-TW"/>
        </w:rPr>
        <w:t>：按固定匯率計算，增長</w:t>
      </w:r>
      <w:r w:rsidRPr="00EF6A33">
        <w:rPr>
          <w:rFonts w:asciiTheme="majorHAnsi" w:eastAsiaTheme="majorEastAsia" w:hAnsiTheme="majorHAnsi"/>
          <w:b/>
          <w:lang w:eastAsia="zh-TW"/>
        </w:rPr>
        <w:t>32.9%</w:t>
      </w:r>
      <w:r w:rsidRPr="00EF6A33">
        <w:rPr>
          <w:rFonts w:asciiTheme="majorHAnsi" w:eastAsiaTheme="majorEastAsia" w:hAnsiTheme="majorHAnsi" w:hint="eastAsia"/>
          <w:b/>
          <w:lang w:eastAsia="zh-TW"/>
        </w:rPr>
        <w:t>，達到</w:t>
      </w:r>
      <w:r w:rsidRPr="00EF6A33">
        <w:rPr>
          <w:rFonts w:asciiTheme="majorHAnsi" w:eastAsiaTheme="majorEastAsia" w:hAnsiTheme="majorHAnsi"/>
          <w:b/>
          <w:lang w:eastAsia="zh-TW"/>
        </w:rPr>
        <w:t>2.78</w:t>
      </w:r>
      <w:r w:rsidRPr="00EF6A33">
        <w:rPr>
          <w:rFonts w:asciiTheme="majorHAnsi" w:eastAsiaTheme="majorEastAsia" w:hAnsiTheme="majorHAnsi" w:hint="eastAsia"/>
          <w:b/>
          <w:lang w:eastAsia="zh-TW"/>
        </w:rPr>
        <w:t>歐元</w:t>
      </w:r>
    </w:p>
    <w:bookmarkEnd w:id="0"/>
    <w:p w14:paraId="672D3C77" w14:textId="6B329BB4" w:rsidR="00EF6A33" w:rsidRPr="00EF6A33" w:rsidRDefault="0060298E"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sidRPr="00EF6A33">
        <w:rPr>
          <w:rFonts w:asciiTheme="majorHAnsi" w:eastAsiaTheme="majorEastAsia" w:hAnsiTheme="majorHAnsi" w:hint="eastAsia"/>
          <w:b/>
          <w:lang w:eastAsia="zh-TW"/>
        </w:rPr>
        <w:t>自由現金流充足，達到約</w:t>
      </w:r>
      <w:r w:rsidRPr="00EF6A33">
        <w:rPr>
          <w:rFonts w:asciiTheme="majorHAnsi" w:eastAsiaTheme="majorEastAsia" w:hAnsiTheme="majorHAnsi"/>
          <w:b/>
          <w:lang w:eastAsia="zh-TW"/>
        </w:rPr>
        <w:t>8</w:t>
      </w:r>
      <w:r w:rsidRPr="00EF6A33">
        <w:rPr>
          <w:rFonts w:asciiTheme="majorHAnsi" w:eastAsiaTheme="majorEastAsia" w:hAnsiTheme="majorHAnsi" w:hint="eastAsia"/>
          <w:b/>
          <w:lang w:eastAsia="zh-TW"/>
        </w:rPr>
        <w:t>億歐元</w:t>
      </w:r>
    </w:p>
    <w:p w14:paraId="2027FC94" w14:textId="09974C6F" w:rsidR="00EF6A33" w:rsidRPr="00EF6A33" w:rsidRDefault="00B6538F"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策略</w:t>
      </w:r>
      <w:r w:rsidR="0060298E" w:rsidRPr="00EF6A33">
        <w:rPr>
          <w:rFonts w:asciiTheme="majorHAnsi" w:eastAsiaTheme="majorEastAsia" w:hAnsiTheme="majorHAnsi" w:hint="eastAsia"/>
          <w:b/>
          <w:lang w:eastAsia="zh-TW"/>
        </w:rPr>
        <w:t>增長議程實施取得新進展</w:t>
      </w:r>
    </w:p>
    <w:p w14:paraId="7ACB2441" w14:textId="7D4FFA58" w:rsidR="00700939" w:rsidRPr="00EF6A33" w:rsidRDefault="0060298E"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sidRPr="00EF6A33">
        <w:rPr>
          <w:rFonts w:asciiTheme="majorHAnsi" w:eastAsiaTheme="majorEastAsia" w:hAnsiTheme="majorHAnsi"/>
          <w:b/>
          <w:lang w:eastAsia="zh-TW"/>
        </w:rPr>
        <w:t>7</w:t>
      </w:r>
      <w:r w:rsidRPr="00EF6A33">
        <w:rPr>
          <w:rFonts w:asciiTheme="majorHAnsi" w:eastAsiaTheme="majorEastAsia" w:hAnsiTheme="majorHAnsi" w:hint="eastAsia"/>
          <w:b/>
          <w:lang w:eastAsia="zh-TW"/>
        </w:rPr>
        <w:t>月中旬已上調了對</w:t>
      </w:r>
      <w:r w:rsidRPr="00EF6A33">
        <w:rPr>
          <w:rFonts w:asciiTheme="majorHAnsi" w:eastAsiaTheme="majorEastAsia" w:hAnsiTheme="majorHAnsi"/>
          <w:b/>
          <w:lang w:eastAsia="zh-TW"/>
        </w:rPr>
        <w:t>2024</w:t>
      </w:r>
      <w:r w:rsidRPr="00EF6A33">
        <w:rPr>
          <w:rFonts w:asciiTheme="majorHAnsi" w:eastAsiaTheme="majorEastAsia" w:hAnsiTheme="majorHAnsi" w:hint="eastAsia"/>
          <w:b/>
          <w:lang w:eastAsia="zh-TW"/>
        </w:rPr>
        <w:t>財年的盈利預期：</w:t>
      </w:r>
    </w:p>
    <w:p w14:paraId="05405C96" w14:textId="234C3EAB" w:rsidR="00700939" w:rsidRPr="00142705" w:rsidRDefault="0060298E" w:rsidP="00EF6A33">
      <w:pPr>
        <w:pStyle w:val="He01FlietextAufzhlung2Ebene"/>
        <w:spacing w:after="0"/>
        <w:rPr>
          <w:lang w:val="en-US" w:eastAsia="zh-TW"/>
        </w:rPr>
      </w:pPr>
      <w:r w:rsidRPr="0060298E">
        <w:rPr>
          <w:rFonts w:ascii="Microsoft YaHei" w:eastAsia="SimSun" w:hAnsi="Microsoft YaHei" w:cs="Microsoft YaHei" w:hint="eastAsia"/>
          <w:lang w:eastAsia="zh-TW"/>
        </w:rPr>
        <w:t>有機銷售額增長</w:t>
      </w:r>
      <w:r w:rsidRPr="00142705">
        <w:rPr>
          <w:rFonts w:ascii="Microsoft YaHei" w:eastAsia="SimSun" w:hAnsi="Microsoft YaHei" w:cs="Microsoft YaHei" w:hint="eastAsia"/>
          <w:lang w:val="en-US" w:eastAsia="zh-TW"/>
        </w:rPr>
        <w:t>：</w:t>
      </w:r>
      <w:r w:rsidR="006F1BEC" w:rsidRPr="00142705">
        <w:rPr>
          <w:rFonts w:hint="eastAsia"/>
          <w:lang w:val="en-US" w:eastAsia="zh-TW"/>
        </w:rPr>
        <w:t>2.5%</w:t>
      </w:r>
      <w:r w:rsidRPr="0060298E">
        <w:rPr>
          <w:rFonts w:ascii="Microsoft YaHei" w:eastAsia="SimSun" w:hAnsi="Microsoft YaHei" w:cs="Microsoft YaHei" w:hint="eastAsia"/>
          <w:lang w:eastAsia="zh-TW"/>
        </w:rPr>
        <w:t>至</w:t>
      </w:r>
      <w:r w:rsidR="006F1BEC" w:rsidRPr="00142705">
        <w:rPr>
          <w:rFonts w:hint="eastAsia"/>
          <w:lang w:val="en-US" w:eastAsia="zh-TW"/>
        </w:rPr>
        <w:t>4.5%</w:t>
      </w:r>
      <w:r w:rsidRPr="00142705">
        <w:rPr>
          <w:rFonts w:ascii="Microsoft YaHei" w:eastAsia="SimSun" w:hAnsi="Microsoft YaHei" w:cs="Microsoft YaHei" w:hint="eastAsia"/>
          <w:lang w:val="en-US" w:eastAsia="zh-TW"/>
        </w:rPr>
        <w:t>（</w:t>
      </w:r>
      <w:r w:rsidRPr="0060298E">
        <w:rPr>
          <w:rFonts w:ascii="Microsoft YaHei" w:eastAsia="SimSun" w:hAnsi="Microsoft YaHei" w:cs="Microsoft YaHei" w:hint="eastAsia"/>
          <w:lang w:eastAsia="zh-TW"/>
        </w:rPr>
        <w:t>不變</w:t>
      </w:r>
      <w:r w:rsidRPr="00142705">
        <w:rPr>
          <w:rFonts w:ascii="Microsoft YaHei" w:eastAsia="SimSun" w:hAnsi="Microsoft YaHei" w:cs="Microsoft YaHei" w:hint="eastAsia"/>
          <w:lang w:val="en-US" w:eastAsia="zh-TW"/>
        </w:rPr>
        <w:t>）</w:t>
      </w:r>
    </w:p>
    <w:p w14:paraId="2F6BFCE1" w14:textId="67942533" w:rsidR="004D0844" w:rsidRPr="00142705" w:rsidRDefault="0060298E" w:rsidP="004D0844">
      <w:pPr>
        <w:pStyle w:val="He01FlietextAufzhlung2Ebene"/>
        <w:spacing w:after="0"/>
        <w:rPr>
          <w:lang w:val="en-US" w:eastAsia="zh-TW"/>
        </w:rPr>
      </w:pPr>
      <w:r w:rsidRPr="0060298E">
        <w:rPr>
          <w:rFonts w:ascii="Microsoft YaHei" w:eastAsia="SimSun" w:hAnsi="Microsoft YaHei" w:cs="Microsoft YaHei" w:hint="eastAsia"/>
          <w:lang w:eastAsia="zh-TW"/>
        </w:rPr>
        <w:t>調整後的銷售回報率</w:t>
      </w:r>
      <w:r w:rsidRPr="00142705">
        <w:rPr>
          <w:rFonts w:ascii="Microsoft YaHei" w:eastAsia="SimSun" w:hAnsi="Microsoft YaHei" w:cs="Microsoft YaHei" w:hint="eastAsia"/>
          <w:lang w:val="en-US" w:eastAsia="zh-TW"/>
        </w:rPr>
        <w:t>：</w:t>
      </w:r>
      <w:r w:rsidR="006F1BEC" w:rsidRPr="00142705">
        <w:rPr>
          <w:rFonts w:hint="eastAsia"/>
          <w:lang w:val="en-US" w:eastAsia="zh-TW"/>
        </w:rPr>
        <w:t>13.5%</w:t>
      </w:r>
      <w:r w:rsidRPr="0060298E">
        <w:rPr>
          <w:rFonts w:ascii="Microsoft YaHei" w:eastAsia="SimSun" w:hAnsi="Microsoft YaHei" w:cs="Microsoft YaHei" w:hint="eastAsia"/>
          <w:lang w:eastAsia="zh-TW"/>
        </w:rPr>
        <w:t>至</w:t>
      </w:r>
      <w:r w:rsidR="006F1BEC" w:rsidRPr="00142705">
        <w:rPr>
          <w:rFonts w:hint="eastAsia"/>
          <w:lang w:val="en-US" w:eastAsia="zh-TW"/>
        </w:rPr>
        <w:t>14.5%</w:t>
      </w:r>
      <w:r w:rsidRPr="00142705">
        <w:rPr>
          <w:rFonts w:ascii="Microsoft YaHei" w:eastAsia="SimSun" w:hAnsi="Microsoft YaHei" w:cs="Microsoft YaHei" w:hint="eastAsia"/>
          <w:lang w:val="en-US" w:eastAsia="zh-TW"/>
        </w:rPr>
        <w:t>（</w:t>
      </w:r>
      <w:r w:rsidRPr="0060298E">
        <w:rPr>
          <w:rFonts w:ascii="Microsoft YaHei" w:eastAsia="SimSun" w:hAnsi="Microsoft YaHei" w:cs="Microsoft YaHei" w:hint="eastAsia"/>
          <w:lang w:eastAsia="zh-TW"/>
        </w:rPr>
        <w:t>此前為</w:t>
      </w:r>
      <w:r w:rsidRPr="00142705">
        <w:rPr>
          <w:rFonts w:ascii="Microsoft YaHei" w:eastAsia="SimSun" w:hAnsi="Microsoft YaHei" w:cs="Microsoft YaHei" w:hint="eastAsia"/>
          <w:lang w:val="en-US" w:eastAsia="zh-TW"/>
        </w:rPr>
        <w:t>：</w:t>
      </w:r>
      <w:r w:rsidR="006F1BEC" w:rsidRPr="00142705">
        <w:rPr>
          <w:rFonts w:hint="eastAsia"/>
          <w:lang w:val="en-US" w:eastAsia="zh-TW"/>
        </w:rPr>
        <w:t>13.0%</w:t>
      </w:r>
      <w:r w:rsidRPr="0060298E">
        <w:rPr>
          <w:rFonts w:ascii="Microsoft YaHei" w:eastAsia="SimSun" w:hAnsi="Microsoft YaHei" w:cs="Microsoft YaHei" w:hint="eastAsia"/>
          <w:lang w:eastAsia="zh-TW"/>
        </w:rPr>
        <w:t>至</w:t>
      </w:r>
      <w:r w:rsidR="006F1BEC" w:rsidRPr="00142705">
        <w:rPr>
          <w:rFonts w:hint="eastAsia"/>
          <w:lang w:val="en-US" w:eastAsia="zh-TW"/>
        </w:rPr>
        <w:t>14.0%</w:t>
      </w:r>
      <w:r w:rsidRPr="00142705">
        <w:rPr>
          <w:rFonts w:ascii="Microsoft YaHei" w:eastAsia="SimSun" w:hAnsi="Microsoft YaHei" w:cs="Microsoft YaHei" w:hint="eastAsia"/>
          <w:lang w:val="en-US" w:eastAsia="zh-TW"/>
        </w:rPr>
        <w:t>）</w:t>
      </w:r>
    </w:p>
    <w:p w14:paraId="799F73CB" w14:textId="48830091" w:rsidR="00700939" w:rsidRPr="00142705" w:rsidRDefault="0060298E" w:rsidP="004D0844">
      <w:pPr>
        <w:pStyle w:val="He01FlietextAufzhlung2Ebene"/>
        <w:spacing w:after="0"/>
        <w:rPr>
          <w:lang w:val="en-US" w:eastAsia="zh-TW"/>
        </w:rPr>
      </w:pPr>
      <w:r w:rsidRPr="0060298E">
        <w:rPr>
          <w:rFonts w:ascii="Microsoft YaHei" w:eastAsia="SimSun" w:hAnsi="Microsoft YaHei" w:cs="Microsoft YaHei" w:hint="eastAsia"/>
          <w:lang w:eastAsia="zh-TW"/>
        </w:rPr>
        <w:t>調整後的優先股每股收益</w:t>
      </w:r>
      <w:r w:rsidRPr="00142705">
        <w:rPr>
          <w:rFonts w:ascii="Microsoft YaHei" w:eastAsia="SimSun" w:hAnsi="Microsoft YaHei" w:cs="Microsoft YaHei" w:hint="eastAsia"/>
          <w:lang w:val="en-US" w:eastAsia="zh-TW"/>
        </w:rPr>
        <w:t>（</w:t>
      </w:r>
      <w:r w:rsidR="006F1BEC" w:rsidRPr="00142705">
        <w:rPr>
          <w:rFonts w:hint="eastAsia"/>
          <w:lang w:val="en-US" w:eastAsia="zh-TW"/>
        </w:rPr>
        <w:t>EPS</w:t>
      </w:r>
      <w:r w:rsidRPr="00142705">
        <w:rPr>
          <w:rFonts w:ascii="Microsoft YaHei" w:eastAsia="SimSun" w:hAnsi="Microsoft YaHei" w:cs="Microsoft YaHei" w:hint="eastAsia"/>
          <w:lang w:val="en-US" w:eastAsia="zh-TW"/>
        </w:rPr>
        <w:t>）：</w:t>
      </w:r>
      <w:r w:rsidRPr="0060298E">
        <w:rPr>
          <w:rFonts w:ascii="Microsoft YaHei" w:eastAsia="SimSun" w:hAnsi="Microsoft YaHei" w:cs="Microsoft YaHei" w:hint="eastAsia"/>
          <w:lang w:eastAsia="zh-TW"/>
        </w:rPr>
        <w:t>按固定匯率計算的增長幅度為</w:t>
      </w:r>
      <w:r w:rsidR="006F1BEC" w:rsidRPr="00142705">
        <w:rPr>
          <w:rFonts w:hint="eastAsia"/>
          <w:lang w:val="en-US" w:eastAsia="zh-TW"/>
        </w:rPr>
        <w:t>20.0%</w:t>
      </w:r>
      <w:r w:rsidRPr="0060298E">
        <w:rPr>
          <w:rFonts w:ascii="Microsoft YaHei" w:eastAsia="SimSun" w:hAnsi="Microsoft YaHei" w:cs="Microsoft YaHei" w:hint="eastAsia"/>
          <w:lang w:eastAsia="zh-TW"/>
        </w:rPr>
        <w:t>至</w:t>
      </w:r>
      <w:r w:rsidR="006F1BEC" w:rsidRPr="00142705">
        <w:rPr>
          <w:rFonts w:hint="eastAsia"/>
          <w:lang w:val="en-US" w:eastAsia="zh-TW"/>
        </w:rPr>
        <w:t>30.0%</w:t>
      </w:r>
      <w:r w:rsidRPr="00142705">
        <w:rPr>
          <w:rFonts w:ascii="Microsoft YaHei" w:eastAsia="SimSun" w:hAnsi="Microsoft YaHei" w:cs="Microsoft YaHei" w:hint="eastAsia"/>
          <w:lang w:val="en-US" w:eastAsia="zh-TW"/>
        </w:rPr>
        <w:t>（</w:t>
      </w:r>
      <w:r w:rsidRPr="0060298E">
        <w:rPr>
          <w:rFonts w:ascii="Microsoft YaHei" w:eastAsia="SimSun" w:hAnsi="Microsoft YaHei" w:cs="Microsoft YaHei" w:hint="eastAsia"/>
          <w:lang w:eastAsia="zh-TW"/>
        </w:rPr>
        <w:t>此前為</w:t>
      </w:r>
      <w:r w:rsidRPr="00142705">
        <w:rPr>
          <w:rFonts w:ascii="Microsoft YaHei" w:eastAsia="SimSun" w:hAnsi="Microsoft YaHei" w:cs="Microsoft YaHei" w:hint="eastAsia"/>
          <w:lang w:val="en-US" w:eastAsia="zh-TW"/>
        </w:rPr>
        <w:t>：</w:t>
      </w:r>
      <w:r w:rsidR="006F1BEC" w:rsidRPr="00142705">
        <w:rPr>
          <w:rFonts w:hint="eastAsia"/>
          <w:lang w:val="en-US" w:eastAsia="zh-TW"/>
        </w:rPr>
        <w:t>15.0%</w:t>
      </w:r>
      <w:r w:rsidRPr="0060298E">
        <w:rPr>
          <w:rFonts w:ascii="Microsoft YaHei" w:eastAsia="SimSun" w:hAnsi="Microsoft YaHei" w:cs="Microsoft YaHei" w:hint="eastAsia"/>
          <w:lang w:eastAsia="zh-TW"/>
        </w:rPr>
        <w:t>至</w:t>
      </w:r>
      <w:r w:rsidR="006F1BEC" w:rsidRPr="00142705">
        <w:rPr>
          <w:rFonts w:hint="eastAsia"/>
          <w:lang w:val="en-US" w:eastAsia="zh-TW"/>
        </w:rPr>
        <w:t>25.0%</w:t>
      </w:r>
      <w:r w:rsidRPr="00142705">
        <w:rPr>
          <w:rFonts w:ascii="Microsoft YaHei" w:eastAsia="SimSun" w:hAnsi="Microsoft YaHei" w:cs="Microsoft YaHei" w:hint="eastAsia"/>
          <w:lang w:val="en-US" w:eastAsia="zh-TW"/>
        </w:rPr>
        <w:t>）</w:t>
      </w:r>
    </w:p>
    <w:p w14:paraId="54B5106F" w14:textId="3CD43106" w:rsidR="00DE6C0E" w:rsidRPr="004D0844" w:rsidRDefault="0060298E" w:rsidP="004D0844">
      <w:pPr>
        <w:pStyle w:val="ListParagraph"/>
        <w:numPr>
          <w:ilvl w:val="0"/>
          <w:numId w:val="7"/>
        </w:numPr>
        <w:ind w:left="284" w:right="-108" w:hanging="357"/>
        <w:contextualSpacing w:val="0"/>
        <w:jc w:val="left"/>
        <w:rPr>
          <w:rFonts w:asciiTheme="majorHAnsi" w:eastAsiaTheme="majorEastAsia" w:hAnsiTheme="majorHAnsi" w:cstheme="majorHAnsi"/>
          <w:b/>
          <w:szCs w:val="22"/>
          <w:lang w:eastAsia="zh-TW"/>
        </w:rPr>
      </w:pPr>
      <w:r w:rsidRPr="004D0844">
        <w:rPr>
          <w:rFonts w:asciiTheme="majorHAnsi" w:eastAsiaTheme="majorEastAsia" w:hAnsiTheme="majorHAnsi" w:hint="eastAsia"/>
          <w:b/>
          <w:lang w:eastAsia="zh-TW"/>
        </w:rPr>
        <w:t>中長期財務目標將於中期內實現</w:t>
      </w:r>
    </w:p>
    <w:p w14:paraId="1ACA27E9" w14:textId="4AC2D0A8" w:rsidR="00DE6C0E" w:rsidRPr="00177A8C" w:rsidRDefault="00DE6C0E" w:rsidP="00D65E91">
      <w:pPr>
        <w:jc w:val="left"/>
        <w:rPr>
          <w:lang w:eastAsia="zh-TW"/>
        </w:rPr>
      </w:pPr>
    </w:p>
    <w:bookmarkEnd w:id="1"/>
    <w:p w14:paraId="71024B74" w14:textId="3FA2A846" w:rsidR="00417640" w:rsidRPr="00177A8C" w:rsidRDefault="0060298E" w:rsidP="00272A6F">
      <w:pPr>
        <w:rPr>
          <w:lang w:eastAsia="zh-TW"/>
        </w:rPr>
      </w:pPr>
      <w:r w:rsidRPr="00177A8C">
        <w:rPr>
          <w:rFonts w:hint="eastAsia"/>
          <w:lang w:eastAsia="zh-TW"/>
        </w:rPr>
        <w:t>杜塞爾多夫</w:t>
      </w:r>
      <w:r w:rsidRPr="00177A8C">
        <w:rPr>
          <w:lang w:eastAsia="zh-TW"/>
        </w:rPr>
        <w:t xml:space="preserve"> </w:t>
      </w:r>
      <w:r>
        <w:rPr>
          <w:rFonts w:hint="eastAsia"/>
          <w:lang w:eastAsia="zh-TW"/>
        </w:rPr>
        <w:t>——</w:t>
      </w:r>
      <w:r w:rsidRPr="00177A8C">
        <w:rPr>
          <w:lang w:eastAsia="zh-TW"/>
        </w:rPr>
        <w:t xml:space="preserve"> 2024</w:t>
      </w:r>
      <w:r w:rsidRPr="00177A8C">
        <w:rPr>
          <w:rFonts w:hint="eastAsia"/>
          <w:lang w:eastAsia="zh-TW"/>
        </w:rPr>
        <w:t>年上半年，儘管經濟環境持續充滿挑戰，漢高依然實現了良好的有機銷售額增長和強勁的</w:t>
      </w:r>
      <w:r>
        <w:rPr>
          <w:rFonts w:hint="eastAsia"/>
          <w:lang w:eastAsia="zh-TW"/>
        </w:rPr>
        <w:t>收益</w:t>
      </w:r>
      <w:r w:rsidRPr="00177A8C">
        <w:rPr>
          <w:rFonts w:hint="eastAsia"/>
          <w:lang w:eastAsia="zh-TW"/>
        </w:rPr>
        <w:t>增長</w:t>
      </w:r>
      <w:r>
        <w:rPr>
          <w:rFonts w:hint="eastAsia"/>
          <w:lang w:eastAsia="zh-TW"/>
        </w:rPr>
        <w:t>，成功延續了</w:t>
      </w:r>
      <w:r w:rsidRPr="00177A8C">
        <w:rPr>
          <w:rFonts w:hint="eastAsia"/>
          <w:lang w:eastAsia="zh-TW"/>
        </w:rPr>
        <w:t>其盈利性增長的發展道路。漢高首席執行官卡斯滕·諾貝爾（</w:t>
      </w:r>
      <w:r w:rsidRPr="00177A8C">
        <w:rPr>
          <w:lang w:eastAsia="zh-TW"/>
        </w:rPr>
        <w:t>Carsten Knobel</w:t>
      </w:r>
      <w:r w:rsidRPr="00177A8C">
        <w:rPr>
          <w:rFonts w:hint="eastAsia"/>
          <w:lang w:eastAsia="zh-TW"/>
        </w:rPr>
        <w:t>）表示：“總體上，我們在上半年取得了非常好的業績。這表明我們的</w:t>
      </w:r>
      <w:r w:rsidR="00B6538F">
        <w:rPr>
          <w:rFonts w:hint="eastAsia"/>
          <w:lang w:eastAsia="zh-TW"/>
        </w:rPr>
        <w:t>策略</w:t>
      </w:r>
      <w:r w:rsidRPr="00177A8C">
        <w:rPr>
          <w:rFonts w:hint="eastAsia"/>
          <w:lang w:eastAsia="zh-TW"/>
        </w:rPr>
        <w:t>方向是正確的，我們在目標性增長議程方面正取得切實的成果。”</w:t>
      </w:r>
    </w:p>
    <w:p w14:paraId="31C9A36F" w14:textId="77777777" w:rsidR="00D65E91" w:rsidRPr="00177A8C" w:rsidRDefault="00D65E91" w:rsidP="00272A6F">
      <w:pPr>
        <w:rPr>
          <w:rFonts w:cs="Segoe UI"/>
          <w:szCs w:val="22"/>
          <w:lang w:eastAsia="zh-TW"/>
        </w:rPr>
      </w:pPr>
    </w:p>
    <w:p w14:paraId="7DE4421C" w14:textId="4C2023EC" w:rsidR="00B62B2A" w:rsidRPr="00177A8C" w:rsidRDefault="0060298E" w:rsidP="00272A6F">
      <w:pPr>
        <w:rPr>
          <w:rFonts w:cs="Segoe UI"/>
          <w:szCs w:val="22"/>
          <w:lang w:eastAsia="zh-TW"/>
        </w:rPr>
      </w:pPr>
      <w:r w:rsidRPr="00177A8C">
        <w:rPr>
          <w:rFonts w:hint="eastAsia"/>
          <w:lang w:eastAsia="zh-TW"/>
        </w:rPr>
        <w:t>卡斯滕·諾貝爾補充道：“今年上半年，在兩個業務部</w:t>
      </w:r>
      <w:r>
        <w:rPr>
          <w:rFonts w:hint="eastAsia"/>
          <w:lang w:eastAsia="zh-TW"/>
        </w:rPr>
        <w:t>門</w:t>
      </w:r>
      <w:r w:rsidRPr="00177A8C">
        <w:rPr>
          <w:rFonts w:hint="eastAsia"/>
          <w:lang w:eastAsia="zh-TW"/>
        </w:rPr>
        <w:t>的</w:t>
      </w:r>
      <w:r>
        <w:rPr>
          <w:rFonts w:hint="eastAsia"/>
          <w:lang w:eastAsia="zh-TW"/>
        </w:rPr>
        <w:t>共同</w:t>
      </w:r>
      <w:r w:rsidRPr="00177A8C">
        <w:rPr>
          <w:rFonts w:hint="eastAsia"/>
          <w:lang w:eastAsia="zh-TW"/>
        </w:rPr>
        <w:t>推動下，集團實現了有機銷售增長，並且改善了盈利狀況。我們</w:t>
      </w:r>
      <w:r>
        <w:rPr>
          <w:rFonts w:hint="eastAsia"/>
          <w:lang w:eastAsia="zh-TW"/>
        </w:rPr>
        <w:t>成功合併了</w:t>
      </w:r>
      <w:r w:rsidRPr="00177A8C">
        <w:rPr>
          <w:rFonts w:hint="eastAsia"/>
          <w:lang w:eastAsia="zh-TW"/>
        </w:rPr>
        <w:t>消費</w:t>
      </w:r>
      <w:r>
        <w:rPr>
          <w:rFonts w:hint="eastAsia"/>
          <w:lang w:eastAsia="zh-TW"/>
        </w:rPr>
        <w:t>品</w:t>
      </w:r>
      <w:r w:rsidRPr="00177A8C">
        <w:rPr>
          <w:rFonts w:hint="eastAsia"/>
          <w:lang w:eastAsia="zh-TW"/>
        </w:rPr>
        <w:t>業務，相關</w:t>
      </w:r>
      <w:r w:rsidR="00B6538F">
        <w:rPr>
          <w:rFonts w:hint="eastAsia"/>
          <w:lang w:eastAsia="zh-TW"/>
        </w:rPr>
        <w:t>策略</w:t>
      </w:r>
      <w:r w:rsidRPr="00177A8C">
        <w:rPr>
          <w:rFonts w:hint="eastAsia"/>
          <w:lang w:eastAsia="zh-TW"/>
        </w:rPr>
        <w:t>措施和計劃的實施對銷售額、毛利率和盈利增長產生了非常積極的影響。在粘合劑業務方面，我們的組織架構與客戶的聯繫更加緊密，我們發起的變革為漢高的積極發展做出了重大貢獻。我們的自由現金流也非常充足，甚至超過了</w:t>
      </w:r>
      <w:r w:rsidRPr="00177A8C">
        <w:rPr>
          <w:lang w:eastAsia="zh-TW"/>
        </w:rPr>
        <w:t>2023</w:t>
      </w:r>
      <w:r w:rsidRPr="00177A8C">
        <w:rPr>
          <w:rFonts w:hint="eastAsia"/>
          <w:lang w:eastAsia="zh-TW"/>
        </w:rPr>
        <w:t>年上半年</w:t>
      </w:r>
      <w:r>
        <w:rPr>
          <w:rFonts w:hint="eastAsia"/>
          <w:lang w:eastAsia="zh-TW"/>
        </w:rPr>
        <w:t>的高</w:t>
      </w:r>
      <w:r w:rsidRPr="00177A8C">
        <w:rPr>
          <w:rFonts w:hint="eastAsia"/>
          <w:lang w:eastAsia="zh-TW"/>
        </w:rPr>
        <w:t>水平。所有這些成果使我們能夠進一步有針對性地投資</w:t>
      </w:r>
      <w:r w:rsidRPr="00177A8C">
        <w:rPr>
          <w:rFonts w:hint="eastAsia"/>
          <w:lang w:eastAsia="zh-TW"/>
        </w:rPr>
        <w:lastRenderedPageBreak/>
        <w:t>於我們的業務和未來：即品牌、技術和創新。此外，我們正在推動</w:t>
      </w:r>
      <w:r w:rsidR="000A1711">
        <w:rPr>
          <w:rFonts w:hint="eastAsia"/>
          <w:lang w:eastAsia="zh-TW"/>
        </w:rPr>
        <w:t>永續</w:t>
      </w:r>
      <w:r w:rsidRPr="00177A8C">
        <w:rPr>
          <w:rFonts w:hint="eastAsia"/>
          <w:lang w:eastAsia="zh-TW"/>
        </w:rPr>
        <w:t>發展和</w:t>
      </w:r>
      <w:r w:rsidR="000A1711">
        <w:rPr>
          <w:rFonts w:hint="eastAsia"/>
          <w:lang w:eastAsia="zh-TW"/>
        </w:rPr>
        <w:t>數位化</w:t>
      </w:r>
      <w:r w:rsidRPr="00177A8C">
        <w:rPr>
          <w:rFonts w:hint="eastAsia"/>
          <w:lang w:eastAsia="zh-TW"/>
        </w:rPr>
        <w:t>領域的相關重要舉措，以進一步增強我們的競爭優勢。”</w:t>
      </w:r>
    </w:p>
    <w:p w14:paraId="642A570F" w14:textId="23CECF96" w:rsidR="00B62B2A" w:rsidRPr="00177A8C" w:rsidRDefault="00B62B2A" w:rsidP="00272A6F">
      <w:pPr>
        <w:rPr>
          <w:rFonts w:cs="Segoe UI"/>
          <w:szCs w:val="22"/>
          <w:lang w:eastAsia="zh-TW"/>
        </w:rPr>
      </w:pPr>
    </w:p>
    <w:p w14:paraId="068A7763" w14:textId="68B2E530" w:rsidR="00DC5CDA" w:rsidRPr="00177A8C" w:rsidRDefault="0060298E" w:rsidP="00272A6F">
      <w:pPr>
        <w:rPr>
          <w:rFonts w:cs="Segoe UI"/>
          <w:szCs w:val="22"/>
          <w:lang w:eastAsia="zh-TW"/>
        </w:rPr>
      </w:pPr>
      <w:r w:rsidRPr="00177A8C">
        <w:rPr>
          <w:rFonts w:hint="eastAsia"/>
          <w:lang w:eastAsia="zh-TW"/>
        </w:rPr>
        <w:t>“繼上半年實現強勁業績</w:t>
      </w:r>
      <w:r>
        <w:rPr>
          <w:rFonts w:hint="eastAsia"/>
          <w:lang w:eastAsia="zh-TW"/>
        </w:rPr>
        <w:t>表現</w:t>
      </w:r>
      <w:r w:rsidRPr="00177A8C">
        <w:rPr>
          <w:rFonts w:hint="eastAsia"/>
          <w:lang w:eastAsia="zh-TW"/>
        </w:rPr>
        <w:t>之後，我們對下半年充滿信心，</w:t>
      </w:r>
      <w:r>
        <w:rPr>
          <w:rFonts w:hint="eastAsia"/>
          <w:lang w:eastAsia="zh-TW"/>
        </w:rPr>
        <w:t>並</w:t>
      </w:r>
      <w:r w:rsidRPr="00177A8C">
        <w:rPr>
          <w:rFonts w:hint="eastAsia"/>
          <w:lang w:eastAsia="zh-TW"/>
        </w:rPr>
        <w:t>在</w:t>
      </w:r>
      <w:r w:rsidRPr="00177A8C">
        <w:rPr>
          <w:lang w:eastAsia="zh-TW"/>
        </w:rPr>
        <w:t>7</w:t>
      </w:r>
      <w:r w:rsidRPr="00177A8C">
        <w:rPr>
          <w:rFonts w:hint="eastAsia"/>
          <w:lang w:eastAsia="zh-TW"/>
        </w:rPr>
        <w:t>月中旬上調了</w:t>
      </w:r>
      <w:r>
        <w:rPr>
          <w:rFonts w:hint="eastAsia"/>
          <w:lang w:eastAsia="zh-TW"/>
        </w:rPr>
        <w:t>對</w:t>
      </w:r>
      <w:r w:rsidRPr="00177A8C">
        <w:rPr>
          <w:lang w:eastAsia="zh-TW"/>
        </w:rPr>
        <w:t>2024</w:t>
      </w:r>
      <w:r w:rsidRPr="00177A8C">
        <w:rPr>
          <w:rFonts w:hint="eastAsia"/>
          <w:lang w:eastAsia="zh-TW"/>
        </w:rPr>
        <w:t>財年的盈利預期。我們正在兌現自己的承諾，</w:t>
      </w:r>
      <w:r>
        <w:rPr>
          <w:rFonts w:hint="eastAsia"/>
          <w:lang w:eastAsia="zh-TW"/>
        </w:rPr>
        <w:t>並沿著正確的發展方向</w:t>
      </w:r>
      <w:r w:rsidRPr="00177A8C">
        <w:rPr>
          <w:rFonts w:hint="eastAsia"/>
          <w:lang w:eastAsia="zh-TW"/>
        </w:rPr>
        <w:t>實現進一步</w:t>
      </w:r>
      <w:r>
        <w:rPr>
          <w:rFonts w:hint="eastAsia"/>
          <w:lang w:eastAsia="zh-TW"/>
        </w:rPr>
        <w:t>的</w:t>
      </w:r>
      <w:r w:rsidRPr="00177A8C">
        <w:rPr>
          <w:rFonts w:hint="eastAsia"/>
          <w:lang w:eastAsia="zh-TW"/>
        </w:rPr>
        <w:t>盈利增長。這也反映在我們對中長期財務目標的調整上：我們有信心在中期就實現</w:t>
      </w:r>
      <w:r>
        <w:rPr>
          <w:rFonts w:hint="eastAsia"/>
          <w:lang w:eastAsia="zh-TW"/>
        </w:rPr>
        <w:t>既定</w:t>
      </w:r>
      <w:r w:rsidRPr="00177A8C">
        <w:rPr>
          <w:rFonts w:hint="eastAsia"/>
          <w:lang w:eastAsia="zh-TW"/>
        </w:rPr>
        <w:t>的銷售和盈利目標。”</w:t>
      </w:r>
    </w:p>
    <w:p w14:paraId="1F73CADD" w14:textId="77777777" w:rsidR="00033476" w:rsidRPr="00177A8C" w:rsidRDefault="00033476" w:rsidP="00272A6F">
      <w:pPr>
        <w:rPr>
          <w:rFonts w:cs="Segoe UI"/>
          <w:szCs w:val="22"/>
          <w:lang w:eastAsia="zh-TW"/>
        </w:rPr>
      </w:pPr>
    </w:p>
    <w:p w14:paraId="383A3F60" w14:textId="0D29EDF8" w:rsidR="00033476" w:rsidRPr="00177A8C" w:rsidRDefault="0060298E" w:rsidP="00272A6F">
      <w:pPr>
        <w:ind w:right="-108"/>
        <w:jc w:val="left"/>
        <w:rPr>
          <w:b/>
          <w:lang w:eastAsia="zh-TW"/>
        </w:rPr>
      </w:pPr>
      <w:r w:rsidRPr="00177A8C">
        <w:rPr>
          <w:b/>
          <w:lang w:eastAsia="zh-TW"/>
        </w:rPr>
        <w:t>2024</w:t>
      </w:r>
      <w:r w:rsidRPr="00177A8C">
        <w:rPr>
          <w:rFonts w:hint="eastAsia"/>
          <w:b/>
          <w:lang w:eastAsia="zh-TW"/>
        </w:rPr>
        <w:t>財年展望</w:t>
      </w:r>
    </w:p>
    <w:p w14:paraId="3DB54B11" w14:textId="77777777" w:rsidR="00D65E91" w:rsidRPr="00177A8C" w:rsidRDefault="00D65E91" w:rsidP="00272A6F">
      <w:pPr>
        <w:ind w:right="-108"/>
        <w:jc w:val="left"/>
        <w:rPr>
          <w:rFonts w:cs="Segoe UI"/>
          <w:b/>
          <w:bCs/>
          <w:szCs w:val="22"/>
          <w:lang w:eastAsia="zh-TW"/>
        </w:rPr>
      </w:pPr>
    </w:p>
    <w:p w14:paraId="2FA16D84" w14:textId="24164219" w:rsidR="00DE6C0E" w:rsidRPr="00177A8C" w:rsidRDefault="0060298E" w:rsidP="00272A6F">
      <w:pPr>
        <w:rPr>
          <w:rFonts w:cs="Segoe UI"/>
          <w:szCs w:val="22"/>
          <w:lang w:eastAsia="zh-TW"/>
        </w:rPr>
      </w:pPr>
      <w:r w:rsidRPr="00177A8C">
        <w:rPr>
          <w:lang w:eastAsia="zh-TW"/>
        </w:rPr>
        <w:t>7</w:t>
      </w:r>
      <w:r w:rsidRPr="00177A8C">
        <w:rPr>
          <w:rFonts w:hint="eastAsia"/>
          <w:lang w:eastAsia="zh-TW"/>
        </w:rPr>
        <w:t>月</w:t>
      </w:r>
      <w:r w:rsidRPr="00177A8C">
        <w:rPr>
          <w:lang w:eastAsia="zh-TW"/>
        </w:rPr>
        <w:t>17</w:t>
      </w:r>
      <w:r w:rsidRPr="00177A8C">
        <w:rPr>
          <w:rFonts w:hint="eastAsia"/>
          <w:lang w:eastAsia="zh-TW"/>
        </w:rPr>
        <w:t>日，公司上調了</w:t>
      </w:r>
      <w:r w:rsidRPr="00177A8C">
        <w:rPr>
          <w:lang w:eastAsia="zh-TW"/>
        </w:rPr>
        <w:t>2024</w:t>
      </w:r>
      <w:r w:rsidRPr="00177A8C">
        <w:rPr>
          <w:rFonts w:hint="eastAsia"/>
          <w:lang w:eastAsia="zh-TW"/>
        </w:rPr>
        <w:t>年</w:t>
      </w:r>
      <w:r w:rsidRPr="00177A8C">
        <w:rPr>
          <w:lang w:eastAsia="zh-TW"/>
        </w:rPr>
        <w:t>5</w:t>
      </w:r>
      <w:r w:rsidRPr="00177A8C">
        <w:rPr>
          <w:rFonts w:hint="eastAsia"/>
          <w:lang w:eastAsia="zh-TW"/>
        </w:rPr>
        <w:t>月</w:t>
      </w:r>
      <w:r w:rsidRPr="00177A8C">
        <w:rPr>
          <w:lang w:eastAsia="zh-TW"/>
        </w:rPr>
        <w:t>3</w:t>
      </w:r>
      <w:r w:rsidRPr="00177A8C">
        <w:rPr>
          <w:rFonts w:hint="eastAsia"/>
          <w:lang w:eastAsia="zh-TW"/>
        </w:rPr>
        <w:t>日更新的本財年盈利預期展望。這主要是由於消費品牌業務部的利潤預期</w:t>
      </w:r>
      <w:r>
        <w:rPr>
          <w:rFonts w:hint="eastAsia"/>
          <w:lang w:eastAsia="zh-TW"/>
        </w:rPr>
        <w:t>有所</w:t>
      </w:r>
      <w:r w:rsidRPr="00177A8C">
        <w:rPr>
          <w:rFonts w:hint="eastAsia"/>
          <w:lang w:eastAsia="zh-TW"/>
        </w:rPr>
        <w:t>提高，與此同時，公司也在加大對營銷領域的投資，以支持創新。此次財務展望仍然</w:t>
      </w:r>
      <w:r>
        <w:rPr>
          <w:rFonts w:hint="eastAsia"/>
          <w:lang w:eastAsia="zh-TW"/>
        </w:rPr>
        <w:t>顧及</w:t>
      </w:r>
      <w:r w:rsidRPr="00177A8C">
        <w:rPr>
          <w:rFonts w:hint="eastAsia"/>
          <w:lang w:eastAsia="zh-TW"/>
        </w:rPr>
        <w:t>到了</w:t>
      </w:r>
      <w:r>
        <w:rPr>
          <w:rFonts w:hint="eastAsia"/>
          <w:lang w:eastAsia="zh-TW"/>
        </w:rPr>
        <w:t>對</w:t>
      </w:r>
      <w:r w:rsidRPr="00177A8C">
        <w:rPr>
          <w:rFonts w:hint="eastAsia"/>
          <w:lang w:eastAsia="zh-TW"/>
        </w:rPr>
        <w:t>下半年直接原材料價格上漲的預期。漢高目前預計</w:t>
      </w:r>
      <w:r w:rsidRPr="00177A8C">
        <w:rPr>
          <w:lang w:eastAsia="zh-TW"/>
        </w:rPr>
        <w:t>2024</w:t>
      </w:r>
      <w:r w:rsidRPr="00177A8C">
        <w:rPr>
          <w:rFonts w:hint="eastAsia"/>
          <w:lang w:eastAsia="zh-TW"/>
        </w:rPr>
        <w:t>財年的銷售額和盈利情況如下：</w:t>
      </w:r>
    </w:p>
    <w:p w14:paraId="7CD8C817" w14:textId="77777777" w:rsidR="000D738C" w:rsidRPr="00177A8C" w:rsidRDefault="000D738C" w:rsidP="00272A6F">
      <w:pPr>
        <w:rPr>
          <w:rFonts w:cs="Segoe UI"/>
          <w:szCs w:val="22"/>
          <w:lang w:eastAsia="zh-TW"/>
        </w:rPr>
      </w:pPr>
    </w:p>
    <w:p w14:paraId="0EE70A87" w14:textId="0BA261E4" w:rsidR="00E61A7F" w:rsidRPr="00177A8C" w:rsidRDefault="0060298E" w:rsidP="00272A6F">
      <w:pPr>
        <w:rPr>
          <w:lang w:eastAsia="zh-TW"/>
        </w:rPr>
      </w:pPr>
      <w:r w:rsidRPr="00177A8C">
        <w:rPr>
          <w:rFonts w:hint="eastAsia"/>
          <w:lang w:eastAsia="zh-TW"/>
        </w:rPr>
        <w:t>在集團層面，漢高仍然預計</w:t>
      </w:r>
      <w:r w:rsidRPr="00177A8C">
        <w:rPr>
          <w:lang w:eastAsia="zh-TW"/>
        </w:rPr>
        <w:t>2024</w:t>
      </w:r>
      <w:r w:rsidRPr="00177A8C">
        <w:rPr>
          <w:rFonts w:hint="eastAsia"/>
          <w:lang w:eastAsia="zh-TW"/>
        </w:rPr>
        <w:t>財年</w:t>
      </w:r>
      <w:r w:rsidRPr="00177A8C">
        <w:rPr>
          <w:rFonts w:hint="eastAsia"/>
          <w:b/>
          <w:bCs/>
          <w:lang w:eastAsia="zh-TW"/>
        </w:rPr>
        <w:t>有機銷售額增長</w:t>
      </w:r>
      <w:r w:rsidRPr="00177A8C">
        <w:rPr>
          <w:lang w:eastAsia="zh-TW"/>
        </w:rPr>
        <w:t>2.5%</w:t>
      </w:r>
      <w:r w:rsidRPr="00177A8C">
        <w:rPr>
          <w:rFonts w:hint="eastAsia"/>
          <w:lang w:eastAsia="zh-TW"/>
        </w:rPr>
        <w:t>至</w:t>
      </w:r>
      <w:r w:rsidRPr="00177A8C">
        <w:rPr>
          <w:lang w:eastAsia="zh-TW"/>
        </w:rPr>
        <w:t>4.5%</w:t>
      </w:r>
      <w:r w:rsidRPr="00177A8C">
        <w:rPr>
          <w:rFonts w:hint="eastAsia"/>
          <w:lang w:eastAsia="zh-TW"/>
        </w:rPr>
        <w:t>。粘合劑技術業務部的有機銷售額增長率預計仍在</w:t>
      </w:r>
      <w:r w:rsidRPr="00177A8C">
        <w:rPr>
          <w:lang w:eastAsia="zh-TW"/>
        </w:rPr>
        <w:t>2.0%</w:t>
      </w:r>
      <w:r w:rsidRPr="00177A8C">
        <w:rPr>
          <w:rFonts w:hint="eastAsia"/>
          <w:lang w:eastAsia="zh-TW"/>
        </w:rPr>
        <w:t>至</w:t>
      </w:r>
      <w:r w:rsidRPr="00177A8C">
        <w:rPr>
          <w:lang w:eastAsia="zh-TW"/>
        </w:rPr>
        <w:t>4.0%</w:t>
      </w:r>
      <w:r w:rsidRPr="00177A8C">
        <w:rPr>
          <w:rFonts w:hint="eastAsia"/>
          <w:lang w:eastAsia="zh-TW"/>
        </w:rPr>
        <w:t>之間，而消費品牌業務部的有機銷售額增長率預計在</w:t>
      </w:r>
      <w:r w:rsidRPr="00177A8C">
        <w:rPr>
          <w:lang w:eastAsia="zh-TW"/>
        </w:rPr>
        <w:t>3.0%</w:t>
      </w:r>
      <w:r w:rsidRPr="00177A8C">
        <w:rPr>
          <w:rFonts w:hint="eastAsia"/>
          <w:lang w:eastAsia="zh-TW"/>
        </w:rPr>
        <w:t>至</w:t>
      </w:r>
      <w:r w:rsidRPr="00177A8C">
        <w:rPr>
          <w:lang w:eastAsia="zh-TW"/>
        </w:rPr>
        <w:t>5.0%</w:t>
      </w:r>
      <w:r w:rsidRPr="00177A8C">
        <w:rPr>
          <w:rFonts w:hint="eastAsia"/>
          <w:lang w:eastAsia="zh-TW"/>
        </w:rPr>
        <w:t>之間。在集團層面，</w:t>
      </w:r>
      <w:r w:rsidRPr="00177A8C">
        <w:rPr>
          <w:rFonts w:hint="eastAsia"/>
          <w:b/>
          <w:bCs/>
          <w:lang w:eastAsia="zh-TW"/>
        </w:rPr>
        <w:t>調整後的銷售回報率（息稅前利潤率）</w:t>
      </w:r>
      <w:r w:rsidRPr="00177A8C">
        <w:rPr>
          <w:rFonts w:hint="eastAsia"/>
          <w:lang w:eastAsia="zh-TW"/>
        </w:rPr>
        <w:t>預計為</w:t>
      </w:r>
      <w:r w:rsidRPr="00177A8C">
        <w:rPr>
          <w:lang w:eastAsia="zh-TW"/>
        </w:rPr>
        <w:t>13.5%</w:t>
      </w:r>
      <w:r w:rsidRPr="00177A8C">
        <w:rPr>
          <w:rFonts w:hint="eastAsia"/>
          <w:lang w:eastAsia="zh-TW"/>
        </w:rPr>
        <w:t>至</w:t>
      </w:r>
      <w:r w:rsidRPr="00177A8C">
        <w:rPr>
          <w:lang w:eastAsia="zh-TW"/>
        </w:rPr>
        <w:t>14.5%</w:t>
      </w:r>
      <w:r w:rsidRPr="00177A8C">
        <w:rPr>
          <w:rFonts w:hint="eastAsia"/>
          <w:lang w:eastAsia="zh-TW"/>
        </w:rPr>
        <w:t>（此前為：</w:t>
      </w:r>
      <w:r w:rsidRPr="00177A8C">
        <w:rPr>
          <w:lang w:eastAsia="zh-TW"/>
        </w:rPr>
        <w:t>13.0%</w:t>
      </w:r>
      <w:r w:rsidRPr="00177A8C">
        <w:rPr>
          <w:rFonts w:hint="eastAsia"/>
          <w:lang w:eastAsia="zh-TW"/>
        </w:rPr>
        <w:t>至</w:t>
      </w:r>
      <w:r w:rsidRPr="00177A8C">
        <w:rPr>
          <w:lang w:eastAsia="zh-TW"/>
        </w:rPr>
        <w:t>14.0%</w:t>
      </w:r>
      <w:r w:rsidRPr="00177A8C">
        <w:rPr>
          <w:rFonts w:hint="eastAsia"/>
          <w:lang w:eastAsia="zh-TW"/>
        </w:rPr>
        <w:t>）。對於粘合劑技術業務部，漢高預計調整後的銷售回報率仍為</w:t>
      </w:r>
      <w:r w:rsidRPr="00177A8C">
        <w:rPr>
          <w:lang w:eastAsia="zh-TW"/>
        </w:rPr>
        <w:t>16.0%</w:t>
      </w:r>
      <w:r w:rsidRPr="00177A8C">
        <w:rPr>
          <w:rFonts w:hint="eastAsia"/>
          <w:lang w:eastAsia="zh-TW"/>
        </w:rPr>
        <w:t>至</w:t>
      </w:r>
      <w:r w:rsidRPr="00177A8C">
        <w:rPr>
          <w:lang w:eastAsia="zh-TW"/>
        </w:rPr>
        <w:t>17.0%</w:t>
      </w:r>
      <w:r w:rsidRPr="00177A8C">
        <w:rPr>
          <w:rFonts w:hint="eastAsia"/>
          <w:lang w:eastAsia="zh-TW"/>
        </w:rPr>
        <w:t>。對於消費品牌業務部，漢高預計調整後的銷售回報率為</w:t>
      </w:r>
      <w:r w:rsidRPr="00177A8C">
        <w:rPr>
          <w:lang w:eastAsia="zh-TW"/>
        </w:rPr>
        <w:t>13.0%</w:t>
      </w:r>
      <w:r w:rsidRPr="00177A8C">
        <w:rPr>
          <w:rFonts w:hint="eastAsia"/>
          <w:lang w:eastAsia="zh-TW"/>
        </w:rPr>
        <w:t>至</w:t>
      </w:r>
      <w:r w:rsidRPr="00177A8C">
        <w:rPr>
          <w:lang w:eastAsia="zh-TW"/>
        </w:rPr>
        <w:t>14.0%</w:t>
      </w:r>
      <w:r w:rsidRPr="00177A8C">
        <w:rPr>
          <w:rFonts w:hint="eastAsia"/>
          <w:lang w:eastAsia="zh-TW"/>
        </w:rPr>
        <w:t>（此前為：</w:t>
      </w:r>
      <w:r w:rsidRPr="00177A8C">
        <w:rPr>
          <w:lang w:eastAsia="zh-TW"/>
        </w:rPr>
        <w:t>12.0%</w:t>
      </w:r>
      <w:r w:rsidRPr="00177A8C">
        <w:rPr>
          <w:rFonts w:hint="eastAsia"/>
          <w:lang w:eastAsia="zh-TW"/>
        </w:rPr>
        <w:t>至</w:t>
      </w:r>
      <w:r w:rsidRPr="00177A8C">
        <w:rPr>
          <w:lang w:eastAsia="zh-TW"/>
        </w:rPr>
        <w:t>13.0%</w:t>
      </w:r>
      <w:r w:rsidRPr="00177A8C">
        <w:rPr>
          <w:rFonts w:hint="eastAsia"/>
          <w:lang w:eastAsia="zh-TW"/>
        </w:rPr>
        <w:t>）。對於按固定匯率計算的</w:t>
      </w:r>
      <w:r w:rsidRPr="00177A8C">
        <w:rPr>
          <w:rFonts w:hint="eastAsia"/>
          <w:b/>
          <w:bCs/>
          <w:lang w:eastAsia="zh-TW"/>
        </w:rPr>
        <w:t>調整後優先股每股收益（</w:t>
      </w:r>
      <w:r w:rsidRPr="00177A8C">
        <w:rPr>
          <w:b/>
          <w:bCs/>
          <w:lang w:eastAsia="zh-TW"/>
        </w:rPr>
        <w:t>EPS</w:t>
      </w:r>
      <w:r w:rsidRPr="00177A8C">
        <w:rPr>
          <w:rFonts w:hint="eastAsia"/>
          <w:b/>
          <w:bCs/>
          <w:lang w:eastAsia="zh-TW"/>
        </w:rPr>
        <w:t>）</w:t>
      </w:r>
      <w:r w:rsidRPr="00177A8C">
        <w:rPr>
          <w:rFonts w:hint="eastAsia"/>
          <w:lang w:eastAsia="zh-TW"/>
        </w:rPr>
        <w:t>，漢高現在預計增長幅度為</w:t>
      </w:r>
      <w:r w:rsidRPr="00177A8C">
        <w:rPr>
          <w:lang w:eastAsia="zh-TW"/>
        </w:rPr>
        <w:t>20%</w:t>
      </w:r>
      <w:r w:rsidRPr="00177A8C">
        <w:rPr>
          <w:rFonts w:hint="eastAsia"/>
          <w:lang w:eastAsia="zh-TW"/>
        </w:rPr>
        <w:t>至</w:t>
      </w:r>
      <w:r w:rsidRPr="00177A8C">
        <w:rPr>
          <w:lang w:eastAsia="zh-TW"/>
        </w:rPr>
        <w:t>30%</w:t>
      </w:r>
      <w:r w:rsidRPr="00177A8C">
        <w:rPr>
          <w:rFonts w:hint="eastAsia"/>
          <w:lang w:eastAsia="zh-TW"/>
        </w:rPr>
        <w:t>（此前為：</w:t>
      </w:r>
      <w:r w:rsidRPr="00177A8C">
        <w:rPr>
          <w:lang w:eastAsia="zh-TW"/>
        </w:rPr>
        <w:t>15.0%</w:t>
      </w:r>
      <w:r w:rsidRPr="00177A8C">
        <w:rPr>
          <w:rFonts w:hint="eastAsia"/>
          <w:lang w:eastAsia="zh-TW"/>
        </w:rPr>
        <w:t>至</w:t>
      </w:r>
      <w:r w:rsidRPr="00177A8C">
        <w:rPr>
          <w:lang w:eastAsia="zh-TW"/>
        </w:rPr>
        <w:t>25.0%</w:t>
      </w:r>
      <w:r w:rsidRPr="00177A8C">
        <w:rPr>
          <w:rFonts w:hint="eastAsia"/>
          <w:lang w:eastAsia="zh-TW"/>
        </w:rPr>
        <w:t>）。</w:t>
      </w:r>
    </w:p>
    <w:p w14:paraId="62895597" w14:textId="77777777" w:rsidR="00D65E91" w:rsidRPr="00177A8C" w:rsidRDefault="00D65E91" w:rsidP="00272A6F">
      <w:pPr>
        <w:rPr>
          <w:rFonts w:cs="Segoe UI"/>
          <w:szCs w:val="22"/>
          <w:lang w:eastAsia="zh-TW"/>
        </w:rPr>
      </w:pPr>
    </w:p>
    <w:p w14:paraId="5988F815" w14:textId="42A3E219" w:rsidR="00E61A7F" w:rsidRPr="00177A8C" w:rsidRDefault="0060298E" w:rsidP="00272A6F">
      <w:pPr>
        <w:jc w:val="left"/>
        <w:rPr>
          <w:b/>
          <w:lang w:eastAsia="zh-TW"/>
        </w:rPr>
      </w:pPr>
      <w:r w:rsidRPr="00177A8C">
        <w:rPr>
          <w:b/>
          <w:lang w:eastAsia="zh-TW"/>
        </w:rPr>
        <w:t>2024</w:t>
      </w:r>
      <w:r w:rsidRPr="00177A8C">
        <w:rPr>
          <w:rFonts w:hint="eastAsia"/>
          <w:b/>
          <w:lang w:eastAsia="zh-TW"/>
        </w:rPr>
        <w:t>年上半年的銷售額和盈利情況</w:t>
      </w:r>
    </w:p>
    <w:p w14:paraId="6E31627B" w14:textId="62903441" w:rsidR="000B31E4" w:rsidRPr="00177A8C" w:rsidRDefault="0060298E" w:rsidP="00272A6F">
      <w:pPr>
        <w:rPr>
          <w:rFonts w:cs="Segoe UI"/>
          <w:szCs w:val="22"/>
          <w:lang w:eastAsia="zh-TW"/>
        </w:rPr>
      </w:pPr>
      <w:r w:rsidRPr="00177A8C">
        <w:rPr>
          <w:rFonts w:hint="eastAsia"/>
          <w:lang w:eastAsia="zh-TW"/>
        </w:rPr>
        <w:t>面對持續嚴峻的市場環境，漢高</w:t>
      </w:r>
      <w:r w:rsidRPr="00177A8C">
        <w:rPr>
          <w:lang w:eastAsia="zh-TW"/>
        </w:rPr>
        <w:t>2024</w:t>
      </w:r>
      <w:r w:rsidRPr="00177A8C">
        <w:rPr>
          <w:rFonts w:hint="eastAsia"/>
          <w:lang w:eastAsia="zh-TW"/>
        </w:rPr>
        <w:t>年上半年實現</w:t>
      </w:r>
      <w:r w:rsidRPr="00177A8C">
        <w:rPr>
          <w:rFonts w:hint="eastAsia"/>
          <w:b/>
          <w:bCs/>
          <w:lang w:eastAsia="zh-TW"/>
        </w:rPr>
        <w:t>集團銷售額</w:t>
      </w:r>
      <w:r w:rsidRPr="00177A8C">
        <w:rPr>
          <w:lang w:eastAsia="zh-TW"/>
        </w:rPr>
        <w:t>108.13</w:t>
      </w:r>
      <w:r w:rsidRPr="00177A8C">
        <w:rPr>
          <w:rFonts w:hint="eastAsia"/>
          <w:lang w:eastAsia="zh-TW"/>
        </w:rPr>
        <w:t>億歐元，名義下滑</w:t>
      </w:r>
      <w:r w:rsidRPr="00177A8C">
        <w:rPr>
          <w:lang w:eastAsia="zh-TW"/>
        </w:rPr>
        <w:t>1.0%</w:t>
      </w:r>
      <w:r w:rsidRPr="00177A8C">
        <w:rPr>
          <w:rFonts w:hint="eastAsia"/>
          <w:lang w:eastAsia="zh-TW"/>
        </w:rPr>
        <w:t>。在前幾個季度的名義銷售額受到俄羅斯業務剝離的負面影響後，漢高在</w:t>
      </w:r>
      <w:r w:rsidRPr="00177A8C">
        <w:rPr>
          <w:lang w:eastAsia="zh-TW"/>
        </w:rPr>
        <w:t>2024</w:t>
      </w:r>
      <w:r w:rsidRPr="00177A8C">
        <w:rPr>
          <w:rFonts w:hint="eastAsia"/>
          <w:lang w:eastAsia="zh-TW"/>
        </w:rPr>
        <w:t>年第二季度</w:t>
      </w:r>
      <w:r>
        <w:rPr>
          <w:rFonts w:hint="eastAsia"/>
          <w:lang w:eastAsia="zh-TW"/>
        </w:rPr>
        <w:t>重新</w:t>
      </w:r>
      <w:r w:rsidRPr="00177A8C">
        <w:rPr>
          <w:rFonts w:hint="eastAsia"/>
          <w:lang w:eastAsia="zh-TW"/>
        </w:rPr>
        <w:t>實現了名義銷售額增長（第二季度：</w:t>
      </w:r>
      <w:r w:rsidRPr="00177A8C">
        <w:rPr>
          <w:lang w:eastAsia="zh-TW"/>
        </w:rPr>
        <w:t>54.96</w:t>
      </w:r>
      <w:r w:rsidRPr="00177A8C">
        <w:rPr>
          <w:rFonts w:hint="eastAsia"/>
          <w:lang w:eastAsia="zh-TW"/>
        </w:rPr>
        <w:t>億歐元，增長</w:t>
      </w:r>
      <w:r w:rsidRPr="00177A8C">
        <w:rPr>
          <w:lang w:eastAsia="zh-TW"/>
        </w:rPr>
        <w:t>3.4%</w:t>
      </w:r>
      <w:r w:rsidRPr="00177A8C">
        <w:rPr>
          <w:rFonts w:hint="eastAsia"/>
          <w:lang w:eastAsia="zh-TW"/>
        </w:rPr>
        <w:t>）。外匯因素導致銷售額下降</w:t>
      </w:r>
      <w:r w:rsidRPr="00177A8C">
        <w:rPr>
          <w:lang w:eastAsia="zh-TW"/>
        </w:rPr>
        <w:t>1.9%</w:t>
      </w:r>
      <w:r w:rsidRPr="00177A8C">
        <w:rPr>
          <w:rFonts w:hint="eastAsia"/>
          <w:lang w:eastAsia="zh-TW"/>
        </w:rPr>
        <w:t>（第二季度：</w:t>
      </w:r>
      <w:r>
        <w:rPr>
          <w:rFonts w:hint="eastAsia"/>
          <w:lang w:eastAsia="zh-TW"/>
        </w:rPr>
        <w:t>增長</w:t>
      </w:r>
      <w:r w:rsidRPr="00177A8C">
        <w:rPr>
          <w:lang w:eastAsia="zh-TW"/>
        </w:rPr>
        <w:t>0.2%</w:t>
      </w:r>
      <w:r w:rsidRPr="00177A8C">
        <w:rPr>
          <w:rFonts w:hint="eastAsia"/>
          <w:lang w:eastAsia="zh-TW"/>
        </w:rPr>
        <w:t>）。收購和撤資導致銷售額下降</w:t>
      </w:r>
      <w:r w:rsidRPr="00177A8C">
        <w:rPr>
          <w:lang w:eastAsia="zh-TW"/>
        </w:rPr>
        <w:t>2.1%</w:t>
      </w:r>
      <w:r w:rsidRPr="00177A8C">
        <w:rPr>
          <w:rFonts w:hint="eastAsia"/>
          <w:lang w:eastAsia="zh-TW"/>
        </w:rPr>
        <w:t>（第二季度：</w:t>
      </w:r>
      <w:r>
        <w:rPr>
          <w:rFonts w:hint="eastAsia"/>
          <w:lang w:eastAsia="zh-TW"/>
        </w:rPr>
        <w:t>增長</w:t>
      </w:r>
      <w:r w:rsidRPr="00177A8C">
        <w:rPr>
          <w:lang w:eastAsia="zh-TW"/>
        </w:rPr>
        <w:t>0.3%</w:t>
      </w:r>
      <w:r w:rsidRPr="00177A8C">
        <w:rPr>
          <w:rFonts w:hint="eastAsia"/>
          <w:lang w:eastAsia="zh-TW"/>
        </w:rPr>
        <w:t>）。儘管</w:t>
      </w:r>
      <w:r w:rsidRPr="00177A8C">
        <w:rPr>
          <w:lang w:eastAsia="zh-TW"/>
        </w:rPr>
        <w:t>2023</w:t>
      </w:r>
      <w:r w:rsidRPr="00177A8C">
        <w:rPr>
          <w:rFonts w:hint="eastAsia"/>
          <w:lang w:eastAsia="zh-TW"/>
        </w:rPr>
        <w:t>年</w:t>
      </w:r>
      <w:r w:rsidRPr="00177A8C">
        <w:rPr>
          <w:lang w:eastAsia="zh-TW"/>
        </w:rPr>
        <w:t>4</w:t>
      </w:r>
      <w:r w:rsidRPr="00177A8C">
        <w:rPr>
          <w:rFonts w:hint="eastAsia"/>
          <w:lang w:eastAsia="zh-TW"/>
        </w:rPr>
        <w:t>月對俄羅斯業務活動的剝離導致了負面影響，但兩個業務部門近期完成的</w:t>
      </w:r>
      <w:r>
        <w:rPr>
          <w:rFonts w:hint="eastAsia"/>
          <w:lang w:eastAsia="zh-TW"/>
        </w:rPr>
        <w:t>對</w:t>
      </w:r>
      <w:r w:rsidRPr="00177A8C">
        <w:rPr>
          <w:lang w:eastAsia="zh-TW"/>
        </w:rPr>
        <w:t>Seal for Life</w:t>
      </w:r>
      <w:r>
        <w:rPr>
          <w:rFonts w:hint="eastAsia"/>
          <w:lang w:eastAsia="zh-TW"/>
        </w:rPr>
        <w:t>以及沙宣的</w:t>
      </w:r>
      <w:r w:rsidRPr="00177A8C">
        <w:rPr>
          <w:rFonts w:hint="eastAsia"/>
          <w:lang w:eastAsia="zh-TW"/>
        </w:rPr>
        <w:t>收購</w:t>
      </w:r>
      <w:r>
        <w:rPr>
          <w:rFonts w:hint="eastAsia"/>
          <w:lang w:eastAsia="zh-TW"/>
        </w:rPr>
        <w:t>為銷售額</w:t>
      </w:r>
      <w:r w:rsidRPr="00177A8C">
        <w:rPr>
          <w:rFonts w:hint="eastAsia"/>
          <w:lang w:eastAsia="zh-TW"/>
        </w:rPr>
        <w:t>帶來了積極影響。對外匯因素和收購</w:t>
      </w:r>
      <w:r w:rsidRPr="00177A8C">
        <w:rPr>
          <w:lang w:eastAsia="zh-TW"/>
        </w:rPr>
        <w:t>/</w:t>
      </w:r>
      <w:r w:rsidRPr="00177A8C">
        <w:rPr>
          <w:rFonts w:hint="eastAsia"/>
          <w:lang w:eastAsia="zh-TW"/>
        </w:rPr>
        <w:t>撤資進行調整後，漢高的</w:t>
      </w:r>
      <w:r w:rsidRPr="00177A8C">
        <w:rPr>
          <w:rFonts w:hint="eastAsia"/>
          <w:b/>
          <w:bCs/>
          <w:lang w:eastAsia="zh-TW"/>
        </w:rPr>
        <w:t>有機銷售額</w:t>
      </w:r>
      <w:r w:rsidRPr="00177A8C">
        <w:rPr>
          <w:rFonts w:hint="eastAsia"/>
          <w:lang w:eastAsia="zh-TW"/>
        </w:rPr>
        <w:t>增長</w:t>
      </w:r>
      <w:r w:rsidRPr="00177A8C">
        <w:rPr>
          <w:lang w:eastAsia="zh-TW"/>
        </w:rPr>
        <w:t>2.9%</w:t>
      </w:r>
      <w:r w:rsidRPr="00177A8C">
        <w:rPr>
          <w:rFonts w:hint="eastAsia"/>
          <w:lang w:eastAsia="zh-TW"/>
        </w:rPr>
        <w:t>（第二季度：</w:t>
      </w:r>
      <w:r>
        <w:rPr>
          <w:rFonts w:hint="eastAsia"/>
          <w:lang w:eastAsia="zh-TW"/>
        </w:rPr>
        <w:t>增長</w:t>
      </w:r>
      <w:r w:rsidRPr="00177A8C">
        <w:rPr>
          <w:lang w:eastAsia="zh-TW"/>
        </w:rPr>
        <w:t>2.8%</w:t>
      </w:r>
      <w:r w:rsidRPr="00177A8C">
        <w:rPr>
          <w:rFonts w:hint="eastAsia"/>
          <w:lang w:eastAsia="zh-TW"/>
        </w:rPr>
        <w:t>）。</w:t>
      </w:r>
    </w:p>
    <w:p w14:paraId="371F28DF" w14:textId="77777777" w:rsidR="000B31E4" w:rsidRPr="00177A8C" w:rsidRDefault="000B31E4" w:rsidP="00272A6F">
      <w:pPr>
        <w:rPr>
          <w:rFonts w:cs="Segoe UI"/>
          <w:szCs w:val="22"/>
          <w:lang w:eastAsia="zh-TW"/>
        </w:rPr>
      </w:pPr>
    </w:p>
    <w:p w14:paraId="4131D5F6" w14:textId="4592D4FC" w:rsidR="00DC5CDA" w:rsidRPr="00177A8C" w:rsidRDefault="0060298E" w:rsidP="00272A6F">
      <w:pPr>
        <w:rPr>
          <w:rFonts w:cs="Segoe UI"/>
          <w:szCs w:val="22"/>
          <w:lang w:eastAsia="zh-TW"/>
        </w:rPr>
      </w:pPr>
      <w:r w:rsidRPr="00177A8C">
        <w:rPr>
          <w:lang w:eastAsia="zh-TW"/>
        </w:rPr>
        <w:t>2024</w:t>
      </w:r>
      <w:r w:rsidRPr="00177A8C">
        <w:rPr>
          <w:rFonts w:hint="eastAsia"/>
          <w:lang w:eastAsia="zh-TW"/>
        </w:rPr>
        <w:t>年上半年，</w:t>
      </w:r>
      <w:r w:rsidRPr="00177A8C">
        <w:rPr>
          <w:rFonts w:hint="eastAsia"/>
          <w:b/>
          <w:bCs/>
          <w:lang w:eastAsia="zh-TW"/>
        </w:rPr>
        <w:t>粘合劑技術</w:t>
      </w:r>
      <w:r w:rsidRPr="00177A8C">
        <w:rPr>
          <w:rFonts w:hint="eastAsia"/>
          <w:lang w:eastAsia="zh-TW"/>
        </w:rPr>
        <w:t>業務部在移動和電子業務以及工匠、建築和專業業務領域的推動下，有機銷售額增長</w:t>
      </w:r>
      <w:r w:rsidRPr="00177A8C">
        <w:rPr>
          <w:lang w:eastAsia="zh-TW"/>
        </w:rPr>
        <w:t>2.0%</w:t>
      </w:r>
      <w:r w:rsidRPr="00177A8C">
        <w:rPr>
          <w:rFonts w:hint="eastAsia"/>
          <w:lang w:eastAsia="zh-TW"/>
        </w:rPr>
        <w:t>。（第二季度：</w:t>
      </w:r>
      <w:r>
        <w:rPr>
          <w:rFonts w:hint="eastAsia"/>
          <w:lang w:eastAsia="zh-TW"/>
        </w:rPr>
        <w:t>增長</w:t>
      </w:r>
      <w:r w:rsidRPr="00177A8C">
        <w:rPr>
          <w:lang w:eastAsia="zh-TW"/>
        </w:rPr>
        <w:t>2.6%</w:t>
      </w:r>
      <w:r w:rsidRPr="00177A8C">
        <w:rPr>
          <w:rFonts w:hint="eastAsia"/>
          <w:lang w:eastAsia="zh-TW"/>
        </w:rPr>
        <w:t>）。</w:t>
      </w:r>
      <w:r w:rsidRPr="00177A8C">
        <w:rPr>
          <w:rFonts w:hint="eastAsia"/>
          <w:b/>
          <w:lang w:eastAsia="zh-TW"/>
        </w:rPr>
        <w:t>消費品牌</w:t>
      </w:r>
      <w:r w:rsidRPr="00177A8C">
        <w:rPr>
          <w:rFonts w:hint="eastAsia"/>
          <w:lang w:eastAsia="zh-TW"/>
        </w:rPr>
        <w:t>業務部實現了</w:t>
      </w:r>
      <w:r w:rsidRPr="00177A8C">
        <w:rPr>
          <w:lang w:eastAsia="zh-TW"/>
        </w:rPr>
        <w:t>4.3%</w:t>
      </w:r>
      <w:r w:rsidRPr="00177A8C">
        <w:rPr>
          <w:rFonts w:hint="eastAsia"/>
          <w:lang w:eastAsia="zh-TW"/>
        </w:rPr>
        <w:t>的有機銷售額增長，所有業務領域都為此做出了貢獻（第二季度：</w:t>
      </w:r>
      <w:r>
        <w:rPr>
          <w:rFonts w:hint="eastAsia"/>
          <w:lang w:eastAsia="zh-TW"/>
        </w:rPr>
        <w:t>增長</w:t>
      </w:r>
      <w:r w:rsidRPr="00177A8C">
        <w:rPr>
          <w:lang w:eastAsia="zh-TW"/>
        </w:rPr>
        <w:t>3.3%</w:t>
      </w:r>
      <w:r w:rsidRPr="00177A8C">
        <w:rPr>
          <w:rFonts w:hint="eastAsia"/>
          <w:lang w:eastAsia="zh-TW"/>
        </w:rPr>
        <w:t>）。兩個業務部銷售額的增長主要得益於價格的上漲。在集團層面，銷量繼續受到消費品牌</w:t>
      </w:r>
      <w:r>
        <w:rPr>
          <w:rFonts w:hint="eastAsia"/>
          <w:lang w:eastAsia="zh-TW"/>
        </w:rPr>
        <w:t>業務部</w:t>
      </w:r>
      <w:r w:rsidRPr="00177A8C">
        <w:rPr>
          <w:rFonts w:hint="eastAsia"/>
          <w:lang w:eastAsia="zh-TW"/>
        </w:rPr>
        <w:t>產品組合</w:t>
      </w:r>
      <w:r>
        <w:rPr>
          <w:rFonts w:hint="eastAsia"/>
          <w:lang w:eastAsia="zh-TW"/>
        </w:rPr>
        <w:t>優化</w:t>
      </w:r>
      <w:r w:rsidRPr="00177A8C">
        <w:rPr>
          <w:rFonts w:hint="eastAsia"/>
          <w:lang w:eastAsia="zh-TW"/>
        </w:rPr>
        <w:t>措施的影響，</w:t>
      </w:r>
      <w:r>
        <w:rPr>
          <w:rFonts w:hint="eastAsia"/>
          <w:lang w:eastAsia="zh-TW"/>
        </w:rPr>
        <w:t>但</w:t>
      </w:r>
      <w:r w:rsidRPr="00177A8C">
        <w:rPr>
          <w:rFonts w:hint="eastAsia"/>
          <w:lang w:eastAsia="zh-TW"/>
        </w:rPr>
        <w:t>與</w:t>
      </w:r>
      <w:r w:rsidRPr="00177A8C">
        <w:rPr>
          <w:lang w:eastAsia="zh-TW"/>
        </w:rPr>
        <w:t>2023</w:t>
      </w:r>
      <w:r w:rsidRPr="00177A8C">
        <w:rPr>
          <w:rFonts w:hint="eastAsia"/>
          <w:lang w:eastAsia="zh-TW"/>
        </w:rPr>
        <w:t>年上半年相比略呈上升趨勢，</w:t>
      </w:r>
      <w:r>
        <w:rPr>
          <w:rFonts w:hint="eastAsia"/>
          <w:lang w:eastAsia="zh-TW"/>
        </w:rPr>
        <w:t>與</w:t>
      </w:r>
      <w:r w:rsidRPr="00177A8C">
        <w:rPr>
          <w:lang w:eastAsia="zh-TW"/>
        </w:rPr>
        <w:t>2024</w:t>
      </w:r>
      <w:r w:rsidRPr="00177A8C">
        <w:rPr>
          <w:rFonts w:hint="eastAsia"/>
          <w:lang w:eastAsia="zh-TW"/>
        </w:rPr>
        <w:t>年第一季度</w:t>
      </w:r>
      <w:r>
        <w:rPr>
          <w:rFonts w:hint="eastAsia"/>
          <w:lang w:eastAsia="zh-TW"/>
        </w:rPr>
        <w:t>相比實現</w:t>
      </w:r>
      <w:r w:rsidRPr="00177A8C">
        <w:rPr>
          <w:rFonts w:hint="eastAsia"/>
          <w:lang w:eastAsia="zh-TW"/>
        </w:rPr>
        <w:t>連續</w:t>
      </w:r>
      <w:r>
        <w:rPr>
          <w:rFonts w:hint="eastAsia"/>
          <w:lang w:eastAsia="zh-TW"/>
        </w:rPr>
        <w:t>性</w:t>
      </w:r>
      <w:r w:rsidRPr="00177A8C">
        <w:rPr>
          <w:rFonts w:hint="eastAsia"/>
          <w:lang w:eastAsia="zh-TW"/>
        </w:rPr>
        <w:t>改善。</w:t>
      </w:r>
      <w:r w:rsidR="006F1BEC" w:rsidRPr="00177A8C">
        <w:rPr>
          <w:rFonts w:hint="eastAsia"/>
          <w:lang w:eastAsia="zh-TW"/>
        </w:rPr>
        <w:t xml:space="preserve"> </w:t>
      </w:r>
    </w:p>
    <w:p w14:paraId="7BAD4C7B" w14:textId="77777777" w:rsidR="00033476" w:rsidRPr="00177A8C" w:rsidRDefault="00033476" w:rsidP="00272A6F">
      <w:pPr>
        <w:rPr>
          <w:rFonts w:cs="Segoe UI"/>
          <w:szCs w:val="22"/>
          <w:lang w:eastAsia="zh-TW"/>
        </w:rPr>
      </w:pPr>
    </w:p>
    <w:p w14:paraId="3E184C96" w14:textId="2D73E0C6" w:rsidR="00483617" w:rsidRPr="00177A8C" w:rsidRDefault="0060298E" w:rsidP="00272A6F">
      <w:pPr>
        <w:rPr>
          <w:rFonts w:cs="Segoe UI"/>
          <w:szCs w:val="22"/>
          <w:lang w:eastAsia="zh-TW"/>
        </w:rPr>
      </w:pPr>
      <w:r w:rsidRPr="00177A8C">
        <w:rPr>
          <w:rFonts w:hint="eastAsia"/>
          <w:lang w:eastAsia="zh-TW"/>
        </w:rPr>
        <w:lastRenderedPageBreak/>
        <w:t>今年上半年，</w:t>
      </w:r>
      <w:r w:rsidRPr="00177A8C">
        <w:rPr>
          <w:rFonts w:hint="eastAsia"/>
          <w:b/>
          <w:bCs/>
          <w:lang w:eastAsia="zh-TW"/>
        </w:rPr>
        <w:t>歐洲</w:t>
      </w:r>
      <w:r w:rsidRPr="00177A8C">
        <w:rPr>
          <w:rFonts w:hint="eastAsia"/>
          <w:lang w:eastAsia="zh-TW"/>
        </w:rPr>
        <w:t>地區的有機銷售額增長</w:t>
      </w:r>
      <w:r w:rsidRPr="00177A8C">
        <w:rPr>
          <w:lang w:eastAsia="zh-TW"/>
        </w:rPr>
        <w:t>1.8%</w:t>
      </w:r>
      <w:r w:rsidRPr="00177A8C">
        <w:rPr>
          <w:rFonts w:hint="eastAsia"/>
          <w:lang w:eastAsia="zh-TW"/>
        </w:rPr>
        <w:t>（第二季度：</w:t>
      </w:r>
      <w:r>
        <w:rPr>
          <w:rFonts w:hint="eastAsia"/>
          <w:lang w:eastAsia="zh-TW"/>
        </w:rPr>
        <w:t>增長</w:t>
      </w:r>
      <w:r w:rsidRPr="00177A8C">
        <w:rPr>
          <w:lang w:eastAsia="zh-TW"/>
        </w:rPr>
        <w:t>1.2%</w:t>
      </w:r>
      <w:r w:rsidRPr="00177A8C">
        <w:rPr>
          <w:rFonts w:hint="eastAsia"/>
          <w:lang w:eastAsia="zh-TW"/>
        </w:rPr>
        <w:t>）。</w:t>
      </w:r>
      <w:r w:rsidRPr="00177A8C">
        <w:rPr>
          <w:rFonts w:hint="eastAsia"/>
          <w:b/>
          <w:bCs/>
          <w:lang w:eastAsia="zh-TW"/>
        </w:rPr>
        <w:t>在印度、中東和非洲地區，</w:t>
      </w:r>
      <w:r w:rsidRPr="00177A8C">
        <w:rPr>
          <w:rFonts w:hint="eastAsia"/>
          <w:lang w:eastAsia="zh-TW"/>
        </w:rPr>
        <w:t>漢高實現了</w:t>
      </w:r>
      <w:r w:rsidRPr="00177A8C">
        <w:rPr>
          <w:lang w:eastAsia="zh-TW"/>
        </w:rPr>
        <w:t>21.0%</w:t>
      </w:r>
      <w:r w:rsidRPr="00177A8C">
        <w:rPr>
          <w:rFonts w:hint="eastAsia"/>
          <w:lang w:eastAsia="zh-TW"/>
        </w:rPr>
        <w:t>的兩位數有機銷售額增長（第二季度：</w:t>
      </w:r>
      <w:r>
        <w:rPr>
          <w:rFonts w:hint="eastAsia"/>
          <w:lang w:eastAsia="zh-TW"/>
        </w:rPr>
        <w:t>增長</w:t>
      </w:r>
      <w:r w:rsidRPr="00177A8C">
        <w:rPr>
          <w:lang w:eastAsia="zh-TW"/>
        </w:rPr>
        <w:t>13.7%</w:t>
      </w:r>
      <w:r w:rsidRPr="00177A8C">
        <w:rPr>
          <w:rFonts w:hint="eastAsia"/>
          <w:lang w:eastAsia="zh-TW"/>
        </w:rPr>
        <w:t>）。</w:t>
      </w:r>
      <w:r w:rsidRPr="00177A8C">
        <w:rPr>
          <w:rFonts w:hint="eastAsia"/>
          <w:b/>
          <w:bCs/>
          <w:lang w:eastAsia="zh-TW"/>
        </w:rPr>
        <w:t>北美</w:t>
      </w:r>
      <w:r w:rsidRPr="00177A8C">
        <w:rPr>
          <w:rFonts w:hint="eastAsia"/>
          <w:lang w:eastAsia="zh-TW"/>
        </w:rPr>
        <w:t>地區有機銷售額下降</w:t>
      </w:r>
      <w:r w:rsidRPr="00177A8C">
        <w:rPr>
          <w:lang w:eastAsia="zh-TW"/>
        </w:rPr>
        <w:t>1.6%</w:t>
      </w:r>
      <w:r w:rsidRPr="00177A8C">
        <w:rPr>
          <w:rFonts w:hint="eastAsia"/>
          <w:lang w:eastAsia="zh-TW"/>
        </w:rPr>
        <w:t>（第二季度：下降</w:t>
      </w:r>
      <w:r w:rsidRPr="00177A8C">
        <w:rPr>
          <w:lang w:eastAsia="zh-TW"/>
        </w:rPr>
        <w:t>0.2%</w:t>
      </w:r>
      <w:r w:rsidRPr="00177A8C">
        <w:rPr>
          <w:rFonts w:hint="eastAsia"/>
          <w:lang w:eastAsia="zh-TW"/>
        </w:rPr>
        <w:t>）。</w:t>
      </w:r>
      <w:r w:rsidRPr="00177A8C">
        <w:rPr>
          <w:rFonts w:hint="eastAsia"/>
          <w:b/>
          <w:bCs/>
          <w:lang w:eastAsia="zh-TW"/>
        </w:rPr>
        <w:t>拉美</w:t>
      </w:r>
      <w:r w:rsidRPr="00177A8C">
        <w:rPr>
          <w:rFonts w:hint="eastAsia"/>
          <w:lang w:eastAsia="zh-TW"/>
        </w:rPr>
        <w:t>地區有機銷售額持平（第二季度：</w:t>
      </w:r>
      <w:r>
        <w:rPr>
          <w:rFonts w:hint="eastAsia"/>
          <w:lang w:eastAsia="zh-TW"/>
        </w:rPr>
        <w:t>增長</w:t>
      </w:r>
      <w:r w:rsidRPr="00177A8C">
        <w:rPr>
          <w:lang w:eastAsia="zh-TW"/>
        </w:rPr>
        <w:t>2.7%</w:t>
      </w:r>
      <w:r w:rsidRPr="00177A8C">
        <w:rPr>
          <w:rFonts w:hint="eastAsia"/>
          <w:lang w:eastAsia="zh-TW"/>
        </w:rPr>
        <w:t>）。</w:t>
      </w:r>
      <w:r w:rsidRPr="00177A8C">
        <w:rPr>
          <w:rFonts w:hint="eastAsia"/>
          <w:b/>
          <w:bCs/>
          <w:lang w:eastAsia="zh-TW"/>
        </w:rPr>
        <w:t>亞太</w:t>
      </w:r>
      <w:r w:rsidRPr="00177A8C">
        <w:rPr>
          <w:rFonts w:hint="eastAsia"/>
          <w:lang w:eastAsia="zh-TW"/>
        </w:rPr>
        <w:t>地區實現了</w:t>
      </w:r>
      <w:r w:rsidRPr="00177A8C">
        <w:rPr>
          <w:lang w:eastAsia="zh-TW"/>
        </w:rPr>
        <w:t>5.5%</w:t>
      </w:r>
      <w:r w:rsidRPr="00177A8C">
        <w:rPr>
          <w:rFonts w:hint="eastAsia"/>
          <w:lang w:eastAsia="zh-TW"/>
        </w:rPr>
        <w:t>的有機銷售額增長（第二季度：</w:t>
      </w:r>
      <w:r>
        <w:rPr>
          <w:rFonts w:hint="eastAsia"/>
          <w:lang w:eastAsia="zh-TW"/>
        </w:rPr>
        <w:t>增長</w:t>
      </w:r>
      <w:r w:rsidRPr="00177A8C">
        <w:rPr>
          <w:lang w:eastAsia="zh-TW"/>
        </w:rPr>
        <w:t>7.5%</w:t>
      </w:r>
      <w:r w:rsidRPr="00177A8C">
        <w:rPr>
          <w:rFonts w:hint="eastAsia"/>
          <w:lang w:eastAsia="zh-TW"/>
        </w:rPr>
        <w:t>）。</w:t>
      </w:r>
      <w:r w:rsidR="006F1BEC" w:rsidRPr="00177A8C">
        <w:rPr>
          <w:rFonts w:hint="eastAsia"/>
          <w:lang w:eastAsia="zh-TW"/>
        </w:rPr>
        <w:t xml:space="preserve"> </w:t>
      </w:r>
    </w:p>
    <w:p w14:paraId="56B7EA49" w14:textId="77777777" w:rsidR="00E67B4F" w:rsidRPr="00177A8C" w:rsidRDefault="00E67B4F" w:rsidP="00272A6F">
      <w:pPr>
        <w:rPr>
          <w:rFonts w:cs="Segoe UI"/>
          <w:bCs/>
          <w:szCs w:val="22"/>
          <w:lang w:eastAsia="zh-TW"/>
        </w:rPr>
      </w:pPr>
    </w:p>
    <w:p w14:paraId="498F94F2" w14:textId="627FDA3C" w:rsidR="002B35E0" w:rsidRPr="00177A8C" w:rsidRDefault="0060298E" w:rsidP="00272A6F">
      <w:pPr>
        <w:rPr>
          <w:rFonts w:cs="Segoe UI"/>
          <w:bCs/>
          <w:szCs w:val="22"/>
          <w:lang w:eastAsia="zh-TW"/>
        </w:rPr>
      </w:pPr>
      <w:r w:rsidRPr="00177A8C">
        <w:rPr>
          <w:rFonts w:hint="eastAsia"/>
          <w:b/>
          <w:bCs/>
          <w:lang w:eastAsia="zh-TW"/>
        </w:rPr>
        <w:t>調整後的營業利潤（調整後的息稅前利潤）</w:t>
      </w:r>
      <w:r w:rsidRPr="00177A8C">
        <w:rPr>
          <w:rFonts w:hint="eastAsia"/>
          <w:lang w:eastAsia="zh-TW"/>
        </w:rPr>
        <w:t>從</w:t>
      </w:r>
      <w:r w:rsidRPr="00177A8C">
        <w:rPr>
          <w:lang w:eastAsia="zh-TW"/>
        </w:rPr>
        <w:t>2023</w:t>
      </w:r>
      <w:r w:rsidRPr="00177A8C">
        <w:rPr>
          <w:rFonts w:hint="eastAsia"/>
          <w:lang w:eastAsia="zh-TW"/>
        </w:rPr>
        <w:t>年上半年的</w:t>
      </w:r>
      <w:r w:rsidRPr="00177A8C">
        <w:rPr>
          <w:lang w:eastAsia="zh-TW"/>
        </w:rPr>
        <w:t>12.54</w:t>
      </w:r>
      <w:r w:rsidRPr="00177A8C">
        <w:rPr>
          <w:rFonts w:hint="eastAsia"/>
          <w:lang w:eastAsia="zh-TW"/>
        </w:rPr>
        <w:t>億歐元大幅增至</w:t>
      </w:r>
      <w:r w:rsidRPr="00177A8C">
        <w:rPr>
          <w:lang w:eastAsia="zh-TW"/>
        </w:rPr>
        <w:t>16.10</w:t>
      </w:r>
      <w:r w:rsidRPr="00177A8C">
        <w:rPr>
          <w:rFonts w:hint="eastAsia"/>
          <w:lang w:eastAsia="zh-TW"/>
        </w:rPr>
        <w:t>億歐元，增幅達</w:t>
      </w:r>
      <w:r w:rsidRPr="00177A8C">
        <w:rPr>
          <w:lang w:eastAsia="zh-TW"/>
        </w:rPr>
        <w:t>28.4%</w:t>
      </w:r>
      <w:r w:rsidRPr="00177A8C">
        <w:rPr>
          <w:rFonts w:hint="eastAsia"/>
          <w:lang w:eastAsia="zh-TW"/>
        </w:rPr>
        <w:t>，這主要得益於毛利率的強勁增長。</w:t>
      </w:r>
      <w:r w:rsidR="006F1BEC" w:rsidRPr="00177A8C">
        <w:rPr>
          <w:rFonts w:hint="eastAsia"/>
          <w:lang w:eastAsia="zh-TW"/>
        </w:rPr>
        <w:t xml:space="preserve"> </w:t>
      </w:r>
    </w:p>
    <w:p w14:paraId="75C429F8" w14:textId="77777777" w:rsidR="002B35E0" w:rsidRPr="00177A8C" w:rsidRDefault="002B35E0" w:rsidP="00272A6F">
      <w:pPr>
        <w:rPr>
          <w:rFonts w:cs="Segoe UI"/>
          <w:bCs/>
          <w:szCs w:val="22"/>
          <w:lang w:eastAsia="zh-TW"/>
        </w:rPr>
      </w:pPr>
    </w:p>
    <w:p w14:paraId="27213617" w14:textId="646D78D9" w:rsidR="002B35E0" w:rsidRPr="00177A8C" w:rsidRDefault="0060298E" w:rsidP="00272A6F">
      <w:pPr>
        <w:rPr>
          <w:rFonts w:cs="Segoe UI"/>
          <w:bCs/>
          <w:szCs w:val="22"/>
          <w:lang w:eastAsia="zh-TW"/>
        </w:rPr>
      </w:pPr>
      <w:r w:rsidRPr="00AC131D">
        <w:rPr>
          <w:rFonts w:hint="eastAsia"/>
          <w:lang w:eastAsia="zh-TW"/>
        </w:rPr>
        <w:t>漢高集團</w:t>
      </w:r>
      <w:r w:rsidRPr="00177A8C">
        <w:rPr>
          <w:rFonts w:hint="eastAsia"/>
          <w:b/>
          <w:bCs/>
          <w:lang w:eastAsia="zh-TW"/>
        </w:rPr>
        <w:t>調整後的銷售回報率（調整後的息稅前利潤率）</w:t>
      </w:r>
      <w:r w:rsidRPr="00177A8C">
        <w:rPr>
          <w:rFonts w:hint="eastAsia"/>
          <w:lang w:eastAsia="zh-TW"/>
        </w:rPr>
        <w:t>從</w:t>
      </w:r>
      <w:r w:rsidRPr="00177A8C">
        <w:rPr>
          <w:lang w:eastAsia="zh-TW"/>
        </w:rPr>
        <w:t>11.5%</w:t>
      </w:r>
      <w:r w:rsidRPr="00177A8C">
        <w:rPr>
          <w:rFonts w:hint="eastAsia"/>
          <w:lang w:eastAsia="zh-TW"/>
        </w:rPr>
        <w:t>大幅提</w:t>
      </w:r>
      <w:r>
        <w:rPr>
          <w:rFonts w:hint="eastAsia"/>
          <w:lang w:eastAsia="zh-TW"/>
        </w:rPr>
        <w:t>升</w:t>
      </w:r>
      <w:r w:rsidRPr="00177A8C">
        <w:rPr>
          <w:rFonts w:hint="eastAsia"/>
          <w:lang w:eastAsia="zh-TW"/>
        </w:rPr>
        <w:t>至</w:t>
      </w:r>
      <w:r w:rsidRPr="00177A8C">
        <w:rPr>
          <w:lang w:eastAsia="zh-TW"/>
        </w:rPr>
        <w:t>14.9%</w:t>
      </w:r>
      <w:r w:rsidRPr="00177A8C">
        <w:rPr>
          <w:rFonts w:hint="eastAsia"/>
          <w:lang w:eastAsia="zh-TW"/>
        </w:rPr>
        <w:t>，增長</w:t>
      </w:r>
      <w:r w:rsidRPr="00177A8C">
        <w:rPr>
          <w:lang w:eastAsia="zh-TW"/>
        </w:rPr>
        <w:t>340</w:t>
      </w:r>
      <w:r w:rsidRPr="00177A8C">
        <w:rPr>
          <w:rFonts w:hint="eastAsia"/>
          <w:lang w:eastAsia="zh-TW"/>
        </w:rPr>
        <w:t>個基點。</w:t>
      </w:r>
    </w:p>
    <w:p w14:paraId="0504B383" w14:textId="77777777" w:rsidR="000B31E4" w:rsidRPr="00177A8C" w:rsidRDefault="000B31E4" w:rsidP="00272A6F">
      <w:pPr>
        <w:rPr>
          <w:rFonts w:cs="Segoe UI"/>
          <w:b/>
          <w:szCs w:val="22"/>
          <w:lang w:eastAsia="zh-TW"/>
        </w:rPr>
      </w:pPr>
    </w:p>
    <w:p w14:paraId="4BB67E6C" w14:textId="4BA29329" w:rsidR="006823EE" w:rsidRPr="00177A8C" w:rsidRDefault="0060298E" w:rsidP="00272A6F">
      <w:pPr>
        <w:rPr>
          <w:rFonts w:cs="Segoe UI"/>
          <w:bCs/>
          <w:szCs w:val="22"/>
          <w:lang w:eastAsia="zh-TW"/>
        </w:rPr>
      </w:pPr>
      <w:r w:rsidRPr="00177A8C">
        <w:rPr>
          <w:rFonts w:hint="eastAsia"/>
          <w:b/>
          <w:bCs/>
          <w:lang w:eastAsia="zh-TW"/>
        </w:rPr>
        <w:t>優先股每股收益</w:t>
      </w:r>
      <w:r w:rsidRPr="00177A8C">
        <w:rPr>
          <w:rFonts w:hint="eastAsia"/>
          <w:lang w:eastAsia="zh-TW"/>
        </w:rPr>
        <w:t>大幅增至</w:t>
      </w:r>
      <w:r w:rsidRPr="00177A8C">
        <w:rPr>
          <w:lang w:eastAsia="zh-TW"/>
        </w:rPr>
        <w:t>2.46</w:t>
      </w:r>
      <w:r w:rsidRPr="00177A8C">
        <w:rPr>
          <w:rFonts w:hint="eastAsia"/>
          <w:lang w:eastAsia="zh-TW"/>
        </w:rPr>
        <w:t>歐元（去年：</w:t>
      </w:r>
      <w:r w:rsidRPr="00177A8C">
        <w:rPr>
          <w:lang w:eastAsia="zh-TW"/>
        </w:rPr>
        <w:t>1.35</w:t>
      </w:r>
      <w:r w:rsidRPr="00177A8C">
        <w:rPr>
          <w:rFonts w:hint="eastAsia"/>
          <w:lang w:eastAsia="zh-TW"/>
        </w:rPr>
        <w:t>歐元）。調整後的優先股每股收益為</w:t>
      </w:r>
      <w:r w:rsidRPr="00177A8C">
        <w:rPr>
          <w:lang w:eastAsia="zh-TW"/>
        </w:rPr>
        <w:t>2.78</w:t>
      </w:r>
      <w:r w:rsidRPr="00177A8C">
        <w:rPr>
          <w:rFonts w:hint="eastAsia"/>
          <w:lang w:eastAsia="zh-TW"/>
        </w:rPr>
        <w:t>歐元，與去年同期的</w:t>
      </w:r>
      <w:r w:rsidRPr="00177A8C">
        <w:rPr>
          <w:lang w:eastAsia="zh-TW"/>
        </w:rPr>
        <w:t>2.13</w:t>
      </w:r>
      <w:r w:rsidRPr="00177A8C">
        <w:rPr>
          <w:rFonts w:hint="eastAsia"/>
          <w:lang w:eastAsia="zh-TW"/>
        </w:rPr>
        <w:t>歐元相比增長</w:t>
      </w:r>
      <w:r w:rsidRPr="00177A8C">
        <w:rPr>
          <w:lang w:eastAsia="zh-TW"/>
        </w:rPr>
        <w:t>30.5%</w:t>
      </w:r>
      <w:r w:rsidRPr="00177A8C">
        <w:rPr>
          <w:rFonts w:hint="eastAsia"/>
          <w:lang w:eastAsia="zh-TW"/>
        </w:rPr>
        <w:t>。這一大幅增長主要得益於調整後的營業利潤的增長。按固定匯率計算，調整後的優先股每股收益實現</w:t>
      </w:r>
      <w:r w:rsidRPr="00177A8C">
        <w:rPr>
          <w:lang w:eastAsia="zh-TW"/>
        </w:rPr>
        <w:t>32.9%</w:t>
      </w:r>
      <w:r w:rsidRPr="00177A8C">
        <w:rPr>
          <w:rFonts w:hint="eastAsia"/>
          <w:lang w:eastAsia="zh-TW"/>
        </w:rPr>
        <w:t>的</w:t>
      </w:r>
      <w:r>
        <w:rPr>
          <w:rFonts w:hint="eastAsia"/>
          <w:lang w:eastAsia="zh-TW"/>
        </w:rPr>
        <w:t>明顯</w:t>
      </w:r>
      <w:r w:rsidRPr="00177A8C">
        <w:rPr>
          <w:rFonts w:hint="eastAsia"/>
          <w:lang w:eastAsia="zh-TW"/>
        </w:rPr>
        <w:t>兩位數增長。</w:t>
      </w:r>
    </w:p>
    <w:p w14:paraId="4117A15C" w14:textId="77777777" w:rsidR="005018C2" w:rsidRPr="00177A8C" w:rsidRDefault="005018C2" w:rsidP="00272A6F">
      <w:pPr>
        <w:rPr>
          <w:rFonts w:cs="Segoe UI"/>
          <w:szCs w:val="22"/>
          <w:lang w:eastAsia="zh-TW"/>
        </w:rPr>
      </w:pPr>
    </w:p>
    <w:p w14:paraId="3291D73E" w14:textId="1B15B8BB" w:rsidR="00033476" w:rsidRPr="00177A8C" w:rsidRDefault="0060298E" w:rsidP="00272A6F">
      <w:pPr>
        <w:rPr>
          <w:rFonts w:cs="Segoe UI"/>
          <w:szCs w:val="22"/>
          <w:lang w:eastAsia="zh-TW"/>
        </w:rPr>
      </w:pPr>
      <w:r w:rsidRPr="00177A8C">
        <w:rPr>
          <w:rFonts w:hint="eastAsia"/>
          <w:lang w:eastAsia="zh-TW"/>
        </w:rPr>
        <w:t>與去年同期相比，</w:t>
      </w:r>
      <w:r w:rsidRPr="00177A8C">
        <w:rPr>
          <w:rFonts w:hint="eastAsia"/>
          <w:b/>
          <w:bCs/>
          <w:lang w:eastAsia="zh-TW"/>
        </w:rPr>
        <w:t>淨營運資本</w:t>
      </w:r>
      <w:r w:rsidRPr="00177A8C">
        <w:rPr>
          <w:rFonts w:hint="eastAsia"/>
          <w:lang w:eastAsia="zh-TW"/>
        </w:rPr>
        <w:t>下降</w:t>
      </w:r>
      <w:r w:rsidRPr="00177A8C">
        <w:rPr>
          <w:lang w:eastAsia="zh-TW"/>
        </w:rPr>
        <w:t>0.9%</w:t>
      </w:r>
      <w:r w:rsidRPr="00177A8C">
        <w:rPr>
          <w:rFonts w:hint="eastAsia"/>
          <w:lang w:eastAsia="zh-TW"/>
        </w:rPr>
        <w:t>，從</w:t>
      </w:r>
      <w:r w:rsidRPr="00177A8C">
        <w:rPr>
          <w:lang w:eastAsia="zh-TW"/>
        </w:rPr>
        <w:t>6.1%</w:t>
      </w:r>
      <w:r w:rsidRPr="00177A8C">
        <w:rPr>
          <w:rFonts w:hint="eastAsia"/>
          <w:lang w:eastAsia="zh-TW"/>
        </w:rPr>
        <w:t>降至</w:t>
      </w:r>
      <w:r w:rsidRPr="00177A8C">
        <w:rPr>
          <w:lang w:eastAsia="zh-TW"/>
        </w:rPr>
        <w:t>5.2%</w:t>
      </w:r>
      <w:r w:rsidRPr="00177A8C">
        <w:rPr>
          <w:rFonts w:hint="eastAsia"/>
          <w:lang w:eastAsia="zh-TW"/>
        </w:rPr>
        <w:t>。</w:t>
      </w:r>
    </w:p>
    <w:p w14:paraId="1FFB4343" w14:textId="77777777" w:rsidR="00033476" w:rsidRPr="00177A8C" w:rsidRDefault="00033476" w:rsidP="00272A6F">
      <w:pPr>
        <w:rPr>
          <w:rFonts w:cs="Segoe UI"/>
          <w:szCs w:val="22"/>
          <w:lang w:eastAsia="zh-TW"/>
        </w:rPr>
      </w:pPr>
    </w:p>
    <w:p w14:paraId="63418D73" w14:textId="6A560CAD" w:rsidR="00B33C35" w:rsidRPr="00177A8C" w:rsidRDefault="0060298E" w:rsidP="00272A6F">
      <w:pPr>
        <w:autoSpaceDE w:val="0"/>
        <w:autoSpaceDN w:val="0"/>
        <w:adjustRightInd w:val="0"/>
        <w:rPr>
          <w:lang w:eastAsia="zh-TW"/>
        </w:rPr>
      </w:pPr>
      <w:r w:rsidRPr="00177A8C">
        <w:rPr>
          <w:rFonts w:hint="eastAsia"/>
          <w:b/>
          <w:bCs/>
          <w:lang w:eastAsia="zh-TW"/>
        </w:rPr>
        <w:t>自由現金流</w:t>
      </w:r>
      <w:r w:rsidRPr="00177A8C">
        <w:rPr>
          <w:rFonts w:hint="eastAsia"/>
          <w:lang w:eastAsia="zh-TW"/>
        </w:rPr>
        <w:t>達到</w:t>
      </w:r>
      <w:r w:rsidRPr="00177A8C">
        <w:rPr>
          <w:lang w:eastAsia="zh-TW"/>
        </w:rPr>
        <w:t>7.72</w:t>
      </w:r>
      <w:r w:rsidRPr="00177A8C">
        <w:rPr>
          <w:rFonts w:hint="eastAsia"/>
          <w:lang w:eastAsia="zh-TW"/>
        </w:rPr>
        <w:t>億歐元，高於</w:t>
      </w:r>
      <w:r w:rsidRPr="00177A8C">
        <w:rPr>
          <w:lang w:eastAsia="zh-TW"/>
        </w:rPr>
        <w:t>2023</w:t>
      </w:r>
      <w:r w:rsidRPr="00177A8C">
        <w:rPr>
          <w:rFonts w:hint="eastAsia"/>
          <w:lang w:eastAsia="zh-TW"/>
        </w:rPr>
        <w:t>年上半年水平（</w:t>
      </w:r>
      <w:r w:rsidRPr="00177A8C">
        <w:rPr>
          <w:lang w:eastAsia="zh-TW"/>
        </w:rPr>
        <w:t>7.49</w:t>
      </w:r>
      <w:r w:rsidRPr="00177A8C">
        <w:rPr>
          <w:rFonts w:hint="eastAsia"/>
          <w:lang w:eastAsia="zh-TW"/>
        </w:rPr>
        <w:t>億歐元）。這主要是由於經營活動的現金流增加。</w:t>
      </w:r>
      <w:r w:rsidR="006F1BEC" w:rsidRPr="00177A8C">
        <w:rPr>
          <w:rFonts w:hint="eastAsia"/>
          <w:lang w:eastAsia="zh-TW"/>
        </w:rPr>
        <w:t xml:space="preserve"> </w:t>
      </w:r>
    </w:p>
    <w:p w14:paraId="6D917835" w14:textId="77777777" w:rsidR="00033476" w:rsidRPr="00177A8C" w:rsidRDefault="00033476" w:rsidP="00272A6F">
      <w:pPr>
        <w:autoSpaceDE w:val="0"/>
        <w:autoSpaceDN w:val="0"/>
        <w:adjustRightInd w:val="0"/>
        <w:rPr>
          <w:rFonts w:cs="Segoe UI"/>
          <w:szCs w:val="22"/>
          <w:lang w:eastAsia="zh-TW"/>
        </w:rPr>
      </w:pPr>
    </w:p>
    <w:p w14:paraId="7063C506" w14:textId="2449C427" w:rsidR="00E843A4" w:rsidRPr="00177A8C" w:rsidRDefault="0060298E" w:rsidP="00272A6F">
      <w:pPr>
        <w:rPr>
          <w:rFonts w:cs="Segoe UI"/>
          <w:szCs w:val="22"/>
          <w:lang w:eastAsia="zh-TW"/>
        </w:rPr>
      </w:pPr>
      <w:r w:rsidRPr="00177A8C">
        <w:rPr>
          <w:rFonts w:hint="eastAsia"/>
          <w:lang w:eastAsia="zh-TW"/>
        </w:rPr>
        <w:t>截至</w:t>
      </w:r>
      <w:r w:rsidRPr="00177A8C">
        <w:rPr>
          <w:lang w:eastAsia="zh-TW"/>
        </w:rPr>
        <w:t>2024</w:t>
      </w:r>
      <w:r w:rsidRPr="00177A8C">
        <w:rPr>
          <w:rFonts w:hint="eastAsia"/>
          <w:lang w:eastAsia="zh-TW"/>
        </w:rPr>
        <w:t>年</w:t>
      </w:r>
      <w:r w:rsidRPr="00177A8C">
        <w:rPr>
          <w:lang w:eastAsia="zh-TW"/>
        </w:rPr>
        <w:t>6</w:t>
      </w:r>
      <w:r w:rsidRPr="00177A8C">
        <w:rPr>
          <w:rFonts w:hint="eastAsia"/>
          <w:lang w:eastAsia="zh-TW"/>
        </w:rPr>
        <w:t>月</w:t>
      </w:r>
      <w:r w:rsidRPr="00177A8C">
        <w:rPr>
          <w:lang w:eastAsia="zh-TW"/>
        </w:rPr>
        <w:t>30</w:t>
      </w:r>
      <w:r w:rsidRPr="00177A8C">
        <w:rPr>
          <w:rFonts w:hint="eastAsia"/>
          <w:lang w:eastAsia="zh-TW"/>
        </w:rPr>
        <w:t>日，</w:t>
      </w:r>
      <w:r w:rsidRPr="00177A8C">
        <w:rPr>
          <w:rFonts w:hint="eastAsia"/>
          <w:b/>
          <w:bCs/>
          <w:lang w:eastAsia="zh-TW"/>
        </w:rPr>
        <w:t>淨財務狀況</w:t>
      </w:r>
      <w:r w:rsidRPr="00177A8C">
        <w:rPr>
          <w:rFonts w:hint="eastAsia"/>
          <w:lang w:eastAsia="zh-TW"/>
        </w:rPr>
        <w:t>為</w:t>
      </w:r>
      <w:r w:rsidRPr="00177A8C">
        <w:rPr>
          <w:lang w:eastAsia="zh-TW"/>
        </w:rPr>
        <w:t>-14.40</w:t>
      </w:r>
      <w:r w:rsidRPr="00177A8C">
        <w:rPr>
          <w:rFonts w:hint="eastAsia"/>
          <w:lang w:eastAsia="zh-TW"/>
        </w:rPr>
        <w:t>億歐元（</w:t>
      </w:r>
      <w:r w:rsidRPr="00177A8C">
        <w:rPr>
          <w:lang w:eastAsia="zh-TW"/>
        </w:rPr>
        <w:t>2023</w:t>
      </w:r>
      <w:r w:rsidRPr="00177A8C">
        <w:rPr>
          <w:rFonts w:hint="eastAsia"/>
          <w:lang w:eastAsia="zh-TW"/>
        </w:rPr>
        <w:t>年</w:t>
      </w:r>
      <w:r w:rsidRPr="00177A8C">
        <w:rPr>
          <w:lang w:eastAsia="zh-TW"/>
        </w:rPr>
        <w:t>12</w:t>
      </w:r>
      <w:r w:rsidRPr="00177A8C">
        <w:rPr>
          <w:rFonts w:hint="eastAsia"/>
          <w:lang w:eastAsia="zh-TW"/>
        </w:rPr>
        <w:t>月</w:t>
      </w:r>
      <w:r w:rsidRPr="00177A8C">
        <w:rPr>
          <w:lang w:eastAsia="zh-TW"/>
        </w:rPr>
        <w:t>31</w:t>
      </w:r>
      <w:r w:rsidRPr="00177A8C">
        <w:rPr>
          <w:rFonts w:hint="eastAsia"/>
          <w:lang w:eastAsia="zh-TW"/>
        </w:rPr>
        <w:t>日：</w:t>
      </w:r>
      <w:r w:rsidRPr="00177A8C">
        <w:rPr>
          <w:lang w:eastAsia="zh-TW"/>
        </w:rPr>
        <w:t>1200</w:t>
      </w:r>
      <w:r w:rsidRPr="00177A8C">
        <w:rPr>
          <w:rFonts w:hint="eastAsia"/>
          <w:lang w:eastAsia="zh-TW"/>
        </w:rPr>
        <w:t>萬歐元）。</w:t>
      </w:r>
    </w:p>
    <w:p w14:paraId="7DBD33CF" w14:textId="77777777" w:rsidR="00033476" w:rsidRPr="00177A8C" w:rsidRDefault="00033476" w:rsidP="00272A6F">
      <w:pPr>
        <w:jc w:val="left"/>
        <w:rPr>
          <w:rFonts w:cs="Segoe UI"/>
          <w:color w:val="3B3B3B"/>
          <w:shd w:val="clear" w:color="auto" w:fill="FFFFFF"/>
          <w:lang w:eastAsia="zh-TW"/>
        </w:rPr>
      </w:pPr>
    </w:p>
    <w:p w14:paraId="5683DF1E" w14:textId="159C2DB1" w:rsidR="00033476" w:rsidRPr="00177A8C" w:rsidRDefault="0060298E" w:rsidP="00272A6F">
      <w:pPr>
        <w:rPr>
          <w:b/>
          <w:lang w:eastAsia="zh-TW"/>
        </w:rPr>
      </w:pPr>
      <w:r w:rsidRPr="00177A8C">
        <w:rPr>
          <w:b/>
          <w:lang w:eastAsia="zh-TW"/>
        </w:rPr>
        <w:t>2024</w:t>
      </w:r>
      <w:r w:rsidRPr="00177A8C">
        <w:rPr>
          <w:rFonts w:hint="eastAsia"/>
          <w:b/>
          <w:lang w:eastAsia="zh-TW"/>
        </w:rPr>
        <w:t>年上半年各業務部</w:t>
      </w:r>
      <w:r>
        <w:rPr>
          <w:rFonts w:hint="eastAsia"/>
          <w:b/>
          <w:lang w:eastAsia="zh-TW"/>
        </w:rPr>
        <w:t>門</w:t>
      </w:r>
      <w:r w:rsidRPr="00177A8C">
        <w:rPr>
          <w:rFonts w:hint="eastAsia"/>
          <w:b/>
          <w:lang w:eastAsia="zh-TW"/>
        </w:rPr>
        <w:t>的</w:t>
      </w:r>
      <w:r>
        <w:rPr>
          <w:rFonts w:hint="eastAsia"/>
          <w:b/>
          <w:lang w:eastAsia="zh-TW"/>
        </w:rPr>
        <w:t>業績表現</w:t>
      </w:r>
    </w:p>
    <w:p w14:paraId="65DE810D" w14:textId="0F9B294C" w:rsidR="00266359" w:rsidRPr="00177A8C" w:rsidRDefault="0060298E" w:rsidP="00272A6F">
      <w:pPr>
        <w:rPr>
          <w:rFonts w:cs="Segoe UI"/>
          <w:bCs/>
          <w:szCs w:val="22"/>
          <w:lang w:eastAsia="zh-TW"/>
        </w:rPr>
      </w:pPr>
      <w:bookmarkStart w:id="2" w:name="SNAMD_dc825768bfb2420dbdc0e075b6c733f3"/>
      <w:bookmarkStart w:id="3" w:name="SNERR_085cbfa1dc5245baabab2f6ce609ab4b"/>
      <w:r w:rsidRPr="00177A8C">
        <w:rPr>
          <w:rFonts w:hint="eastAsia"/>
          <w:b/>
          <w:bCs/>
          <w:color w:val="000000" w:themeColor="text1"/>
          <w:lang w:eastAsia="zh-TW"/>
        </w:rPr>
        <w:t>粘合劑技術</w:t>
      </w:r>
      <w:r w:rsidRPr="00177A8C">
        <w:rPr>
          <w:rFonts w:hint="eastAsia"/>
          <w:color w:val="000000" w:themeColor="text1"/>
          <w:lang w:eastAsia="zh-TW"/>
        </w:rPr>
        <w:t>業務部在</w:t>
      </w:r>
      <w:r w:rsidRPr="00177A8C">
        <w:rPr>
          <w:color w:val="000000" w:themeColor="text1"/>
          <w:lang w:eastAsia="zh-TW"/>
        </w:rPr>
        <w:t>2024</w:t>
      </w:r>
      <w:r w:rsidRPr="00177A8C">
        <w:rPr>
          <w:rFonts w:hint="eastAsia"/>
          <w:color w:val="000000" w:themeColor="text1"/>
          <w:lang w:eastAsia="zh-TW"/>
        </w:rPr>
        <w:t>年上半年的</w:t>
      </w:r>
      <w:r w:rsidRPr="00177A8C">
        <w:rPr>
          <w:rFonts w:hint="eastAsia"/>
          <w:b/>
          <w:bCs/>
          <w:color w:val="000000" w:themeColor="text1"/>
          <w:lang w:eastAsia="zh-TW"/>
        </w:rPr>
        <w:t>銷售額</w:t>
      </w:r>
      <w:r w:rsidRPr="00177A8C">
        <w:rPr>
          <w:rFonts w:hint="eastAsia"/>
          <w:color w:val="000000" w:themeColor="text1"/>
          <w:lang w:eastAsia="zh-TW"/>
        </w:rPr>
        <w:t>為</w:t>
      </w:r>
      <w:r w:rsidRPr="00177A8C">
        <w:rPr>
          <w:color w:val="000000" w:themeColor="text1"/>
          <w:lang w:eastAsia="zh-TW"/>
        </w:rPr>
        <w:t>54.75</w:t>
      </w:r>
      <w:r w:rsidRPr="00177A8C">
        <w:rPr>
          <w:rFonts w:hint="eastAsia"/>
          <w:color w:val="000000" w:themeColor="text1"/>
          <w:lang w:eastAsia="zh-TW"/>
        </w:rPr>
        <w:t>億歐元，名義上與去年同期持平（第二季度：</w:t>
      </w:r>
      <w:r w:rsidRPr="00177A8C">
        <w:rPr>
          <w:color w:val="000000" w:themeColor="text1"/>
          <w:lang w:eastAsia="zh-TW"/>
        </w:rPr>
        <w:t>27.98</w:t>
      </w:r>
      <w:r w:rsidRPr="00177A8C">
        <w:rPr>
          <w:rFonts w:hint="eastAsia"/>
          <w:color w:val="000000" w:themeColor="text1"/>
          <w:lang w:eastAsia="zh-TW"/>
        </w:rPr>
        <w:t>億歐元）。</w:t>
      </w:r>
      <w:r w:rsidRPr="00177A8C">
        <w:rPr>
          <w:rFonts w:hint="eastAsia"/>
          <w:b/>
          <w:bCs/>
          <w:lang w:eastAsia="zh-TW"/>
        </w:rPr>
        <w:t>有機銷售額</w:t>
      </w:r>
      <w:r w:rsidRPr="00177A8C">
        <w:rPr>
          <w:rFonts w:hint="eastAsia"/>
          <w:lang w:eastAsia="zh-TW"/>
        </w:rPr>
        <w:t>增長</w:t>
      </w:r>
      <w:r w:rsidRPr="00177A8C">
        <w:rPr>
          <w:lang w:eastAsia="zh-TW"/>
        </w:rPr>
        <w:t>2.0%</w:t>
      </w:r>
      <w:r w:rsidRPr="00177A8C">
        <w:rPr>
          <w:rFonts w:hint="eastAsia"/>
          <w:lang w:eastAsia="zh-TW"/>
        </w:rPr>
        <w:t>（第二季度：</w:t>
      </w:r>
      <w:r>
        <w:rPr>
          <w:rFonts w:hint="eastAsia"/>
          <w:lang w:eastAsia="zh-TW"/>
        </w:rPr>
        <w:t>增長</w:t>
      </w:r>
      <w:r w:rsidRPr="00177A8C">
        <w:rPr>
          <w:lang w:eastAsia="zh-TW"/>
        </w:rPr>
        <w:t>2.6%</w:t>
      </w:r>
      <w:r w:rsidRPr="00177A8C">
        <w:rPr>
          <w:rFonts w:hint="eastAsia"/>
          <w:lang w:eastAsia="zh-TW"/>
        </w:rPr>
        <w:t>）。</w:t>
      </w:r>
      <w:r w:rsidRPr="00177A8C">
        <w:rPr>
          <w:rFonts w:hint="eastAsia"/>
          <w:color w:val="000000" w:themeColor="text1"/>
          <w:lang w:eastAsia="zh-TW"/>
        </w:rPr>
        <w:t>這一增長主要得益於價格上漲</w:t>
      </w:r>
      <w:r w:rsidRPr="00177A8C">
        <w:rPr>
          <w:color w:val="000000" w:themeColor="text1"/>
          <w:lang w:eastAsia="zh-TW"/>
        </w:rPr>
        <w:t>0.2%</w:t>
      </w:r>
      <w:r w:rsidRPr="00177A8C">
        <w:rPr>
          <w:rFonts w:hint="eastAsia"/>
          <w:color w:val="000000" w:themeColor="text1"/>
          <w:lang w:eastAsia="zh-TW"/>
        </w:rPr>
        <w:t>和銷量增長</w:t>
      </w:r>
      <w:r w:rsidRPr="00177A8C">
        <w:rPr>
          <w:color w:val="000000" w:themeColor="text1"/>
          <w:lang w:eastAsia="zh-TW"/>
        </w:rPr>
        <w:t>1.8%</w:t>
      </w:r>
      <w:r w:rsidRPr="00177A8C">
        <w:rPr>
          <w:rFonts w:hint="eastAsia"/>
          <w:color w:val="000000" w:themeColor="text1"/>
          <w:lang w:eastAsia="zh-TW"/>
        </w:rPr>
        <w:t>。因此，與</w:t>
      </w:r>
      <w:r w:rsidRPr="00177A8C">
        <w:rPr>
          <w:color w:val="000000" w:themeColor="text1"/>
          <w:lang w:eastAsia="zh-TW"/>
        </w:rPr>
        <w:t>2024</w:t>
      </w:r>
      <w:r w:rsidRPr="00177A8C">
        <w:rPr>
          <w:rFonts w:hint="eastAsia"/>
          <w:color w:val="000000" w:themeColor="text1"/>
          <w:lang w:eastAsia="zh-TW"/>
        </w:rPr>
        <w:t>年第一季度相比，該業務部第二季度的銷量實現了連續性改善。</w:t>
      </w:r>
      <w:r w:rsidR="006F1BEC" w:rsidRPr="00177A8C">
        <w:rPr>
          <w:rFonts w:hint="eastAsia"/>
          <w:color w:val="000000" w:themeColor="text1"/>
          <w:lang w:eastAsia="zh-TW"/>
        </w:rPr>
        <w:t xml:space="preserve"> </w:t>
      </w:r>
      <w:bookmarkEnd w:id="2"/>
      <w:bookmarkEnd w:id="3"/>
    </w:p>
    <w:p w14:paraId="2760A9EF" w14:textId="77777777" w:rsidR="00266359" w:rsidRPr="00177A8C" w:rsidRDefault="00266359" w:rsidP="00272A6F">
      <w:pPr>
        <w:rPr>
          <w:rFonts w:cs="Segoe UI"/>
          <w:bCs/>
          <w:szCs w:val="22"/>
          <w:lang w:eastAsia="zh-TW"/>
        </w:rPr>
      </w:pPr>
    </w:p>
    <w:p w14:paraId="4043C299" w14:textId="503255A8" w:rsidR="00322E28" w:rsidRDefault="0060298E" w:rsidP="00272A6F">
      <w:pPr>
        <w:rPr>
          <w:lang w:eastAsia="zh-TW"/>
        </w:rPr>
      </w:pPr>
      <w:r w:rsidRPr="00177A8C">
        <w:rPr>
          <w:rFonts w:hint="eastAsia"/>
          <w:b/>
          <w:bCs/>
          <w:lang w:eastAsia="zh-TW"/>
        </w:rPr>
        <w:t>移動和電子</w:t>
      </w:r>
      <w:r w:rsidRPr="00177A8C">
        <w:rPr>
          <w:rFonts w:hint="eastAsia"/>
          <w:lang w:eastAsia="zh-TW"/>
        </w:rPr>
        <w:t>業務領域的有機銷售額實現了</w:t>
      </w:r>
      <w:r w:rsidRPr="00177A8C">
        <w:rPr>
          <w:lang w:eastAsia="zh-TW"/>
        </w:rPr>
        <w:t>5.3%</w:t>
      </w:r>
      <w:r>
        <w:rPr>
          <w:rFonts w:hint="eastAsia"/>
          <w:lang w:eastAsia="zh-TW"/>
        </w:rPr>
        <w:t>的</w:t>
      </w:r>
      <w:r w:rsidRPr="00177A8C">
        <w:rPr>
          <w:rFonts w:hint="eastAsia"/>
          <w:lang w:eastAsia="zh-TW"/>
        </w:rPr>
        <w:t>強勁增長（第二季度：</w:t>
      </w:r>
      <w:r>
        <w:rPr>
          <w:rFonts w:hint="eastAsia"/>
          <w:lang w:eastAsia="zh-TW"/>
        </w:rPr>
        <w:t>增長</w:t>
      </w:r>
      <w:r w:rsidRPr="00177A8C">
        <w:rPr>
          <w:lang w:eastAsia="zh-TW"/>
        </w:rPr>
        <w:t>6.8%</w:t>
      </w:r>
      <w:r w:rsidRPr="00177A8C">
        <w:rPr>
          <w:rFonts w:hint="eastAsia"/>
          <w:lang w:eastAsia="zh-TW"/>
        </w:rPr>
        <w:t>）。這一增長得益於所有業務</w:t>
      </w:r>
      <w:r>
        <w:rPr>
          <w:rFonts w:hint="eastAsia"/>
          <w:lang w:eastAsia="zh-TW"/>
        </w:rPr>
        <w:t>單元</w:t>
      </w:r>
      <w:r w:rsidRPr="00177A8C">
        <w:rPr>
          <w:rFonts w:hint="eastAsia"/>
          <w:lang w:eastAsia="zh-TW"/>
        </w:rPr>
        <w:t>的支持，尤其是電子業務，與去年同期的疲軟相比，該業務領域的有機銷售額實現了兩位數的增長。</w:t>
      </w:r>
      <w:r w:rsidRPr="00177A8C">
        <w:rPr>
          <w:rFonts w:hint="eastAsia"/>
          <w:b/>
          <w:bCs/>
          <w:lang w:eastAsia="zh-TW"/>
        </w:rPr>
        <w:t>包裝和消費品</w:t>
      </w:r>
      <w:r w:rsidRPr="00177A8C">
        <w:rPr>
          <w:rFonts w:hint="eastAsia"/>
          <w:lang w:eastAsia="zh-TW"/>
        </w:rPr>
        <w:t>業務領域的有機銷售額下降</w:t>
      </w:r>
      <w:r w:rsidRPr="00177A8C">
        <w:rPr>
          <w:lang w:eastAsia="zh-TW"/>
        </w:rPr>
        <w:t>0.6%</w:t>
      </w:r>
      <w:r w:rsidRPr="00177A8C">
        <w:rPr>
          <w:rFonts w:hint="eastAsia"/>
          <w:lang w:eastAsia="zh-TW"/>
        </w:rPr>
        <w:t>（第二季度：下降</w:t>
      </w:r>
      <w:r w:rsidRPr="00177A8C">
        <w:rPr>
          <w:lang w:eastAsia="zh-TW"/>
        </w:rPr>
        <w:t>1.0%</w:t>
      </w:r>
      <w:r w:rsidRPr="00177A8C">
        <w:rPr>
          <w:rFonts w:hint="eastAsia"/>
          <w:lang w:eastAsia="zh-TW"/>
        </w:rPr>
        <w:t>）。在包裝業務方面，銷量的增長抵消了價格下滑的</w:t>
      </w:r>
      <w:r>
        <w:rPr>
          <w:rFonts w:hint="eastAsia"/>
          <w:lang w:eastAsia="zh-TW"/>
        </w:rPr>
        <w:t>負面</w:t>
      </w:r>
      <w:r w:rsidRPr="00177A8C">
        <w:rPr>
          <w:rFonts w:hint="eastAsia"/>
          <w:lang w:eastAsia="zh-TW"/>
        </w:rPr>
        <w:t>影響。消費品業務總體</w:t>
      </w:r>
      <w:r>
        <w:rPr>
          <w:rFonts w:hint="eastAsia"/>
          <w:lang w:eastAsia="zh-TW"/>
        </w:rPr>
        <w:t>上</w:t>
      </w:r>
      <w:r w:rsidRPr="00177A8C">
        <w:rPr>
          <w:rFonts w:hint="eastAsia"/>
          <w:lang w:eastAsia="zh-TW"/>
        </w:rPr>
        <w:t>與去年同期的強勁表現相比略有下滑。</w:t>
      </w:r>
      <w:r w:rsidRPr="00177A8C">
        <w:rPr>
          <w:rFonts w:hint="eastAsia"/>
          <w:b/>
          <w:bCs/>
          <w:lang w:eastAsia="zh-TW"/>
        </w:rPr>
        <w:t>工匠、建築和專業</w:t>
      </w:r>
      <w:r w:rsidRPr="00177A8C">
        <w:rPr>
          <w:rFonts w:hint="eastAsia"/>
          <w:lang w:eastAsia="zh-TW"/>
        </w:rPr>
        <w:t>業務領域實現了</w:t>
      </w:r>
      <w:r w:rsidRPr="00177A8C">
        <w:rPr>
          <w:lang w:eastAsia="zh-TW"/>
        </w:rPr>
        <w:t>1.0%</w:t>
      </w:r>
      <w:r w:rsidRPr="00177A8C">
        <w:rPr>
          <w:rFonts w:hint="eastAsia"/>
          <w:lang w:eastAsia="zh-TW"/>
        </w:rPr>
        <w:t>的有機銷售額增長（第二季度：</w:t>
      </w:r>
      <w:r>
        <w:rPr>
          <w:rFonts w:hint="eastAsia"/>
          <w:lang w:eastAsia="zh-TW"/>
        </w:rPr>
        <w:t>增長</w:t>
      </w:r>
      <w:r w:rsidRPr="00177A8C">
        <w:rPr>
          <w:lang w:eastAsia="zh-TW"/>
        </w:rPr>
        <w:t>1.7%</w:t>
      </w:r>
      <w:r w:rsidRPr="00177A8C">
        <w:rPr>
          <w:rFonts w:hint="eastAsia"/>
          <w:lang w:eastAsia="zh-TW"/>
        </w:rPr>
        <w:t>），這得益於建築及消費品和工匠業務</w:t>
      </w:r>
      <w:r>
        <w:rPr>
          <w:rFonts w:hint="eastAsia"/>
          <w:lang w:eastAsia="zh-TW"/>
        </w:rPr>
        <w:t>所做出</w:t>
      </w:r>
      <w:r w:rsidRPr="00177A8C">
        <w:rPr>
          <w:rFonts w:hint="eastAsia"/>
          <w:lang w:eastAsia="zh-TW"/>
        </w:rPr>
        <w:t>的貢獻。另一方面，由於需求疲軟，通用製造與維護業務略有下滑。</w:t>
      </w:r>
      <w:r w:rsidR="006F1BEC" w:rsidRPr="00177A8C">
        <w:rPr>
          <w:rFonts w:hint="eastAsia"/>
          <w:lang w:eastAsia="zh-TW"/>
        </w:rPr>
        <w:t xml:space="preserve"> </w:t>
      </w:r>
    </w:p>
    <w:p w14:paraId="0E69D5C7" w14:textId="77777777" w:rsidR="00121625" w:rsidRDefault="00121625" w:rsidP="00272A6F">
      <w:pPr>
        <w:rPr>
          <w:rFonts w:eastAsiaTheme="minorEastAsia" w:cs="Segoe UI"/>
          <w:szCs w:val="18"/>
          <w:lang w:eastAsia="zh-TW"/>
        </w:rPr>
      </w:pPr>
    </w:p>
    <w:p w14:paraId="65F1CFA3" w14:textId="79295AAD" w:rsidR="00B241F2" w:rsidRPr="00322E28" w:rsidRDefault="0060298E" w:rsidP="00272A6F">
      <w:pPr>
        <w:rPr>
          <w:rFonts w:eastAsia="Segoe UI" w:cs="Segoe UI"/>
          <w:szCs w:val="18"/>
          <w:lang w:eastAsia="zh-TW"/>
        </w:rPr>
      </w:pPr>
      <w:r w:rsidRPr="00AC131D">
        <w:rPr>
          <w:rFonts w:hint="eastAsia"/>
          <w:color w:val="000000" w:themeColor="text1"/>
          <w:lang w:eastAsia="zh-TW"/>
        </w:rPr>
        <w:lastRenderedPageBreak/>
        <w:t>粘合劑技術</w:t>
      </w:r>
      <w:r w:rsidRPr="00177A8C">
        <w:rPr>
          <w:rFonts w:hint="eastAsia"/>
          <w:color w:val="000000" w:themeColor="text1"/>
          <w:lang w:eastAsia="zh-TW"/>
        </w:rPr>
        <w:t>業務部在</w:t>
      </w:r>
      <w:r w:rsidRPr="00177A8C">
        <w:rPr>
          <w:lang w:eastAsia="zh-TW"/>
        </w:rPr>
        <w:t>2024</w:t>
      </w:r>
      <w:r w:rsidRPr="00177A8C">
        <w:rPr>
          <w:rFonts w:hint="eastAsia"/>
          <w:lang w:eastAsia="zh-TW"/>
        </w:rPr>
        <w:t>年上半年</w:t>
      </w:r>
      <w:r w:rsidRPr="00177A8C">
        <w:rPr>
          <w:rFonts w:hint="eastAsia"/>
          <w:b/>
          <w:bCs/>
          <w:lang w:eastAsia="zh-TW"/>
        </w:rPr>
        <w:t>調整後的營業利潤</w:t>
      </w:r>
      <w:r w:rsidRPr="00177A8C">
        <w:rPr>
          <w:rFonts w:hint="eastAsia"/>
          <w:lang w:eastAsia="zh-TW"/>
        </w:rPr>
        <w:t>增長</w:t>
      </w:r>
      <w:r w:rsidRPr="00177A8C">
        <w:rPr>
          <w:lang w:eastAsia="zh-TW"/>
        </w:rPr>
        <w:t>21.8%</w:t>
      </w:r>
      <w:r w:rsidRPr="00177A8C">
        <w:rPr>
          <w:rFonts w:hint="eastAsia"/>
          <w:lang w:eastAsia="zh-TW"/>
        </w:rPr>
        <w:t>，達到</w:t>
      </w:r>
      <w:r w:rsidRPr="00177A8C">
        <w:rPr>
          <w:lang w:eastAsia="zh-TW"/>
        </w:rPr>
        <w:t>9.33</w:t>
      </w:r>
      <w:r w:rsidRPr="00177A8C">
        <w:rPr>
          <w:rFonts w:hint="eastAsia"/>
          <w:lang w:eastAsia="zh-TW"/>
        </w:rPr>
        <w:t>億歐元，去年同期為</w:t>
      </w:r>
      <w:r w:rsidRPr="00177A8C">
        <w:rPr>
          <w:lang w:eastAsia="zh-TW"/>
        </w:rPr>
        <w:t>7.66</w:t>
      </w:r>
      <w:r w:rsidRPr="00177A8C">
        <w:rPr>
          <w:rFonts w:hint="eastAsia"/>
          <w:lang w:eastAsia="zh-TW"/>
        </w:rPr>
        <w:t>億歐元。</w:t>
      </w:r>
      <w:r w:rsidRPr="00177A8C">
        <w:rPr>
          <w:rFonts w:hint="eastAsia"/>
          <w:b/>
          <w:bCs/>
          <w:lang w:eastAsia="zh-TW"/>
        </w:rPr>
        <w:t>調整後的銷售回報</w:t>
      </w:r>
      <w:r>
        <w:rPr>
          <w:rFonts w:hint="eastAsia"/>
          <w:b/>
          <w:bCs/>
          <w:lang w:eastAsia="zh-TW"/>
        </w:rPr>
        <w:t>率</w:t>
      </w:r>
      <w:r w:rsidRPr="00177A8C">
        <w:rPr>
          <w:rFonts w:hint="eastAsia"/>
          <w:lang w:eastAsia="zh-TW"/>
        </w:rPr>
        <w:t>上</w:t>
      </w:r>
      <w:r>
        <w:rPr>
          <w:rFonts w:hint="eastAsia"/>
          <w:lang w:eastAsia="zh-TW"/>
        </w:rPr>
        <w:t>升</w:t>
      </w:r>
      <w:r w:rsidRPr="00177A8C">
        <w:rPr>
          <w:lang w:eastAsia="zh-TW"/>
        </w:rPr>
        <w:t>310</w:t>
      </w:r>
      <w:r w:rsidRPr="00177A8C">
        <w:rPr>
          <w:rFonts w:hint="eastAsia"/>
          <w:lang w:eastAsia="zh-TW"/>
        </w:rPr>
        <w:t>個基點，達到</w:t>
      </w:r>
      <w:r w:rsidRPr="00177A8C">
        <w:rPr>
          <w:lang w:eastAsia="zh-TW"/>
        </w:rPr>
        <w:t>17.0%</w:t>
      </w:r>
      <w:r w:rsidRPr="00177A8C">
        <w:rPr>
          <w:rFonts w:hint="eastAsia"/>
          <w:lang w:eastAsia="zh-TW"/>
        </w:rPr>
        <w:t>。較低的原材料成本、積極的組合效應和供應鏈效率對毛利率產生了特別積極的影響。</w:t>
      </w:r>
    </w:p>
    <w:p w14:paraId="691A3D8E" w14:textId="77777777" w:rsidR="00D65E91" w:rsidRPr="00177A8C" w:rsidRDefault="00D65E91" w:rsidP="00272A6F">
      <w:pPr>
        <w:rPr>
          <w:rFonts w:cs="Segoe UI"/>
          <w:bCs/>
          <w:szCs w:val="22"/>
          <w:lang w:eastAsia="zh-TW"/>
        </w:rPr>
      </w:pPr>
    </w:p>
    <w:p w14:paraId="1DDE2A6A" w14:textId="5844347D" w:rsidR="00266359" w:rsidRPr="00177A8C" w:rsidRDefault="0060298E" w:rsidP="00272A6F">
      <w:pPr>
        <w:rPr>
          <w:rFonts w:cs="Segoe UI"/>
          <w:szCs w:val="22"/>
          <w:lang w:eastAsia="zh-TW"/>
        </w:rPr>
      </w:pPr>
      <w:r w:rsidRPr="00177A8C">
        <w:rPr>
          <w:rFonts w:hint="eastAsia"/>
          <w:b/>
          <w:bCs/>
          <w:lang w:eastAsia="zh-TW"/>
        </w:rPr>
        <w:t>消費品牌</w:t>
      </w:r>
      <w:r w:rsidRPr="00177A8C">
        <w:rPr>
          <w:rFonts w:hint="eastAsia"/>
          <w:lang w:eastAsia="zh-TW"/>
        </w:rPr>
        <w:t>業務部在</w:t>
      </w:r>
      <w:r w:rsidRPr="00177A8C">
        <w:rPr>
          <w:lang w:eastAsia="zh-TW"/>
        </w:rPr>
        <w:t>2024</w:t>
      </w:r>
      <w:r w:rsidRPr="00177A8C">
        <w:rPr>
          <w:rFonts w:hint="eastAsia"/>
          <w:lang w:eastAsia="zh-TW"/>
        </w:rPr>
        <w:t>年上半年的</w:t>
      </w:r>
      <w:r w:rsidRPr="00177A8C">
        <w:rPr>
          <w:rFonts w:hint="eastAsia"/>
          <w:b/>
          <w:bCs/>
          <w:lang w:eastAsia="zh-TW"/>
        </w:rPr>
        <w:t>銷售額</w:t>
      </w:r>
      <w:r w:rsidRPr="00177A8C">
        <w:rPr>
          <w:rFonts w:hint="eastAsia"/>
          <w:lang w:eastAsia="zh-TW"/>
        </w:rPr>
        <w:t>為</w:t>
      </w:r>
      <w:r w:rsidRPr="00177A8C">
        <w:rPr>
          <w:lang w:eastAsia="zh-TW"/>
        </w:rPr>
        <w:t>52.66</w:t>
      </w:r>
      <w:r w:rsidRPr="00177A8C">
        <w:rPr>
          <w:rFonts w:hint="eastAsia"/>
          <w:lang w:eastAsia="zh-TW"/>
        </w:rPr>
        <w:t>億歐元（第二季度：</w:t>
      </w:r>
      <w:r w:rsidRPr="00177A8C">
        <w:rPr>
          <w:lang w:eastAsia="zh-TW"/>
        </w:rPr>
        <w:t>26.62</w:t>
      </w:r>
      <w:r w:rsidRPr="00177A8C">
        <w:rPr>
          <w:rFonts w:hint="eastAsia"/>
          <w:lang w:eastAsia="zh-TW"/>
        </w:rPr>
        <w:t>億歐元）</w:t>
      </w:r>
      <w:r>
        <w:rPr>
          <w:rFonts w:hint="eastAsia"/>
          <w:lang w:eastAsia="zh-TW"/>
        </w:rPr>
        <w:t>，</w:t>
      </w:r>
      <w:r w:rsidRPr="00177A8C">
        <w:rPr>
          <w:rFonts w:hint="eastAsia"/>
          <w:b/>
          <w:bCs/>
          <w:lang w:eastAsia="zh-TW"/>
        </w:rPr>
        <w:t>名義</w:t>
      </w:r>
      <w:r w:rsidRPr="00177A8C">
        <w:rPr>
          <w:rFonts w:hint="eastAsia"/>
          <w:lang w:eastAsia="zh-TW"/>
        </w:rPr>
        <w:t>下降</w:t>
      </w:r>
      <w:r w:rsidRPr="00177A8C">
        <w:rPr>
          <w:lang w:eastAsia="zh-TW"/>
        </w:rPr>
        <w:t>1.8%</w:t>
      </w:r>
      <w:r>
        <w:rPr>
          <w:rFonts w:hint="eastAsia"/>
          <w:lang w:eastAsia="zh-TW"/>
        </w:rPr>
        <w:t>，</w:t>
      </w:r>
      <w:r w:rsidRPr="00177A8C">
        <w:rPr>
          <w:rFonts w:hint="eastAsia"/>
          <w:b/>
          <w:bCs/>
          <w:lang w:eastAsia="zh-TW"/>
        </w:rPr>
        <w:t>有機</w:t>
      </w:r>
      <w:r w:rsidRPr="00AC131D">
        <w:rPr>
          <w:rFonts w:hint="eastAsia"/>
          <w:lang w:eastAsia="zh-TW"/>
        </w:rPr>
        <w:t>銷售額</w:t>
      </w:r>
      <w:r w:rsidRPr="00177A8C">
        <w:rPr>
          <w:rFonts w:hint="eastAsia"/>
          <w:lang w:eastAsia="zh-TW"/>
        </w:rPr>
        <w:t>增長</w:t>
      </w:r>
      <w:r w:rsidRPr="00177A8C">
        <w:rPr>
          <w:lang w:eastAsia="zh-TW"/>
        </w:rPr>
        <w:t>4.3%</w:t>
      </w:r>
      <w:r w:rsidRPr="00177A8C">
        <w:rPr>
          <w:rFonts w:hint="eastAsia"/>
          <w:lang w:eastAsia="zh-TW"/>
        </w:rPr>
        <w:t>（第二季度：</w:t>
      </w:r>
      <w:r>
        <w:rPr>
          <w:rFonts w:hint="eastAsia"/>
          <w:lang w:eastAsia="zh-TW"/>
        </w:rPr>
        <w:t>增長</w:t>
      </w:r>
      <w:r w:rsidRPr="00177A8C">
        <w:rPr>
          <w:lang w:eastAsia="zh-TW"/>
        </w:rPr>
        <w:t>3.3%</w:t>
      </w:r>
      <w:r w:rsidRPr="00177A8C">
        <w:rPr>
          <w:rFonts w:hint="eastAsia"/>
          <w:lang w:eastAsia="zh-TW"/>
        </w:rPr>
        <w:t>）。這一增長</w:t>
      </w:r>
      <w:r>
        <w:rPr>
          <w:rFonts w:hint="eastAsia"/>
          <w:lang w:eastAsia="zh-TW"/>
        </w:rPr>
        <w:t>得益於</w:t>
      </w:r>
      <w:r w:rsidRPr="00177A8C">
        <w:rPr>
          <w:lang w:eastAsia="zh-TW"/>
        </w:rPr>
        <w:t>5.1%</w:t>
      </w:r>
      <w:r w:rsidRPr="00177A8C">
        <w:rPr>
          <w:rFonts w:hint="eastAsia"/>
          <w:lang w:eastAsia="zh-TW"/>
        </w:rPr>
        <w:t>的價格上漲。主要由於正在進行的產品組合優化措施，銷量</w:t>
      </w:r>
      <w:r>
        <w:rPr>
          <w:rFonts w:hint="eastAsia"/>
          <w:lang w:eastAsia="zh-TW"/>
        </w:rPr>
        <w:t>小幅下滑</w:t>
      </w:r>
      <w:r w:rsidRPr="00177A8C">
        <w:rPr>
          <w:lang w:eastAsia="zh-TW"/>
        </w:rPr>
        <w:t>0.9%</w:t>
      </w:r>
      <w:r w:rsidRPr="00177A8C">
        <w:rPr>
          <w:rFonts w:hint="eastAsia"/>
          <w:lang w:eastAsia="zh-TW"/>
        </w:rPr>
        <w:t>。</w:t>
      </w:r>
      <w:r>
        <w:rPr>
          <w:rFonts w:hint="eastAsia"/>
          <w:lang w:eastAsia="zh-TW"/>
        </w:rPr>
        <w:t>然而</w:t>
      </w:r>
      <w:r w:rsidRPr="00177A8C">
        <w:rPr>
          <w:rFonts w:hint="eastAsia"/>
          <w:lang w:eastAsia="zh-TW"/>
        </w:rPr>
        <w:t>，與</w:t>
      </w:r>
      <w:r w:rsidRPr="00177A8C">
        <w:rPr>
          <w:lang w:eastAsia="zh-TW"/>
        </w:rPr>
        <w:t>2024</w:t>
      </w:r>
      <w:r w:rsidRPr="00177A8C">
        <w:rPr>
          <w:rFonts w:hint="eastAsia"/>
          <w:lang w:eastAsia="zh-TW"/>
        </w:rPr>
        <w:t>年第一季度相比，第二季度的銷量實現了連續性改善。</w:t>
      </w:r>
    </w:p>
    <w:p w14:paraId="00DEB354" w14:textId="77777777" w:rsidR="00266359" w:rsidRPr="00177A8C" w:rsidRDefault="00266359" w:rsidP="00272A6F">
      <w:pPr>
        <w:rPr>
          <w:rFonts w:cs="Segoe UI"/>
          <w:szCs w:val="22"/>
          <w:lang w:eastAsia="zh-TW"/>
        </w:rPr>
      </w:pPr>
    </w:p>
    <w:p w14:paraId="57C18E66" w14:textId="3F5F1EAE" w:rsidR="00266359" w:rsidRPr="00177A8C" w:rsidRDefault="0060298E" w:rsidP="00272A6F">
      <w:pPr>
        <w:rPr>
          <w:lang w:eastAsia="zh-TW"/>
        </w:rPr>
      </w:pPr>
      <w:r w:rsidRPr="00177A8C">
        <w:rPr>
          <w:rFonts w:hint="eastAsia"/>
          <w:b/>
          <w:bCs/>
          <w:lang w:eastAsia="zh-TW"/>
        </w:rPr>
        <w:t>洗滌劑及家用</w:t>
      </w:r>
      <w:r>
        <w:rPr>
          <w:rFonts w:hint="eastAsia"/>
          <w:b/>
          <w:bCs/>
          <w:lang w:eastAsia="zh-TW"/>
        </w:rPr>
        <w:t>護理</w:t>
      </w:r>
      <w:r w:rsidRPr="00177A8C">
        <w:rPr>
          <w:rFonts w:hint="eastAsia"/>
          <w:lang w:eastAsia="zh-TW"/>
        </w:rPr>
        <w:t>業務實現了強勁的有機銷售額增長，達到</w:t>
      </w:r>
      <w:r w:rsidRPr="00177A8C">
        <w:rPr>
          <w:lang w:eastAsia="zh-TW"/>
        </w:rPr>
        <w:t>3.1%</w:t>
      </w:r>
      <w:r w:rsidRPr="00177A8C">
        <w:rPr>
          <w:rFonts w:hint="eastAsia"/>
          <w:lang w:eastAsia="zh-TW"/>
        </w:rPr>
        <w:t>（第二季度：</w:t>
      </w:r>
      <w:r>
        <w:rPr>
          <w:rFonts w:hint="eastAsia"/>
          <w:lang w:eastAsia="zh-TW"/>
        </w:rPr>
        <w:t>增長</w:t>
      </w:r>
      <w:r w:rsidRPr="00177A8C">
        <w:rPr>
          <w:lang w:eastAsia="zh-TW"/>
        </w:rPr>
        <w:t>1.5%</w:t>
      </w:r>
      <w:r w:rsidRPr="00177A8C">
        <w:rPr>
          <w:rFonts w:hint="eastAsia"/>
          <w:lang w:eastAsia="zh-TW"/>
        </w:rPr>
        <w:t>）。洗滌劑業務實現了顯著的有機銷售額增長，這主要是由</w:t>
      </w:r>
      <w:r>
        <w:rPr>
          <w:rFonts w:hint="eastAsia"/>
          <w:lang w:eastAsia="zh-TW"/>
        </w:rPr>
        <w:t>纖維養護</w:t>
      </w:r>
      <w:r w:rsidRPr="00177A8C">
        <w:rPr>
          <w:rFonts w:hint="eastAsia"/>
          <w:lang w:eastAsia="zh-TW"/>
        </w:rPr>
        <w:t>品類銷售額的兩位數增長以及</w:t>
      </w:r>
      <w:r>
        <w:rPr>
          <w:rFonts w:hint="eastAsia"/>
          <w:lang w:eastAsia="zh-TW"/>
        </w:rPr>
        <w:t>織物清潔</w:t>
      </w:r>
      <w:r w:rsidRPr="00177A8C">
        <w:rPr>
          <w:rFonts w:hint="eastAsia"/>
          <w:lang w:eastAsia="zh-TW"/>
        </w:rPr>
        <w:t>品類的</w:t>
      </w:r>
      <w:r>
        <w:rPr>
          <w:rFonts w:hint="eastAsia"/>
          <w:lang w:eastAsia="zh-TW"/>
        </w:rPr>
        <w:t>良好</w:t>
      </w:r>
      <w:r w:rsidRPr="00177A8C">
        <w:rPr>
          <w:rFonts w:hint="eastAsia"/>
          <w:lang w:eastAsia="zh-TW"/>
        </w:rPr>
        <w:t>銷售額增長所推動。家用護理業務的顯著增長主要歸功於</w:t>
      </w:r>
      <w:r>
        <w:rPr>
          <w:rFonts w:hint="eastAsia"/>
          <w:lang w:eastAsia="zh-TW"/>
        </w:rPr>
        <w:t>餐具洗滌</w:t>
      </w:r>
      <w:r w:rsidRPr="00177A8C">
        <w:rPr>
          <w:rFonts w:hint="eastAsia"/>
          <w:lang w:eastAsia="zh-TW"/>
        </w:rPr>
        <w:t>品類和潔廁品類銷售額的兩位數增長。</w:t>
      </w:r>
      <w:r w:rsidRPr="00177A8C">
        <w:rPr>
          <w:rFonts w:hint="eastAsia"/>
          <w:b/>
          <w:bCs/>
          <w:lang w:eastAsia="zh-TW"/>
        </w:rPr>
        <w:t>美髮</w:t>
      </w:r>
      <w:r w:rsidRPr="00177A8C">
        <w:rPr>
          <w:rFonts w:hint="eastAsia"/>
          <w:lang w:eastAsia="zh-TW"/>
        </w:rPr>
        <w:t>業務</w:t>
      </w:r>
      <w:r>
        <w:rPr>
          <w:rFonts w:hint="eastAsia"/>
          <w:lang w:eastAsia="zh-TW"/>
        </w:rPr>
        <w:t>的</w:t>
      </w:r>
      <w:r w:rsidRPr="00177A8C">
        <w:rPr>
          <w:rFonts w:hint="eastAsia"/>
          <w:lang w:eastAsia="zh-TW"/>
        </w:rPr>
        <w:t>有機銷售額在上半年實現了</w:t>
      </w:r>
      <w:r w:rsidRPr="00177A8C">
        <w:rPr>
          <w:lang w:eastAsia="zh-TW"/>
        </w:rPr>
        <w:t>7.3%</w:t>
      </w:r>
      <w:r w:rsidRPr="00177A8C">
        <w:rPr>
          <w:rFonts w:hint="eastAsia"/>
          <w:lang w:eastAsia="zh-TW"/>
        </w:rPr>
        <w:t>的顯著增長（第二季度：</w:t>
      </w:r>
      <w:r>
        <w:rPr>
          <w:rFonts w:hint="eastAsia"/>
          <w:lang w:eastAsia="zh-TW"/>
        </w:rPr>
        <w:t>增長</w:t>
      </w:r>
      <w:r w:rsidRPr="00177A8C">
        <w:rPr>
          <w:lang w:eastAsia="zh-TW"/>
        </w:rPr>
        <w:t>7.7%</w:t>
      </w:r>
      <w:r w:rsidRPr="00177A8C">
        <w:rPr>
          <w:rFonts w:hint="eastAsia"/>
          <w:lang w:eastAsia="zh-TW"/>
        </w:rPr>
        <w:t>）。</w:t>
      </w:r>
      <w:r>
        <w:rPr>
          <w:rFonts w:hint="eastAsia"/>
          <w:lang w:eastAsia="zh-TW"/>
        </w:rPr>
        <w:t>零售線</w:t>
      </w:r>
      <w:r w:rsidRPr="00177A8C">
        <w:rPr>
          <w:rFonts w:hint="eastAsia"/>
          <w:lang w:eastAsia="zh-TW"/>
        </w:rPr>
        <w:t>業務實現了兩位數的增長，主要得益於</w:t>
      </w:r>
      <w:r>
        <w:rPr>
          <w:rFonts w:hint="eastAsia"/>
          <w:lang w:eastAsia="zh-TW"/>
        </w:rPr>
        <w:t>造型</w:t>
      </w:r>
      <w:r w:rsidRPr="00177A8C">
        <w:rPr>
          <w:rFonts w:hint="eastAsia"/>
          <w:lang w:eastAsia="zh-TW"/>
        </w:rPr>
        <w:t>品類的增長，</w:t>
      </w:r>
      <w:r>
        <w:rPr>
          <w:rFonts w:hint="eastAsia"/>
          <w:lang w:eastAsia="zh-TW"/>
        </w:rPr>
        <w:t>其</w:t>
      </w:r>
      <w:r w:rsidRPr="00177A8C">
        <w:rPr>
          <w:rFonts w:hint="eastAsia"/>
          <w:lang w:eastAsia="zh-TW"/>
        </w:rPr>
        <w:t>有機銷售額在去年同期也實現了兩位數的增長。專業</w:t>
      </w:r>
      <w:r>
        <w:rPr>
          <w:rFonts w:hint="eastAsia"/>
          <w:lang w:eastAsia="zh-TW"/>
        </w:rPr>
        <w:t>線</w:t>
      </w:r>
      <w:r w:rsidRPr="00177A8C">
        <w:rPr>
          <w:rFonts w:hint="eastAsia"/>
          <w:lang w:eastAsia="zh-TW"/>
        </w:rPr>
        <w:t>業務實現強勁的有機銷售額增長。</w:t>
      </w:r>
      <w:r w:rsidRPr="00177A8C">
        <w:rPr>
          <w:rFonts w:hint="eastAsia"/>
          <w:b/>
          <w:bCs/>
          <w:lang w:eastAsia="zh-TW"/>
        </w:rPr>
        <w:t>其他消費品</w:t>
      </w:r>
      <w:r w:rsidRPr="00177A8C">
        <w:rPr>
          <w:rFonts w:hint="eastAsia"/>
          <w:lang w:eastAsia="zh-TW"/>
        </w:rPr>
        <w:t>業務領域實現了</w:t>
      </w:r>
      <w:r w:rsidRPr="00177A8C">
        <w:rPr>
          <w:lang w:eastAsia="zh-TW"/>
        </w:rPr>
        <w:t>2.3%</w:t>
      </w:r>
      <w:r w:rsidRPr="00177A8C">
        <w:rPr>
          <w:rFonts w:hint="eastAsia"/>
          <w:lang w:eastAsia="zh-TW"/>
        </w:rPr>
        <w:t>的有機銷售額增長（第二季度：</w:t>
      </w:r>
      <w:r>
        <w:rPr>
          <w:rFonts w:hint="eastAsia"/>
          <w:lang w:eastAsia="zh-TW"/>
        </w:rPr>
        <w:t>增長</w:t>
      </w:r>
      <w:r w:rsidRPr="00177A8C">
        <w:rPr>
          <w:lang w:eastAsia="zh-TW"/>
        </w:rPr>
        <w:t>0.7%</w:t>
      </w:r>
      <w:r w:rsidRPr="00177A8C">
        <w:rPr>
          <w:rFonts w:hint="eastAsia"/>
          <w:lang w:eastAsia="zh-TW"/>
        </w:rPr>
        <w:t>）。</w:t>
      </w:r>
      <w:r w:rsidR="006F1BEC" w:rsidRPr="00177A8C">
        <w:rPr>
          <w:rFonts w:hint="eastAsia"/>
          <w:lang w:eastAsia="zh-TW"/>
        </w:rPr>
        <w:t xml:space="preserve"> </w:t>
      </w:r>
    </w:p>
    <w:p w14:paraId="5FCF0009" w14:textId="77777777" w:rsidR="00266359" w:rsidRPr="00177A8C" w:rsidRDefault="00266359" w:rsidP="00272A6F">
      <w:pPr>
        <w:rPr>
          <w:lang w:eastAsia="zh-TW"/>
        </w:rPr>
      </w:pPr>
    </w:p>
    <w:p w14:paraId="59CD1488" w14:textId="5989BC3E" w:rsidR="00E31E3B" w:rsidRPr="00177A8C" w:rsidRDefault="0060298E" w:rsidP="00272A6F">
      <w:pPr>
        <w:rPr>
          <w:rFonts w:cs="Segoe UI"/>
          <w:szCs w:val="22"/>
          <w:lang w:eastAsia="zh-TW"/>
        </w:rPr>
      </w:pPr>
      <w:r w:rsidRPr="00AC131D">
        <w:rPr>
          <w:rFonts w:hint="eastAsia"/>
          <w:lang w:eastAsia="zh-TW"/>
        </w:rPr>
        <w:t>消費品牌</w:t>
      </w:r>
      <w:r w:rsidRPr="00177A8C">
        <w:rPr>
          <w:rFonts w:hint="eastAsia"/>
          <w:lang w:eastAsia="zh-TW"/>
        </w:rPr>
        <w:t>業務部</w:t>
      </w:r>
      <w:r>
        <w:rPr>
          <w:rFonts w:hint="eastAsia"/>
          <w:lang w:eastAsia="zh-TW"/>
        </w:rPr>
        <w:t>的</w:t>
      </w:r>
      <w:r w:rsidRPr="00177A8C">
        <w:rPr>
          <w:rFonts w:hint="eastAsia"/>
          <w:b/>
          <w:bCs/>
          <w:lang w:eastAsia="zh-TW"/>
        </w:rPr>
        <w:t>調整後的營業利潤</w:t>
      </w:r>
      <w:r w:rsidRPr="00177A8C">
        <w:rPr>
          <w:rFonts w:hint="eastAsia"/>
          <w:lang w:eastAsia="zh-TW"/>
        </w:rPr>
        <w:t>為</w:t>
      </w:r>
      <w:r w:rsidRPr="00177A8C">
        <w:rPr>
          <w:lang w:eastAsia="zh-TW"/>
        </w:rPr>
        <w:t>7.53</w:t>
      </w:r>
      <w:r w:rsidRPr="00177A8C">
        <w:rPr>
          <w:rFonts w:hint="eastAsia"/>
          <w:lang w:eastAsia="zh-TW"/>
        </w:rPr>
        <w:t>億歐元，與去年同期相比增長</w:t>
      </w:r>
      <w:r w:rsidRPr="00177A8C">
        <w:rPr>
          <w:lang w:eastAsia="zh-TW"/>
        </w:rPr>
        <w:t>34.8%</w:t>
      </w:r>
      <w:r w:rsidRPr="00177A8C">
        <w:rPr>
          <w:rFonts w:hint="eastAsia"/>
          <w:lang w:eastAsia="zh-TW"/>
        </w:rPr>
        <w:t>。這一增長主要得益於銷售價格的上漲、整合後的消費品牌業務部所</w:t>
      </w:r>
      <w:r>
        <w:rPr>
          <w:rFonts w:hint="eastAsia"/>
          <w:lang w:eastAsia="zh-TW"/>
        </w:rPr>
        <w:t>帶來的成本節約</w:t>
      </w:r>
      <w:r w:rsidRPr="00177A8C">
        <w:rPr>
          <w:rFonts w:hint="eastAsia"/>
          <w:lang w:eastAsia="zh-TW"/>
        </w:rPr>
        <w:t>，以及產品組合優化和價格穩定措施。</w:t>
      </w:r>
      <w:r w:rsidRPr="00177A8C">
        <w:rPr>
          <w:rFonts w:hint="eastAsia"/>
          <w:b/>
          <w:bCs/>
          <w:lang w:eastAsia="zh-TW"/>
        </w:rPr>
        <w:t>調整後的銷售回報率</w:t>
      </w:r>
      <w:r w:rsidRPr="00177A8C">
        <w:rPr>
          <w:rFonts w:hint="eastAsia"/>
          <w:lang w:eastAsia="zh-TW"/>
        </w:rPr>
        <w:t>上</w:t>
      </w:r>
      <w:r>
        <w:rPr>
          <w:rFonts w:hint="eastAsia"/>
          <w:lang w:eastAsia="zh-TW"/>
        </w:rPr>
        <w:t>升</w:t>
      </w:r>
      <w:r w:rsidRPr="00177A8C">
        <w:rPr>
          <w:lang w:eastAsia="zh-TW"/>
        </w:rPr>
        <w:t>390</w:t>
      </w:r>
      <w:r w:rsidRPr="00177A8C">
        <w:rPr>
          <w:rFonts w:hint="eastAsia"/>
          <w:lang w:eastAsia="zh-TW"/>
        </w:rPr>
        <w:t>個基點，達到</w:t>
      </w:r>
      <w:r w:rsidRPr="00177A8C">
        <w:rPr>
          <w:lang w:eastAsia="zh-TW"/>
        </w:rPr>
        <w:t>14.3%</w:t>
      </w:r>
      <w:r w:rsidRPr="00177A8C">
        <w:rPr>
          <w:rFonts w:hint="eastAsia"/>
          <w:lang w:eastAsia="zh-TW"/>
        </w:rPr>
        <w:t>。</w:t>
      </w:r>
    </w:p>
    <w:p w14:paraId="3C9D2CBA" w14:textId="77777777" w:rsidR="003F11AB" w:rsidRPr="00177A8C" w:rsidRDefault="003F11AB" w:rsidP="00272A6F">
      <w:pPr>
        <w:rPr>
          <w:rFonts w:cs="Segoe UI"/>
          <w:b/>
          <w:szCs w:val="22"/>
          <w:lang w:eastAsia="zh-TW"/>
        </w:rPr>
      </w:pPr>
    </w:p>
    <w:p w14:paraId="198D3956" w14:textId="7E377CE4" w:rsidR="00E10F79" w:rsidRPr="00177A8C" w:rsidRDefault="0060298E" w:rsidP="00272A6F">
      <w:pPr>
        <w:rPr>
          <w:b/>
          <w:lang w:eastAsia="zh-TW"/>
        </w:rPr>
      </w:pPr>
      <w:r w:rsidRPr="00177A8C">
        <w:rPr>
          <w:rFonts w:hint="eastAsia"/>
          <w:b/>
          <w:lang w:eastAsia="zh-TW"/>
        </w:rPr>
        <w:t>持續推動增長議程的實施</w:t>
      </w:r>
    </w:p>
    <w:p w14:paraId="5261333A" w14:textId="40536A08" w:rsidR="00033476" w:rsidRPr="00177A8C" w:rsidRDefault="0060298E" w:rsidP="00272A6F">
      <w:pPr>
        <w:rPr>
          <w:lang w:eastAsia="zh-TW"/>
        </w:rPr>
      </w:pPr>
      <w:bookmarkStart w:id="4" w:name="_Hlk109204398"/>
      <w:r w:rsidRPr="00177A8C">
        <w:rPr>
          <w:lang w:eastAsia="zh-TW"/>
        </w:rPr>
        <w:t>2024</w:t>
      </w:r>
      <w:r w:rsidRPr="00177A8C">
        <w:rPr>
          <w:rFonts w:hint="eastAsia"/>
          <w:lang w:eastAsia="zh-TW"/>
        </w:rPr>
        <w:t>年上半年，漢高繼續堅持不懈地推進其目標性增長議程中的</w:t>
      </w:r>
      <w:r w:rsidR="00B6538F">
        <w:rPr>
          <w:rFonts w:hint="eastAsia"/>
          <w:lang w:eastAsia="zh-TW"/>
        </w:rPr>
        <w:t>策略</w:t>
      </w:r>
      <w:r w:rsidRPr="00177A8C">
        <w:rPr>
          <w:rFonts w:hint="eastAsia"/>
          <w:lang w:eastAsia="zh-TW"/>
        </w:rPr>
        <w:t>重點，並在</w:t>
      </w:r>
      <w:r>
        <w:rPr>
          <w:rFonts w:hint="eastAsia"/>
          <w:lang w:eastAsia="zh-TW"/>
        </w:rPr>
        <w:t>各個方面</w:t>
      </w:r>
      <w:r w:rsidRPr="00177A8C">
        <w:rPr>
          <w:rFonts w:hint="eastAsia"/>
          <w:lang w:eastAsia="zh-TW"/>
        </w:rPr>
        <w:t>都取得了良好進展。</w:t>
      </w:r>
    </w:p>
    <w:p w14:paraId="2BC21129" w14:textId="77777777" w:rsidR="00D65E91" w:rsidRPr="00177A8C" w:rsidRDefault="00D65E91" w:rsidP="00272A6F">
      <w:pPr>
        <w:rPr>
          <w:rFonts w:cs="Segoe UI"/>
          <w:bCs/>
          <w:szCs w:val="22"/>
          <w:lang w:eastAsia="zh-TW"/>
        </w:rPr>
      </w:pPr>
    </w:p>
    <w:bookmarkEnd w:id="4"/>
    <w:p w14:paraId="31D483CD" w14:textId="68CBB18A" w:rsidR="00B71798" w:rsidRPr="00177A8C" w:rsidRDefault="0060298E" w:rsidP="00272A6F">
      <w:pPr>
        <w:autoSpaceDE w:val="0"/>
        <w:autoSpaceDN w:val="0"/>
        <w:adjustRightInd w:val="0"/>
        <w:rPr>
          <w:rFonts w:cs="Segoe UI"/>
          <w:szCs w:val="22"/>
          <w:lang w:eastAsia="zh-TW"/>
        </w:rPr>
      </w:pPr>
      <w:r w:rsidRPr="00177A8C">
        <w:rPr>
          <w:rFonts w:hint="eastAsia"/>
          <w:b/>
          <w:bCs/>
          <w:lang w:eastAsia="zh-TW"/>
        </w:rPr>
        <w:t>消費品牌</w:t>
      </w:r>
      <w:r w:rsidRPr="00177A8C">
        <w:rPr>
          <w:rFonts w:hint="eastAsia"/>
          <w:lang w:eastAsia="zh-TW"/>
        </w:rPr>
        <w:t>業務部</w:t>
      </w:r>
      <w:r>
        <w:rPr>
          <w:rFonts w:hint="eastAsia"/>
          <w:lang w:eastAsia="zh-TW"/>
        </w:rPr>
        <w:t>是由</w:t>
      </w:r>
      <w:r w:rsidRPr="00177A8C">
        <w:rPr>
          <w:rFonts w:hint="eastAsia"/>
          <w:lang w:eastAsia="zh-TW"/>
        </w:rPr>
        <w:t>原洗滌劑及家居護理業務和化妝品</w:t>
      </w:r>
      <w:r w:rsidRPr="00177A8C">
        <w:rPr>
          <w:lang w:eastAsia="zh-TW"/>
        </w:rPr>
        <w:t>/</w:t>
      </w:r>
      <w:r w:rsidRPr="00177A8C">
        <w:rPr>
          <w:rFonts w:hint="eastAsia"/>
          <w:lang w:eastAsia="zh-TW"/>
        </w:rPr>
        <w:t>美容用品業務</w:t>
      </w:r>
      <w:r w:rsidRPr="00177A8C">
        <w:rPr>
          <w:rFonts w:hint="eastAsia"/>
          <w:b/>
          <w:bCs/>
          <w:lang w:eastAsia="zh-TW"/>
        </w:rPr>
        <w:t>合併</w:t>
      </w:r>
      <w:r w:rsidRPr="00AC131D">
        <w:rPr>
          <w:rFonts w:hint="eastAsia"/>
          <w:lang w:eastAsia="zh-TW"/>
        </w:rPr>
        <w:t>而成</w:t>
      </w:r>
      <w:r>
        <w:rPr>
          <w:rFonts w:hint="eastAsia"/>
          <w:lang w:eastAsia="zh-TW"/>
        </w:rPr>
        <w:t>。這一整合分為兩個階段，並在</w:t>
      </w:r>
      <w:r w:rsidRPr="00177A8C">
        <w:rPr>
          <w:lang w:eastAsia="zh-TW"/>
        </w:rPr>
        <w:t>2024</w:t>
      </w:r>
      <w:r w:rsidRPr="00177A8C">
        <w:rPr>
          <w:rFonts w:hint="eastAsia"/>
          <w:lang w:eastAsia="zh-TW"/>
        </w:rPr>
        <w:t>年上半年</w:t>
      </w:r>
      <w:r>
        <w:rPr>
          <w:rFonts w:hint="eastAsia"/>
          <w:lang w:eastAsia="zh-TW"/>
        </w:rPr>
        <w:t>得到</w:t>
      </w:r>
      <w:r w:rsidRPr="00177A8C">
        <w:rPr>
          <w:rFonts w:hint="eastAsia"/>
          <w:lang w:eastAsia="zh-TW"/>
        </w:rPr>
        <w:t>順利推進。漢高在這一過程中進一步節約了成本。總體上，公司的目標是通過兩個階段的整合節省</w:t>
      </w:r>
      <w:r w:rsidRPr="00177A8C">
        <w:rPr>
          <w:lang w:eastAsia="zh-TW"/>
        </w:rPr>
        <w:t>5.25</w:t>
      </w:r>
      <w:r w:rsidRPr="00177A8C">
        <w:rPr>
          <w:rFonts w:hint="eastAsia"/>
          <w:lang w:eastAsia="zh-TW"/>
        </w:rPr>
        <w:t>億歐元。這些都將在</w:t>
      </w:r>
      <w:r w:rsidRPr="00177A8C">
        <w:rPr>
          <w:lang w:eastAsia="zh-TW"/>
        </w:rPr>
        <w:t>2026</w:t>
      </w:r>
      <w:r w:rsidRPr="00177A8C">
        <w:rPr>
          <w:rFonts w:hint="eastAsia"/>
          <w:lang w:eastAsia="zh-TW"/>
        </w:rPr>
        <w:t>年底前全面實現。</w:t>
      </w:r>
    </w:p>
    <w:p w14:paraId="12C3E794" w14:textId="77777777" w:rsidR="00D65E91" w:rsidRPr="00177A8C" w:rsidRDefault="00D65E91" w:rsidP="00272A6F">
      <w:pPr>
        <w:jc w:val="left"/>
        <w:rPr>
          <w:lang w:eastAsia="zh-TW"/>
        </w:rPr>
      </w:pPr>
    </w:p>
    <w:p w14:paraId="0860B868" w14:textId="6CA9FB78" w:rsidR="00E10F79" w:rsidRPr="00177A8C" w:rsidRDefault="0060298E" w:rsidP="00272A6F">
      <w:pPr>
        <w:autoSpaceDE w:val="0"/>
        <w:autoSpaceDN w:val="0"/>
        <w:adjustRightInd w:val="0"/>
        <w:rPr>
          <w:rFonts w:cs="Segoe UI"/>
          <w:szCs w:val="22"/>
          <w:lang w:eastAsia="zh-TW"/>
        </w:rPr>
      </w:pPr>
      <w:r w:rsidRPr="00177A8C">
        <w:rPr>
          <w:rFonts w:hint="eastAsia"/>
          <w:lang w:eastAsia="zh-TW"/>
        </w:rPr>
        <w:t>整合第二階段的重點是</w:t>
      </w:r>
      <w:r>
        <w:rPr>
          <w:rFonts w:hint="eastAsia"/>
          <w:lang w:eastAsia="zh-TW"/>
        </w:rPr>
        <w:t>優化</w:t>
      </w:r>
      <w:r w:rsidRPr="00177A8C">
        <w:rPr>
          <w:rFonts w:hint="eastAsia"/>
          <w:lang w:eastAsia="zh-TW"/>
        </w:rPr>
        <w:t>消費品牌業務部</w:t>
      </w:r>
      <w:r>
        <w:rPr>
          <w:rFonts w:hint="eastAsia"/>
          <w:lang w:eastAsia="zh-TW"/>
        </w:rPr>
        <w:t>的</w:t>
      </w:r>
      <w:r w:rsidRPr="00177A8C">
        <w:rPr>
          <w:rFonts w:hint="eastAsia"/>
          <w:lang w:eastAsia="zh-TW"/>
        </w:rPr>
        <w:t>供應鏈</w:t>
      </w:r>
      <w:r>
        <w:rPr>
          <w:rFonts w:hint="eastAsia"/>
          <w:lang w:eastAsia="zh-TW"/>
        </w:rPr>
        <w:t>。</w:t>
      </w:r>
      <w:r w:rsidRPr="00177A8C">
        <w:rPr>
          <w:rFonts w:hint="eastAsia"/>
          <w:lang w:eastAsia="zh-TW"/>
        </w:rPr>
        <w:t>作為該階段的一部分，所謂的</w:t>
      </w:r>
      <w:r>
        <w:rPr>
          <w:rFonts w:hint="eastAsia"/>
          <w:lang w:eastAsia="zh-TW"/>
        </w:rPr>
        <w:t>“</w:t>
      </w:r>
      <w:r w:rsidRPr="00177A8C">
        <w:rPr>
          <w:lang w:eastAsia="zh-TW"/>
        </w:rPr>
        <w:t>1-1-1</w:t>
      </w:r>
      <w:r w:rsidRPr="00177A8C">
        <w:rPr>
          <w:rFonts w:hint="eastAsia"/>
          <w:lang w:eastAsia="zh-TW"/>
        </w:rPr>
        <w:t>原則</w:t>
      </w:r>
      <w:r>
        <w:rPr>
          <w:rFonts w:hint="eastAsia"/>
          <w:lang w:eastAsia="zh-TW"/>
        </w:rPr>
        <w:t>”</w:t>
      </w:r>
      <w:r w:rsidRPr="00177A8C">
        <w:rPr>
          <w:rFonts w:hint="eastAsia"/>
          <w:lang w:eastAsia="zh-TW"/>
        </w:rPr>
        <w:t>已在近</w:t>
      </w:r>
      <w:r w:rsidRPr="00177A8C">
        <w:rPr>
          <w:lang w:eastAsia="zh-TW"/>
        </w:rPr>
        <w:t>30</w:t>
      </w:r>
      <w:r w:rsidRPr="00177A8C">
        <w:rPr>
          <w:rFonts w:hint="eastAsia"/>
          <w:lang w:eastAsia="zh-TW"/>
        </w:rPr>
        <w:t>個國家</w:t>
      </w:r>
      <w:r>
        <w:rPr>
          <w:rFonts w:hint="eastAsia"/>
          <w:lang w:eastAsia="zh-TW"/>
        </w:rPr>
        <w:t>實行</w:t>
      </w:r>
      <w:r w:rsidRPr="00177A8C">
        <w:rPr>
          <w:rFonts w:hint="eastAsia"/>
          <w:lang w:eastAsia="zh-TW"/>
        </w:rPr>
        <w:t>。</w:t>
      </w:r>
      <w:r>
        <w:rPr>
          <w:rFonts w:hint="eastAsia"/>
          <w:lang w:eastAsia="zh-TW"/>
        </w:rPr>
        <w:t>這是在</w:t>
      </w:r>
      <w:r w:rsidRPr="00B62DAB">
        <w:rPr>
          <w:rFonts w:hint="eastAsia"/>
          <w:lang w:eastAsia="zh-TW"/>
        </w:rPr>
        <w:t>“</w:t>
      </w:r>
      <w:r>
        <w:rPr>
          <w:rFonts w:hint="eastAsia"/>
          <w:lang w:eastAsia="zh-TW"/>
        </w:rPr>
        <w:t>一個客戶一個對接窗口</w:t>
      </w:r>
      <w:r w:rsidRPr="00B62DAB">
        <w:rPr>
          <w:rFonts w:hint="eastAsia"/>
          <w:lang w:eastAsia="zh-TW"/>
        </w:rPr>
        <w:t>”的原則</w:t>
      </w:r>
      <w:r>
        <w:rPr>
          <w:rFonts w:hint="eastAsia"/>
          <w:lang w:eastAsia="zh-TW"/>
        </w:rPr>
        <w:t>下</w:t>
      </w:r>
      <w:r w:rsidRPr="00B62DAB">
        <w:rPr>
          <w:rFonts w:hint="eastAsia"/>
          <w:lang w:eastAsia="zh-TW"/>
        </w:rPr>
        <w:t>，以優化的物流能力推動商業整合</w:t>
      </w:r>
      <w:r>
        <w:rPr>
          <w:rFonts w:hint="eastAsia"/>
          <w:lang w:eastAsia="zh-TW"/>
        </w:rPr>
        <w:t>。</w:t>
      </w:r>
      <w:r w:rsidRPr="00B62DAB">
        <w:rPr>
          <w:rFonts w:hint="eastAsia"/>
          <w:lang w:eastAsia="zh-TW"/>
        </w:rPr>
        <w:t>這意味著：一份訂單、一次交貨、一張發票</w:t>
      </w:r>
      <w:r w:rsidRPr="00177A8C">
        <w:rPr>
          <w:rFonts w:hint="eastAsia"/>
          <w:lang w:eastAsia="zh-TW"/>
        </w:rPr>
        <w:t>。此外，生產和物流網絡</w:t>
      </w:r>
      <w:r>
        <w:rPr>
          <w:rFonts w:hint="eastAsia"/>
          <w:lang w:eastAsia="zh-TW"/>
        </w:rPr>
        <w:t>得到了</w:t>
      </w:r>
      <w:r w:rsidRPr="00177A8C">
        <w:rPr>
          <w:rFonts w:hint="eastAsia"/>
          <w:lang w:eastAsia="zh-TW"/>
        </w:rPr>
        <w:t>進一步優化和鞏固，例如在美國和東歐國家的洗滌劑及</w:t>
      </w:r>
      <w:r>
        <w:rPr>
          <w:rFonts w:hint="eastAsia"/>
          <w:lang w:eastAsia="zh-TW"/>
        </w:rPr>
        <w:t>家用</w:t>
      </w:r>
      <w:r w:rsidRPr="00177A8C">
        <w:rPr>
          <w:rFonts w:hint="eastAsia"/>
          <w:lang w:eastAsia="zh-TW"/>
        </w:rPr>
        <w:t>護理業務</w:t>
      </w:r>
      <w:r>
        <w:rPr>
          <w:rFonts w:hint="eastAsia"/>
          <w:lang w:eastAsia="zh-TW"/>
        </w:rPr>
        <w:t>正是如此</w:t>
      </w:r>
      <w:r w:rsidRPr="00177A8C">
        <w:rPr>
          <w:rFonts w:hint="eastAsia"/>
          <w:lang w:eastAsia="zh-TW"/>
        </w:rPr>
        <w:t>。總體而言，這些措施已使</w:t>
      </w:r>
      <w:r>
        <w:rPr>
          <w:rFonts w:hint="eastAsia"/>
          <w:lang w:eastAsia="zh-TW"/>
        </w:rPr>
        <w:t>供應鏈</w:t>
      </w:r>
      <w:r w:rsidRPr="00177A8C">
        <w:rPr>
          <w:rFonts w:hint="eastAsia"/>
          <w:lang w:eastAsia="zh-TW"/>
        </w:rPr>
        <w:t>複雜</w:t>
      </w:r>
      <w:r>
        <w:rPr>
          <w:rFonts w:hint="eastAsia"/>
          <w:lang w:eastAsia="zh-TW"/>
        </w:rPr>
        <w:t>程度</w:t>
      </w:r>
      <w:r w:rsidRPr="00177A8C">
        <w:rPr>
          <w:rFonts w:hint="eastAsia"/>
          <w:lang w:eastAsia="zh-TW"/>
        </w:rPr>
        <w:t>總體降低了約</w:t>
      </w:r>
      <w:r w:rsidRPr="00177A8C">
        <w:rPr>
          <w:lang w:eastAsia="zh-TW"/>
        </w:rPr>
        <w:t>16%</w:t>
      </w:r>
      <w:r w:rsidRPr="00177A8C">
        <w:rPr>
          <w:rFonts w:hint="eastAsia"/>
          <w:lang w:eastAsia="zh-TW"/>
        </w:rPr>
        <w:t>。</w:t>
      </w:r>
    </w:p>
    <w:p w14:paraId="69832396" w14:textId="77777777" w:rsidR="00E10F79" w:rsidRPr="00177A8C" w:rsidRDefault="00E10F79" w:rsidP="00272A6F">
      <w:pPr>
        <w:autoSpaceDE w:val="0"/>
        <w:autoSpaceDN w:val="0"/>
        <w:adjustRightInd w:val="0"/>
        <w:rPr>
          <w:rFonts w:cs="Segoe UI"/>
          <w:szCs w:val="22"/>
          <w:lang w:eastAsia="zh-TW"/>
        </w:rPr>
      </w:pPr>
    </w:p>
    <w:p w14:paraId="75F71581" w14:textId="612AFAA1" w:rsidR="00033476" w:rsidRPr="00177A8C" w:rsidRDefault="0060298E" w:rsidP="00272A6F">
      <w:pPr>
        <w:autoSpaceDE w:val="0"/>
        <w:autoSpaceDN w:val="0"/>
        <w:adjustRightInd w:val="0"/>
        <w:rPr>
          <w:rFonts w:cs="Segoe UI"/>
          <w:szCs w:val="22"/>
          <w:lang w:eastAsia="zh-TW"/>
        </w:rPr>
      </w:pPr>
      <w:r w:rsidRPr="00177A8C">
        <w:rPr>
          <w:rFonts w:hint="eastAsia"/>
          <w:lang w:eastAsia="zh-TW"/>
        </w:rPr>
        <w:t>漢高還進一步聚焦於消費品牌</w:t>
      </w:r>
      <w:r>
        <w:rPr>
          <w:rFonts w:hint="eastAsia"/>
          <w:lang w:eastAsia="zh-TW"/>
        </w:rPr>
        <w:t>業務</w:t>
      </w:r>
      <w:r w:rsidRPr="00177A8C">
        <w:rPr>
          <w:rFonts w:hint="eastAsia"/>
          <w:lang w:eastAsia="zh-TW"/>
        </w:rPr>
        <w:t>組合。近期的重點是北美的洗滌劑及</w:t>
      </w:r>
      <w:r>
        <w:rPr>
          <w:rFonts w:hint="eastAsia"/>
          <w:lang w:eastAsia="zh-TW"/>
        </w:rPr>
        <w:t>家用</w:t>
      </w:r>
      <w:r w:rsidRPr="00177A8C">
        <w:rPr>
          <w:rFonts w:hint="eastAsia"/>
          <w:lang w:eastAsia="zh-TW"/>
        </w:rPr>
        <w:t>護理業務。</w:t>
      </w:r>
    </w:p>
    <w:p w14:paraId="2300E31C" w14:textId="77777777" w:rsidR="00033476" w:rsidRPr="00177A8C" w:rsidRDefault="00033476" w:rsidP="00272A6F">
      <w:pPr>
        <w:autoSpaceDE w:val="0"/>
        <w:autoSpaceDN w:val="0"/>
        <w:adjustRightInd w:val="0"/>
        <w:rPr>
          <w:rFonts w:cs="Segoe UI"/>
          <w:szCs w:val="22"/>
          <w:lang w:eastAsia="zh-TW"/>
        </w:rPr>
      </w:pPr>
    </w:p>
    <w:p w14:paraId="6E722B39" w14:textId="59D7EDED" w:rsidR="00A45717" w:rsidRPr="00177A8C" w:rsidRDefault="0060298E" w:rsidP="00272A6F">
      <w:pPr>
        <w:autoSpaceDE w:val="0"/>
        <w:autoSpaceDN w:val="0"/>
        <w:adjustRightInd w:val="0"/>
        <w:rPr>
          <w:rFonts w:cs="Segoe UI"/>
          <w:bCs/>
          <w:szCs w:val="22"/>
          <w:lang w:eastAsia="zh-TW"/>
        </w:rPr>
      </w:pPr>
      <w:bookmarkStart w:id="5" w:name="_Hlk109382178"/>
      <w:r w:rsidRPr="00177A8C">
        <w:rPr>
          <w:rFonts w:hint="eastAsia"/>
          <w:lang w:eastAsia="zh-TW"/>
        </w:rPr>
        <w:lastRenderedPageBreak/>
        <w:t>為了進一步增強</w:t>
      </w:r>
      <w:r w:rsidRPr="00177A8C">
        <w:rPr>
          <w:rFonts w:hint="eastAsia"/>
          <w:b/>
          <w:bCs/>
          <w:lang w:eastAsia="zh-TW"/>
        </w:rPr>
        <w:t>競爭力</w:t>
      </w:r>
      <w:r w:rsidRPr="00177A8C">
        <w:rPr>
          <w:rFonts w:hint="eastAsia"/>
          <w:lang w:eastAsia="zh-TW"/>
        </w:rPr>
        <w:t>，漢高專注於在有吸引力的業務領域進行有力的創新。這再次促進了兩個業務部在</w:t>
      </w:r>
      <w:r w:rsidRPr="00177A8C">
        <w:rPr>
          <w:lang w:eastAsia="zh-TW"/>
        </w:rPr>
        <w:t>2024</w:t>
      </w:r>
      <w:r w:rsidRPr="00177A8C">
        <w:rPr>
          <w:rFonts w:hint="eastAsia"/>
          <w:lang w:eastAsia="zh-TW"/>
        </w:rPr>
        <w:t>年上半年的增長。在</w:t>
      </w:r>
      <w:r w:rsidRPr="00177A8C">
        <w:rPr>
          <w:rFonts w:hint="eastAsia"/>
          <w:b/>
          <w:bCs/>
          <w:lang w:eastAsia="zh-TW"/>
        </w:rPr>
        <w:t>粘合劑技術</w:t>
      </w:r>
      <w:r w:rsidRPr="00177A8C">
        <w:rPr>
          <w:rFonts w:hint="eastAsia"/>
          <w:lang w:eastAsia="zh-TW"/>
        </w:rPr>
        <w:t>領域，汽車零部件集成化的趨勢推動了對創新粘合劑解決方案的需求。其中一個例子就是電子元件的集成</w:t>
      </w:r>
      <w:r>
        <w:rPr>
          <w:rFonts w:hint="eastAsia"/>
          <w:lang w:eastAsia="zh-TW"/>
        </w:rPr>
        <w:t>。</w:t>
      </w:r>
      <w:r w:rsidRPr="00177A8C">
        <w:rPr>
          <w:rFonts w:hint="eastAsia"/>
          <w:lang w:eastAsia="zh-TW"/>
        </w:rPr>
        <w:t>無論汽車採用哪種動力</w:t>
      </w:r>
      <w:r>
        <w:rPr>
          <w:rFonts w:hint="eastAsia"/>
          <w:lang w:eastAsia="zh-TW"/>
        </w:rPr>
        <w:t>傳動</w:t>
      </w:r>
      <w:r w:rsidRPr="00177A8C">
        <w:rPr>
          <w:rFonts w:hint="eastAsia"/>
          <w:lang w:eastAsia="zh-TW"/>
        </w:rPr>
        <w:t>系統，</w:t>
      </w:r>
      <w:r>
        <w:rPr>
          <w:rFonts w:hint="eastAsia"/>
          <w:lang w:eastAsia="zh-TW"/>
        </w:rPr>
        <w:t>它</w:t>
      </w:r>
      <w:r w:rsidRPr="00177A8C">
        <w:rPr>
          <w:rFonts w:hint="eastAsia"/>
          <w:lang w:eastAsia="zh-TW"/>
        </w:rPr>
        <w:t>都能</w:t>
      </w:r>
      <w:r>
        <w:rPr>
          <w:rFonts w:hint="eastAsia"/>
          <w:lang w:eastAsia="zh-TW"/>
        </w:rPr>
        <w:t>為汽車</w:t>
      </w:r>
      <w:r w:rsidRPr="00177A8C">
        <w:rPr>
          <w:rFonts w:hint="eastAsia"/>
          <w:lang w:eastAsia="zh-TW"/>
        </w:rPr>
        <w:t>帶來極大的收益。同時，這是一個高度複雜的領域，對所用粘合劑解決方案的熱管理有非常具體的要求。漢高</w:t>
      </w:r>
      <w:r>
        <w:rPr>
          <w:rFonts w:hint="eastAsia"/>
          <w:lang w:eastAsia="zh-TW"/>
        </w:rPr>
        <w:t>是在早期就意識到這一趨勢並</w:t>
      </w:r>
      <w:r w:rsidRPr="00177A8C">
        <w:rPr>
          <w:rFonts w:hint="eastAsia"/>
          <w:lang w:eastAsia="zh-TW"/>
        </w:rPr>
        <w:t>與領先的</w:t>
      </w:r>
      <w:r>
        <w:rPr>
          <w:rFonts w:hint="eastAsia"/>
          <w:lang w:eastAsia="zh-TW"/>
        </w:rPr>
        <w:t>整車廠（</w:t>
      </w:r>
      <w:r w:rsidRPr="00177A8C">
        <w:rPr>
          <w:lang w:eastAsia="zh-TW"/>
        </w:rPr>
        <w:t>OEM</w:t>
      </w:r>
      <w:r>
        <w:rPr>
          <w:lang w:eastAsia="zh-TW"/>
        </w:rPr>
        <w:t>s</w:t>
      </w:r>
      <w:r>
        <w:rPr>
          <w:rFonts w:hint="eastAsia"/>
          <w:lang w:eastAsia="zh-TW"/>
        </w:rPr>
        <w:t>）</w:t>
      </w:r>
      <w:r w:rsidRPr="00177A8C">
        <w:rPr>
          <w:rFonts w:hint="eastAsia"/>
          <w:lang w:eastAsia="zh-TW"/>
        </w:rPr>
        <w:t>和關鍵供應商合作開發創新解決方案的少數企業之一。預計未來幾年，此類集成部件的市場增長潛力將超過</w:t>
      </w:r>
      <w:r w:rsidRPr="00177A8C">
        <w:rPr>
          <w:lang w:eastAsia="zh-TW"/>
        </w:rPr>
        <w:t>20%</w:t>
      </w:r>
      <w:r w:rsidRPr="00177A8C">
        <w:rPr>
          <w:rFonts w:hint="eastAsia"/>
          <w:lang w:eastAsia="zh-TW"/>
        </w:rPr>
        <w:t>。在</w:t>
      </w:r>
      <w:r w:rsidRPr="00177A8C">
        <w:rPr>
          <w:rFonts w:hint="eastAsia"/>
          <w:b/>
          <w:bCs/>
          <w:lang w:eastAsia="zh-TW"/>
        </w:rPr>
        <w:t>消費品牌</w:t>
      </w:r>
      <w:r w:rsidRPr="00177A8C">
        <w:rPr>
          <w:rFonts w:hint="eastAsia"/>
          <w:lang w:eastAsia="zh-TW"/>
        </w:rPr>
        <w:t>業務部，美髮業務的有機銷售額增長超過</w:t>
      </w:r>
      <w:r w:rsidRPr="00177A8C">
        <w:rPr>
          <w:lang w:eastAsia="zh-TW"/>
        </w:rPr>
        <w:t>7%</w:t>
      </w:r>
      <w:r w:rsidRPr="00177A8C">
        <w:rPr>
          <w:rFonts w:hint="eastAsia"/>
          <w:lang w:eastAsia="zh-TW"/>
        </w:rPr>
        <w:t>，增長勢頭非常強勁，這主要得益于施華蔻系列品牌</w:t>
      </w:r>
      <w:r>
        <w:rPr>
          <w:rFonts w:hint="eastAsia"/>
          <w:lang w:eastAsia="zh-TW"/>
        </w:rPr>
        <w:t>對零售線</w:t>
      </w:r>
      <w:r w:rsidRPr="00177A8C">
        <w:rPr>
          <w:rFonts w:hint="eastAsia"/>
          <w:lang w:eastAsia="zh-TW"/>
        </w:rPr>
        <w:t>業務</w:t>
      </w:r>
      <w:r>
        <w:rPr>
          <w:rFonts w:hint="eastAsia"/>
          <w:lang w:eastAsia="zh-TW"/>
        </w:rPr>
        <w:t>和</w:t>
      </w:r>
      <w:r w:rsidRPr="00177A8C">
        <w:rPr>
          <w:rFonts w:hint="eastAsia"/>
          <w:lang w:eastAsia="zh-TW"/>
        </w:rPr>
        <w:t>專業</w:t>
      </w:r>
      <w:r>
        <w:rPr>
          <w:rFonts w:hint="eastAsia"/>
          <w:lang w:eastAsia="zh-TW"/>
        </w:rPr>
        <w:t>線</w:t>
      </w:r>
      <w:r w:rsidRPr="00177A8C">
        <w:rPr>
          <w:rFonts w:hint="eastAsia"/>
          <w:lang w:eastAsia="zh-TW"/>
        </w:rPr>
        <w:t>業務</w:t>
      </w:r>
      <w:r>
        <w:rPr>
          <w:rFonts w:hint="eastAsia"/>
          <w:lang w:eastAsia="zh-TW"/>
        </w:rPr>
        <w:t>的推動</w:t>
      </w:r>
      <w:r w:rsidRPr="00177A8C">
        <w:rPr>
          <w:rFonts w:hint="eastAsia"/>
          <w:lang w:eastAsia="zh-TW"/>
        </w:rPr>
        <w:t>。目前，該業務領域已連續四個季度實現銷量正增長。與此同時，</w:t>
      </w:r>
      <w:r>
        <w:rPr>
          <w:rFonts w:hint="eastAsia"/>
          <w:lang w:eastAsia="zh-TW"/>
        </w:rPr>
        <w:t>造型</w:t>
      </w:r>
      <w:r w:rsidRPr="00177A8C">
        <w:rPr>
          <w:rFonts w:hint="eastAsia"/>
          <w:lang w:eastAsia="zh-TW"/>
        </w:rPr>
        <w:t>和染髮</w:t>
      </w:r>
      <w:r>
        <w:rPr>
          <w:rFonts w:hint="eastAsia"/>
          <w:lang w:eastAsia="zh-TW"/>
        </w:rPr>
        <w:t>品類</w:t>
      </w:r>
      <w:r w:rsidRPr="00177A8C">
        <w:rPr>
          <w:rFonts w:hint="eastAsia"/>
          <w:lang w:eastAsia="zh-TW"/>
        </w:rPr>
        <w:t>的市場份額均增長</w:t>
      </w:r>
      <w:r w:rsidRPr="00177A8C">
        <w:rPr>
          <w:lang w:eastAsia="zh-TW"/>
        </w:rPr>
        <w:t>40</w:t>
      </w:r>
      <w:r w:rsidRPr="00177A8C">
        <w:rPr>
          <w:rFonts w:hint="eastAsia"/>
          <w:lang w:eastAsia="zh-TW"/>
        </w:rPr>
        <w:t>個基點。此外，</w:t>
      </w:r>
      <w:r>
        <w:rPr>
          <w:lang w:eastAsia="zh-TW"/>
        </w:rPr>
        <w:t>Gliss</w:t>
      </w:r>
      <w:r>
        <w:rPr>
          <w:rFonts w:hint="eastAsia"/>
          <w:lang w:eastAsia="zh-TW"/>
        </w:rPr>
        <w:t>重新推出</w:t>
      </w:r>
      <w:r w:rsidRPr="00177A8C">
        <w:rPr>
          <w:lang w:eastAsia="zh-TW"/>
        </w:rPr>
        <w:t>100%</w:t>
      </w:r>
      <w:r w:rsidRPr="00177A8C">
        <w:rPr>
          <w:rFonts w:hint="eastAsia"/>
          <w:lang w:eastAsia="zh-TW"/>
        </w:rPr>
        <w:t>強韌</w:t>
      </w:r>
      <w:r>
        <w:rPr>
          <w:rFonts w:hint="eastAsia"/>
          <w:lang w:eastAsia="zh-TW"/>
        </w:rPr>
        <w:t>發質</w:t>
      </w:r>
      <w:r w:rsidRPr="00177A8C">
        <w:rPr>
          <w:rFonts w:hint="eastAsia"/>
          <w:lang w:eastAsia="zh-TW"/>
        </w:rPr>
        <w:t>的新配方</w:t>
      </w:r>
      <w:r>
        <w:rPr>
          <w:rFonts w:hint="eastAsia"/>
          <w:lang w:eastAsia="zh-TW"/>
        </w:rPr>
        <w:t>洗髮水，為</w:t>
      </w:r>
      <w:r w:rsidRPr="00177A8C">
        <w:rPr>
          <w:rFonts w:hint="eastAsia"/>
          <w:lang w:eastAsia="zh-TW"/>
        </w:rPr>
        <w:t>該品牌上半年的有機銷售額</w:t>
      </w:r>
      <w:r>
        <w:rPr>
          <w:rFonts w:hint="eastAsia"/>
          <w:lang w:eastAsia="zh-TW"/>
        </w:rPr>
        <w:t>帶來</w:t>
      </w:r>
      <w:r w:rsidRPr="00177A8C">
        <w:rPr>
          <w:rFonts w:hint="eastAsia"/>
          <w:lang w:eastAsia="zh-TW"/>
        </w:rPr>
        <w:t>兩位數的增長。</w:t>
      </w:r>
    </w:p>
    <w:p w14:paraId="057C6209" w14:textId="77777777" w:rsidR="00A45717" w:rsidRPr="00177A8C" w:rsidRDefault="00A45717" w:rsidP="00272A6F">
      <w:pPr>
        <w:autoSpaceDE w:val="0"/>
        <w:autoSpaceDN w:val="0"/>
        <w:adjustRightInd w:val="0"/>
        <w:rPr>
          <w:rFonts w:cs="Segoe UI"/>
          <w:bCs/>
          <w:szCs w:val="22"/>
          <w:lang w:eastAsia="zh-TW"/>
        </w:rPr>
      </w:pPr>
    </w:p>
    <w:p w14:paraId="5D3F3F74" w14:textId="14282C1F" w:rsidR="00A45717" w:rsidRPr="00177A8C" w:rsidRDefault="0060298E" w:rsidP="00272A6F">
      <w:pPr>
        <w:rPr>
          <w:rFonts w:cs="Segoe UI"/>
          <w:szCs w:val="22"/>
          <w:lang w:eastAsia="zh-TW"/>
        </w:rPr>
      </w:pPr>
      <w:bookmarkStart w:id="6" w:name="_Hlk140061007"/>
      <w:bookmarkEnd w:id="5"/>
      <w:r w:rsidRPr="00142705">
        <w:rPr>
          <w:rFonts w:hint="eastAsia"/>
          <w:lang w:eastAsia="zh-TW"/>
        </w:rPr>
        <w:t>卡斯滕·諾貝爾表示：“總體而言，我們對漢高上半年的強勁業績表現感到非常滿意，並為我們在實施</w:t>
      </w:r>
      <w:r w:rsidR="00B6538F" w:rsidRPr="00142705">
        <w:rPr>
          <w:rFonts w:hint="eastAsia"/>
          <w:lang w:eastAsia="zh-TW"/>
        </w:rPr>
        <w:t>策略</w:t>
      </w:r>
      <w:r w:rsidRPr="00142705">
        <w:rPr>
          <w:rFonts w:hint="eastAsia"/>
          <w:lang w:eastAsia="zh-TW"/>
        </w:rPr>
        <w:t>增長議程方面取得的良好進展感到自豪。我們正在兌現自己的承諾。我們在業務、銷售額和盈利方面都取得了切實進展。</w:t>
      </w:r>
      <w:r w:rsidR="00D64C86" w:rsidRPr="00142705">
        <w:rPr>
          <w:rFonts w:hint="eastAsia"/>
          <w:lang w:eastAsia="zh-TW"/>
        </w:rPr>
        <w:t>我們正以大膽的決策實施變革</w:t>
      </w:r>
      <w:r w:rsidRPr="00142705">
        <w:rPr>
          <w:rFonts w:hint="eastAsia"/>
        </w:rPr>
        <w:t>，以實現未來的成功。</w:t>
      </w:r>
      <w:r w:rsidRPr="00142705">
        <w:rPr>
          <w:rFonts w:hint="eastAsia"/>
          <w:lang w:eastAsia="zh-TW"/>
        </w:rPr>
        <w:t>在明確</w:t>
      </w:r>
      <w:r w:rsidR="00B6538F" w:rsidRPr="00142705">
        <w:rPr>
          <w:rFonts w:hint="eastAsia"/>
          <w:lang w:eastAsia="zh-TW"/>
        </w:rPr>
        <w:t>策略</w:t>
      </w:r>
      <w:r w:rsidRPr="00142705">
        <w:rPr>
          <w:rFonts w:hint="eastAsia"/>
          <w:lang w:eastAsia="zh-TW"/>
        </w:rPr>
        <w:t>的指引下，我們正沿著正確的發展方向實現進一步的盈利增長。”</w:t>
      </w:r>
    </w:p>
    <w:bookmarkEnd w:id="6"/>
    <w:p w14:paraId="23552B25" w14:textId="73EEC116" w:rsidR="00A15D78" w:rsidRDefault="00A15D78" w:rsidP="00AC131D">
      <w:pPr>
        <w:spacing w:line="240" w:lineRule="auto"/>
        <w:jc w:val="left"/>
        <w:rPr>
          <w:rStyle w:val="Hyperlink"/>
          <w:b/>
          <w:bCs/>
          <w:color w:val="auto"/>
          <w:u w:val="none"/>
          <w:lang w:eastAsia="zh-TW"/>
        </w:rPr>
      </w:pPr>
    </w:p>
    <w:p w14:paraId="2D933DB7" w14:textId="77777777" w:rsidR="00BA286D" w:rsidRDefault="00BA286D" w:rsidP="00AC131D">
      <w:pPr>
        <w:spacing w:line="240" w:lineRule="auto"/>
        <w:jc w:val="left"/>
        <w:rPr>
          <w:rStyle w:val="Hyperlink"/>
          <w:b/>
          <w:bCs/>
          <w:color w:val="auto"/>
          <w:u w:val="none"/>
          <w:lang w:eastAsia="zh-TW"/>
        </w:rPr>
      </w:pPr>
    </w:p>
    <w:p w14:paraId="71FEF741" w14:textId="77777777" w:rsidR="00BA286D" w:rsidRDefault="00BA286D" w:rsidP="00AC131D">
      <w:pPr>
        <w:spacing w:line="240" w:lineRule="auto"/>
        <w:jc w:val="left"/>
        <w:rPr>
          <w:rStyle w:val="Hyperlink"/>
          <w:b/>
          <w:bCs/>
          <w:color w:val="auto"/>
          <w:u w:val="none"/>
          <w:lang w:eastAsia="zh-TW"/>
        </w:rPr>
      </w:pPr>
    </w:p>
    <w:p w14:paraId="78A53D5B" w14:textId="63AD290D" w:rsidR="00BA286D" w:rsidRPr="00D65E91" w:rsidRDefault="0060298E" w:rsidP="00BA286D">
      <w:pPr>
        <w:autoSpaceDE w:val="0"/>
        <w:autoSpaceDN w:val="0"/>
        <w:adjustRightInd w:val="0"/>
        <w:spacing w:line="240" w:lineRule="auto"/>
        <w:rPr>
          <w:sz w:val="16"/>
          <w:szCs w:val="16"/>
          <w:lang w:eastAsia="zh-TW"/>
        </w:rPr>
      </w:pPr>
      <w:r w:rsidRPr="00D65E91">
        <w:rPr>
          <w:sz w:val="16"/>
          <w:lang w:eastAsia="zh-TW"/>
        </w:rPr>
        <w:t>*</w:t>
      </w:r>
      <w:r w:rsidRPr="00D65E91">
        <w:rPr>
          <w:rFonts w:hint="eastAsia"/>
          <w:sz w:val="16"/>
          <w:lang w:eastAsia="zh-TW"/>
        </w:rPr>
        <w:t>對一次性費用和收入以及重組費用進行了調整。</w:t>
      </w:r>
    </w:p>
    <w:p w14:paraId="3A60290C" w14:textId="77777777" w:rsidR="004927A6" w:rsidRDefault="004927A6" w:rsidP="00AC131D">
      <w:pPr>
        <w:spacing w:line="240" w:lineRule="auto"/>
        <w:jc w:val="left"/>
        <w:rPr>
          <w:rStyle w:val="Hyperlink"/>
          <w:b/>
          <w:bCs/>
          <w:color w:val="auto"/>
          <w:u w:val="none"/>
          <w:lang w:eastAsia="zh-TW"/>
        </w:rPr>
      </w:pPr>
    </w:p>
    <w:p w14:paraId="089340E6" w14:textId="77777777" w:rsidR="004927A6" w:rsidRDefault="004927A6" w:rsidP="00AC131D">
      <w:pPr>
        <w:spacing w:line="240" w:lineRule="auto"/>
        <w:jc w:val="left"/>
        <w:rPr>
          <w:rStyle w:val="Hyperlink"/>
          <w:b/>
          <w:bCs/>
          <w:color w:val="auto"/>
          <w:u w:val="none"/>
          <w:lang w:eastAsia="zh-TW"/>
        </w:rPr>
      </w:pPr>
    </w:p>
    <w:p w14:paraId="54F72A7D" w14:textId="77777777" w:rsidR="00BA286D" w:rsidRDefault="00BA286D" w:rsidP="00AC131D">
      <w:pPr>
        <w:spacing w:line="240" w:lineRule="auto"/>
        <w:jc w:val="left"/>
        <w:rPr>
          <w:rStyle w:val="Hyperlink"/>
          <w:b/>
          <w:bCs/>
          <w:color w:val="auto"/>
          <w:u w:val="none"/>
          <w:lang w:eastAsia="zh-TW"/>
        </w:rPr>
      </w:pPr>
    </w:p>
    <w:p w14:paraId="2C12E02C" w14:textId="77777777" w:rsidR="00BA286D" w:rsidRDefault="00BA286D" w:rsidP="00AC131D">
      <w:pPr>
        <w:spacing w:line="240" w:lineRule="auto"/>
        <w:jc w:val="left"/>
        <w:rPr>
          <w:rStyle w:val="Hyperlink"/>
          <w:b/>
          <w:bCs/>
          <w:color w:val="auto"/>
          <w:u w:val="none"/>
          <w:lang w:eastAsia="zh-TW"/>
        </w:rPr>
      </w:pPr>
    </w:p>
    <w:p w14:paraId="2E24FB6F" w14:textId="77777777" w:rsidR="004927A6" w:rsidRDefault="004927A6" w:rsidP="00AC131D">
      <w:pPr>
        <w:spacing w:line="240" w:lineRule="auto"/>
        <w:jc w:val="left"/>
        <w:rPr>
          <w:rStyle w:val="Hyperlink"/>
          <w:b/>
          <w:bCs/>
          <w:color w:val="auto"/>
          <w:u w:val="none"/>
          <w:lang w:eastAsia="zh-TW"/>
        </w:rPr>
      </w:pPr>
    </w:p>
    <w:p w14:paraId="260DE87A" w14:textId="55E1B201" w:rsidR="004927A6" w:rsidRPr="00984C8B" w:rsidRDefault="0060298E" w:rsidP="004927A6">
      <w:pPr>
        <w:rPr>
          <w:sz w:val="18"/>
          <w:szCs w:val="18"/>
          <w:lang w:eastAsia="zh-TW"/>
        </w:rPr>
      </w:pPr>
      <w:r w:rsidRPr="00984C8B">
        <w:rPr>
          <w:rStyle w:val="AboutandContactHeadline"/>
          <w:rFonts w:hint="eastAsia"/>
          <w:lang w:eastAsia="zh-TW"/>
        </w:rPr>
        <w:t>關於漢高</w:t>
      </w:r>
    </w:p>
    <w:p w14:paraId="7E9C6283" w14:textId="62AC7477" w:rsidR="004927A6" w:rsidRPr="00984C8B" w:rsidRDefault="0060298E" w:rsidP="004927A6">
      <w:pPr>
        <w:rPr>
          <w:rStyle w:val="AboutandContactBody"/>
          <w:lang w:eastAsia="zh-TW"/>
        </w:rPr>
      </w:pPr>
      <w:r w:rsidRPr="00984C8B">
        <w:rPr>
          <w:rStyle w:val="AboutandContactBody"/>
          <w:rFonts w:hint="eastAsia"/>
          <w:lang w:eastAsia="zh-TW"/>
        </w:rPr>
        <w:t>漢高憑藉其品牌、創新和技術，在全球工業和消費品領域中擁有領先的市場地位。漢高粘合劑技術業務部是全球粘合劑、密封劑和功能性塗層市場的領導者。漢高消費品牌在各國市場和品類佔據領先地位，在洗滌劑及家用護理和美髮領域尤為突出。樂泰（</w:t>
      </w:r>
      <w:r w:rsidRPr="00984C8B">
        <w:rPr>
          <w:rStyle w:val="AboutandContactBody"/>
          <w:lang w:eastAsia="zh-TW"/>
        </w:rPr>
        <w:t>Loctite</w:t>
      </w:r>
      <w:r w:rsidRPr="00984C8B">
        <w:rPr>
          <w:rStyle w:val="AboutandContactBody"/>
          <w:rFonts w:hint="eastAsia"/>
          <w:lang w:eastAsia="zh-TW"/>
        </w:rPr>
        <w:t>）、寶瑩（</w:t>
      </w:r>
      <w:r w:rsidRPr="00984C8B">
        <w:rPr>
          <w:rStyle w:val="AboutandContactBody"/>
          <w:lang w:eastAsia="zh-TW"/>
        </w:rPr>
        <w:t xml:space="preserve"> Persil</w:t>
      </w:r>
      <w:r w:rsidRPr="00984C8B">
        <w:rPr>
          <w:rStyle w:val="AboutandContactBody"/>
          <w:rFonts w:hint="eastAsia"/>
          <w:lang w:eastAsia="zh-TW"/>
        </w:rPr>
        <w:t>）和施華蔻（</w:t>
      </w:r>
      <w:r w:rsidRPr="00984C8B">
        <w:rPr>
          <w:rStyle w:val="AboutandContactBody"/>
          <w:lang w:eastAsia="zh-TW"/>
        </w:rPr>
        <w:t>Schwarzkopf</w:t>
      </w:r>
      <w:r w:rsidRPr="00984C8B">
        <w:rPr>
          <w:rStyle w:val="AboutandContactBody"/>
          <w:rFonts w:hint="eastAsia"/>
          <w:lang w:eastAsia="zh-TW"/>
        </w:rPr>
        <w:t>）是公司的三大核心品牌。</w:t>
      </w:r>
      <w:r w:rsidRPr="00984C8B">
        <w:rPr>
          <w:rStyle w:val="AboutandContactBody"/>
          <w:lang w:eastAsia="zh-TW"/>
        </w:rPr>
        <w:t>2023</w:t>
      </w:r>
      <w:r w:rsidRPr="00984C8B">
        <w:rPr>
          <w:rStyle w:val="AboutandContactBody"/>
          <w:rFonts w:hint="eastAsia"/>
          <w:lang w:eastAsia="zh-TW"/>
        </w:rPr>
        <w:t>財年，漢高實現銷售額逾</w:t>
      </w:r>
      <w:r w:rsidRPr="00984C8B">
        <w:rPr>
          <w:rStyle w:val="AboutandContactBody"/>
          <w:lang w:eastAsia="zh-TW"/>
        </w:rPr>
        <w:t>215</w:t>
      </w:r>
      <w:r w:rsidRPr="00984C8B">
        <w:rPr>
          <w:rStyle w:val="AboutandContactBody"/>
          <w:rFonts w:hint="eastAsia"/>
          <w:lang w:eastAsia="zh-TW"/>
        </w:rPr>
        <w:t>億歐元，調整後營業利潤約為</w:t>
      </w:r>
      <w:r w:rsidRPr="00984C8B">
        <w:rPr>
          <w:rStyle w:val="AboutandContactBody"/>
          <w:lang w:eastAsia="zh-TW"/>
        </w:rPr>
        <w:t>26</w:t>
      </w:r>
      <w:r w:rsidRPr="00984C8B">
        <w:rPr>
          <w:rStyle w:val="AboutandContactBody"/>
          <w:rFonts w:hint="eastAsia"/>
          <w:lang w:eastAsia="zh-TW"/>
        </w:rPr>
        <w:t>億歐元。漢高的優先股已列入德國</w:t>
      </w:r>
      <w:r w:rsidRPr="00984C8B">
        <w:rPr>
          <w:rStyle w:val="AboutandContactBody"/>
          <w:lang w:eastAsia="zh-TW"/>
        </w:rPr>
        <w:t>DAX</w:t>
      </w:r>
      <w:r w:rsidRPr="00984C8B">
        <w:rPr>
          <w:rStyle w:val="AboutandContactBody"/>
          <w:rFonts w:hint="eastAsia"/>
          <w:lang w:eastAsia="zh-TW"/>
        </w:rPr>
        <w:t>指數。</w:t>
      </w:r>
      <w:r w:rsidR="000A1711">
        <w:rPr>
          <w:rStyle w:val="AboutandContactBody"/>
          <w:rFonts w:hint="eastAsia"/>
          <w:lang w:eastAsia="zh-TW"/>
        </w:rPr>
        <w:t>永續</w:t>
      </w:r>
      <w:r w:rsidRPr="00984C8B">
        <w:rPr>
          <w:rStyle w:val="AboutandContactBody"/>
          <w:rFonts w:hint="eastAsia"/>
          <w:lang w:eastAsia="zh-TW"/>
        </w:rPr>
        <w:t>發展在漢高有著悠久的傳統，公司確立有明晰的</w:t>
      </w:r>
      <w:r w:rsidR="000A1711">
        <w:rPr>
          <w:rStyle w:val="AboutandContactBody"/>
          <w:rFonts w:hint="eastAsia"/>
          <w:lang w:eastAsia="zh-TW"/>
        </w:rPr>
        <w:t>永續</w:t>
      </w:r>
      <w:r w:rsidRPr="00984C8B">
        <w:rPr>
          <w:rStyle w:val="AboutandContactBody"/>
          <w:rFonts w:hint="eastAsia"/>
          <w:lang w:eastAsia="zh-TW"/>
        </w:rPr>
        <w:t>發展</w:t>
      </w:r>
      <w:r w:rsidR="00B6538F">
        <w:rPr>
          <w:rStyle w:val="AboutandContactBody"/>
          <w:rFonts w:hint="eastAsia"/>
          <w:lang w:eastAsia="zh-TW"/>
        </w:rPr>
        <w:t>策略</w:t>
      </w:r>
      <w:r w:rsidRPr="00984C8B">
        <w:rPr>
          <w:rStyle w:val="AboutandContactBody"/>
          <w:rFonts w:hint="eastAsia"/>
          <w:lang w:eastAsia="zh-TW"/>
        </w:rPr>
        <w:t>和具體目標。成立于</w:t>
      </w:r>
      <w:r w:rsidRPr="00984C8B">
        <w:rPr>
          <w:rStyle w:val="AboutandContactBody"/>
          <w:lang w:eastAsia="zh-TW"/>
        </w:rPr>
        <w:t>1876</w:t>
      </w:r>
      <w:r w:rsidRPr="00984C8B">
        <w:rPr>
          <w:rStyle w:val="AboutandContactBody"/>
          <w:rFonts w:hint="eastAsia"/>
          <w:lang w:eastAsia="zh-TW"/>
        </w:rPr>
        <w:t>年，漢高如今在全球範圍內約有</w:t>
      </w:r>
      <w:r w:rsidRPr="00984C8B">
        <w:rPr>
          <w:rStyle w:val="AboutandContactBody"/>
          <w:lang w:eastAsia="zh-TW"/>
        </w:rPr>
        <w:t>4.8</w:t>
      </w:r>
      <w:r w:rsidRPr="00984C8B">
        <w:rPr>
          <w:rStyle w:val="AboutandContactBody"/>
          <w:rFonts w:hint="eastAsia"/>
          <w:lang w:eastAsia="zh-TW"/>
        </w:rPr>
        <w:t>萬名員工，在強大的企業文化、共同的價值觀與企業目標“</w:t>
      </w:r>
      <w:r w:rsidRPr="00984C8B">
        <w:rPr>
          <w:rStyle w:val="AboutandContactBody"/>
          <w:lang w:eastAsia="zh-TW"/>
        </w:rPr>
        <w:t>Pioneers at heart for the good of generations</w:t>
      </w:r>
      <w:r w:rsidRPr="00984C8B">
        <w:rPr>
          <w:rStyle w:val="AboutandContactBody"/>
          <w:rFonts w:hint="eastAsia"/>
          <w:lang w:eastAsia="zh-TW"/>
        </w:rPr>
        <w:t>”的引領下，融合為一支多元化的團隊。更多資訊，敬請訪問</w:t>
      </w:r>
      <w:r w:rsidRPr="00984C8B">
        <w:rPr>
          <w:rStyle w:val="AboutandContactBody"/>
          <w:lang w:eastAsia="zh-TW"/>
        </w:rPr>
        <w:t xml:space="preserve"> </w:t>
      </w:r>
      <w:hyperlink r:id="rId12" w:history="1">
        <w:r w:rsidRPr="00984C8B">
          <w:rPr>
            <w:rStyle w:val="Hyperlink"/>
            <w:lang w:eastAsia="zh-TW"/>
          </w:rPr>
          <w:t>www.henkel.com</w:t>
        </w:r>
      </w:hyperlink>
      <w:r w:rsidR="004927A6" w:rsidRPr="00984C8B">
        <w:rPr>
          <w:rStyle w:val="AboutandContactBody"/>
          <w:rFonts w:hint="eastAsia"/>
          <w:szCs w:val="18"/>
          <w:lang w:eastAsia="zh-TW"/>
        </w:rPr>
        <w:t xml:space="preserve"> </w:t>
      </w:r>
    </w:p>
    <w:p w14:paraId="507C45C2" w14:textId="77777777" w:rsidR="004927A6" w:rsidRPr="00984C8B" w:rsidRDefault="004927A6" w:rsidP="004927A6">
      <w:pPr>
        <w:pStyle w:val="He01Flietext"/>
        <w:rPr>
          <w:sz w:val="20"/>
          <w:szCs w:val="20"/>
          <w:lang w:val="en-US" w:eastAsia="zh-TW"/>
        </w:rPr>
      </w:pPr>
    </w:p>
    <w:p w14:paraId="4A8CFB38" w14:textId="7AA61BA7" w:rsidR="004927A6" w:rsidRPr="00984C8B" w:rsidRDefault="0060298E" w:rsidP="004927A6">
      <w:pPr>
        <w:rPr>
          <w:rFonts w:ascii="SimSun" w:hAnsi="SimSun"/>
          <w:sz w:val="14"/>
          <w:szCs w:val="14"/>
          <w:lang w:eastAsia="zh-TW"/>
        </w:rPr>
      </w:pPr>
      <w:r w:rsidRPr="00984C8B">
        <w:rPr>
          <w:rFonts w:ascii="SimSun" w:hAnsi="SimSun" w:hint="eastAsia"/>
          <w:sz w:val="14"/>
          <w:szCs w:val="14"/>
          <w:lang w:eastAsia="zh-TW"/>
        </w:rPr>
        <w:t>本文件所含提及未來業務發展、財務業績及其他與漢高未來相關的事件或發展的聲明，由此構成前瞻性聲明。前瞻性表述的特點是使用諸如期望、打算、計劃、預測、假設、相信、預計、預期、預見和類似的表述。這些表述乃漢高股份有限及兩合公司管理層基於現有的預測和假設。該等表述在任何情況下都不應該被理解成保證該等預期的準確無誤。漢高股份有限及兩合公司及其關聯公司實際實現的未來業績和結果取決於一系列的風險和不確定性，因此可能與前瞻性表述有明顯差別。很多因素，例如未來的經濟環境和競爭者行為以及市場上其他參與者的行為，均在漢高的控制之外，無法準確預計。漢高不計劃也不承諾更新前瞻性表述。</w:t>
      </w:r>
    </w:p>
    <w:p w14:paraId="1D8E61B9" w14:textId="06767E3F" w:rsidR="004927A6" w:rsidRPr="00984C8B" w:rsidRDefault="0060298E" w:rsidP="004927A6">
      <w:pPr>
        <w:rPr>
          <w:rFonts w:ascii="SimSun" w:hAnsi="SimSun"/>
          <w:sz w:val="14"/>
          <w:szCs w:val="14"/>
          <w:lang w:eastAsia="zh-TW"/>
        </w:rPr>
      </w:pPr>
      <w:r w:rsidRPr="00984C8B">
        <w:rPr>
          <w:rFonts w:ascii="SimSun" w:hAnsi="SimSun" w:hint="eastAsia"/>
          <w:sz w:val="14"/>
          <w:szCs w:val="14"/>
          <w:lang w:eastAsia="zh-TW"/>
        </w:rPr>
        <w:t>本文件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項目的替代性財務計量指標，可能使用不同的計算方法。</w:t>
      </w:r>
    </w:p>
    <w:p w14:paraId="7A47A988" w14:textId="4E24C595" w:rsidR="004927A6" w:rsidRPr="00984C8B" w:rsidRDefault="0060298E" w:rsidP="004927A6">
      <w:pPr>
        <w:rPr>
          <w:rFonts w:ascii="SimSun" w:hAnsi="SimSun"/>
          <w:sz w:val="14"/>
          <w:szCs w:val="14"/>
          <w:lang w:eastAsia="zh-TW"/>
        </w:rPr>
      </w:pPr>
      <w:r w:rsidRPr="00984C8B">
        <w:rPr>
          <w:rFonts w:ascii="SimSun" w:hAnsi="SimSun" w:hint="eastAsia"/>
          <w:sz w:val="14"/>
          <w:szCs w:val="14"/>
          <w:lang w:eastAsia="zh-TW"/>
        </w:rPr>
        <w:t>本文件僅供參考，並不構成任何對證券的投資建議、出售要約或購買要約。</w:t>
      </w:r>
    </w:p>
    <w:p w14:paraId="2A3FB082" w14:textId="77777777" w:rsidR="004927A6" w:rsidRPr="00984C8B" w:rsidRDefault="004927A6" w:rsidP="004927A6">
      <w:pPr>
        <w:rPr>
          <w:rFonts w:ascii="SimSun" w:hAnsi="SimSun"/>
          <w:sz w:val="14"/>
          <w:szCs w:val="14"/>
          <w:lang w:eastAsia="zh-TW"/>
        </w:rPr>
      </w:pPr>
    </w:p>
    <w:p w14:paraId="6863267E" w14:textId="2BF6D642" w:rsidR="004927A6" w:rsidRPr="00984C8B" w:rsidRDefault="0060298E" w:rsidP="004927A6">
      <w:pPr>
        <w:tabs>
          <w:tab w:val="left" w:pos="1080"/>
          <w:tab w:val="left" w:pos="4500"/>
        </w:tabs>
        <w:spacing w:line="264" w:lineRule="auto"/>
        <w:rPr>
          <w:rStyle w:val="AboutandContactBody"/>
          <w:rFonts w:cs="Segoe UI"/>
          <w:b/>
          <w:bCs/>
          <w:szCs w:val="18"/>
        </w:rPr>
      </w:pPr>
      <w:r w:rsidRPr="00984C8B">
        <w:rPr>
          <w:rStyle w:val="AboutandContactBody"/>
          <w:rFonts w:cs="Segoe UI" w:hint="eastAsia"/>
          <w:b/>
          <w:bCs/>
          <w:szCs w:val="18"/>
          <w:lang w:eastAsia="zh-TW"/>
        </w:rPr>
        <w:t>媒體連絡人</w:t>
      </w:r>
    </w:p>
    <w:p w14:paraId="3EC8A39D" w14:textId="77777777" w:rsidR="004927A6" w:rsidRPr="00984C8B" w:rsidRDefault="004927A6" w:rsidP="004927A6">
      <w:pPr>
        <w:tabs>
          <w:tab w:val="left" w:pos="1080"/>
          <w:tab w:val="left" w:pos="4500"/>
        </w:tabs>
        <w:spacing w:line="264" w:lineRule="auto"/>
        <w:rPr>
          <w:rStyle w:val="AboutandContactBody"/>
          <w:rFonts w:cs="Segoe UI"/>
          <w:b/>
          <w:szCs w:val="18"/>
        </w:rPr>
      </w:pPr>
    </w:p>
    <w:p w14:paraId="323990D5" w14:textId="12C0737A" w:rsidR="004927A6" w:rsidRPr="00984C8B" w:rsidRDefault="0060298E" w:rsidP="004927A6">
      <w:pPr>
        <w:tabs>
          <w:tab w:val="left" w:pos="1080"/>
          <w:tab w:val="left" w:pos="4500"/>
        </w:tabs>
        <w:spacing w:line="264" w:lineRule="auto"/>
        <w:rPr>
          <w:rStyle w:val="AboutandContactBody"/>
          <w:rFonts w:cs="Segoe UI"/>
          <w:bCs/>
          <w:szCs w:val="18"/>
        </w:rPr>
      </w:pPr>
      <w:r w:rsidRPr="00984C8B">
        <w:rPr>
          <w:rFonts w:cs="Arial"/>
          <w:b/>
          <w:sz w:val="20"/>
          <w:lang w:val="en-CA" w:eastAsia="zh-TW"/>
        </w:rPr>
        <w:t>Louise Cheung</w:t>
      </w:r>
      <w:r w:rsidRPr="00984C8B">
        <w:rPr>
          <w:rStyle w:val="AboutandContactBody"/>
          <w:rFonts w:cs="Segoe UI"/>
          <w:szCs w:val="18"/>
          <w:lang w:eastAsia="zh-TW"/>
        </w:rPr>
        <w:tab/>
      </w:r>
    </w:p>
    <w:p w14:paraId="65760A34" w14:textId="2BD256BF" w:rsidR="004927A6" w:rsidRPr="00984C8B" w:rsidRDefault="0060298E" w:rsidP="004927A6">
      <w:pPr>
        <w:tabs>
          <w:tab w:val="left" w:pos="709"/>
          <w:tab w:val="left" w:pos="4500"/>
          <w:tab w:val="left" w:pos="5245"/>
        </w:tabs>
        <w:spacing w:line="264" w:lineRule="auto"/>
        <w:rPr>
          <w:rStyle w:val="AboutandContactBody"/>
          <w:rFonts w:cs="Segoe UI"/>
          <w:szCs w:val="18"/>
        </w:rPr>
      </w:pPr>
      <w:r w:rsidRPr="00984C8B">
        <w:rPr>
          <w:rStyle w:val="AboutandContactBody"/>
          <w:rFonts w:cs="Segoe UI" w:hint="eastAsia"/>
          <w:szCs w:val="18"/>
          <w:lang w:eastAsia="zh-TW"/>
        </w:rPr>
        <w:t>電話：</w:t>
      </w:r>
      <w:r w:rsidRPr="00984C8B">
        <w:rPr>
          <w:rStyle w:val="AboutandContactBody"/>
          <w:rFonts w:cs="Segoe UI"/>
          <w:szCs w:val="18"/>
          <w:lang w:eastAsia="zh-TW"/>
        </w:rPr>
        <w:t>+86 21 2891 5152</w:t>
      </w:r>
      <w:r w:rsidRPr="00984C8B">
        <w:rPr>
          <w:rStyle w:val="AboutandContactBody"/>
          <w:rFonts w:cs="Segoe UI"/>
          <w:szCs w:val="18"/>
          <w:lang w:eastAsia="zh-TW"/>
        </w:rPr>
        <w:tab/>
      </w:r>
    </w:p>
    <w:p w14:paraId="7C724A06" w14:textId="09B0F63A" w:rsidR="004927A6" w:rsidRPr="00984C8B" w:rsidRDefault="0060298E" w:rsidP="004927A6">
      <w:pPr>
        <w:rPr>
          <w:rFonts w:cs="Segoe UI"/>
          <w:sz w:val="18"/>
          <w:szCs w:val="18"/>
        </w:rPr>
      </w:pPr>
      <w:r w:rsidRPr="00984C8B">
        <w:rPr>
          <w:rStyle w:val="AboutandContactBody"/>
          <w:rFonts w:cs="Segoe UI" w:hint="eastAsia"/>
          <w:szCs w:val="18"/>
          <w:lang w:eastAsia="zh-TW"/>
        </w:rPr>
        <w:lastRenderedPageBreak/>
        <w:t>郵箱：</w:t>
      </w:r>
      <w:hyperlink r:id="rId13" w:history="1">
        <w:r w:rsidRPr="00984C8B">
          <w:rPr>
            <w:rStyle w:val="Hyperlink"/>
            <w:rFonts w:cs="Segoe UI"/>
            <w:lang w:eastAsia="zh-TW"/>
          </w:rPr>
          <w:t>louise.cheung@henkel.com</w:t>
        </w:r>
      </w:hyperlink>
    </w:p>
    <w:p w14:paraId="478EBFEA" w14:textId="77777777" w:rsidR="004927A6" w:rsidRPr="00984C8B" w:rsidRDefault="004927A6" w:rsidP="004927A6">
      <w:pPr>
        <w:rPr>
          <w:rFonts w:cs="Segoe UI"/>
          <w:sz w:val="18"/>
          <w:szCs w:val="18"/>
        </w:rPr>
      </w:pPr>
    </w:p>
    <w:p w14:paraId="4A655809" w14:textId="44C2365D" w:rsidR="004927A6" w:rsidRPr="00984C8B" w:rsidRDefault="0060298E" w:rsidP="004927A6">
      <w:pPr>
        <w:tabs>
          <w:tab w:val="left" w:pos="851"/>
          <w:tab w:val="left" w:pos="4536"/>
          <w:tab w:val="left" w:pos="4962"/>
          <w:tab w:val="left" w:pos="5387"/>
        </w:tabs>
        <w:spacing w:line="360" w:lineRule="auto"/>
        <w:rPr>
          <w:rFonts w:cs="Arial"/>
          <w:b/>
          <w:sz w:val="20"/>
          <w:szCs w:val="18"/>
        </w:rPr>
      </w:pPr>
      <w:r w:rsidRPr="00984C8B">
        <w:rPr>
          <w:rFonts w:cs="Arial"/>
          <w:b/>
          <w:sz w:val="20"/>
          <w:szCs w:val="18"/>
          <w:lang w:val="en-CA" w:eastAsia="zh-TW"/>
        </w:rPr>
        <w:t>Liki Qin</w:t>
      </w:r>
      <w:r w:rsidRPr="00984C8B">
        <w:rPr>
          <w:rFonts w:cs="Arial" w:hint="eastAsia"/>
          <w:b/>
          <w:sz w:val="20"/>
          <w:szCs w:val="18"/>
          <w:lang w:val="en-CA" w:eastAsia="zh-TW"/>
        </w:rPr>
        <w:t>秦莉佳</w:t>
      </w:r>
      <w:r w:rsidRPr="00984C8B">
        <w:rPr>
          <w:rFonts w:cs="Arial"/>
          <w:b/>
          <w:sz w:val="20"/>
          <w:szCs w:val="18"/>
          <w:lang w:eastAsia="zh-TW"/>
        </w:rPr>
        <w:tab/>
      </w:r>
    </w:p>
    <w:p w14:paraId="2CEF3DEB" w14:textId="75975589" w:rsidR="004927A6" w:rsidRPr="00984C8B" w:rsidRDefault="0060298E" w:rsidP="004927A6">
      <w:pPr>
        <w:tabs>
          <w:tab w:val="left" w:pos="709"/>
          <w:tab w:val="left" w:pos="4500"/>
          <w:tab w:val="left" w:pos="5245"/>
        </w:tabs>
        <w:spacing w:line="264" w:lineRule="auto"/>
        <w:rPr>
          <w:rFonts w:cs="Arial"/>
          <w:color w:val="000000"/>
          <w:sz w:val="20"/>
          <w:szCs w:val="18"/>
          <w:lang w:eastAsia="de-DE"/>
        </w:rPr>
      </w:pPr>
      <w:r w:rsidRPr="00984C8B">
        <w:rPr>
          <w:rStyle w:val="AboutandContactBody"/>
          <w:rFonts w:cs="Segoe UI" w:hint="eastAsia"/>
          <w:lang w:eastAsia="zh-TW"/>
        </w:rPr>
        <w:t>電話</w:t>
      </w:r>
      <w:r w:rsidRPr="00984C8B">
        <w:rPr>
          <w:rStyle w:val="AboutandContactBody"/>
          <w:rFonts w:cs="Segoe UI"/>
          <w:lang w:eastAsia="zh-TW"/>
        </w:rPr>
        <w:t>: +86 21 2891 4386</w:t>
      </w:r>
      <w:r w:rsidRPr="00984C8B">
        <w:rPr>
          <w:rFonts w:cs="Arial"/>
          <w:sz w:val="20"/>
          <w:szCs w:val="18"/>
          <w:lang w:eastAsia="zh-TW"/>
        </w:rPr>
        <w:tab/>
      </w:r>
    </w:p>
    <w:p w14:paraId="71272261" w14:textId="42021B66" w:rsidR="004927A6" w:rsidRPr="00A12BF7" w:rsidRDefault="0060298E" w:rsidP="004927A6">
      <w:pPr>
        <w:tabs>
          <w:tab w:val="left" w:pos="1080"/>
          <w:tab w:val="left" w:pos="4500"/>
        </w:tabs>
        <w:rPr>
          <w:rFonts w:cs="Arial"/>
          <w:sz w:val="18"/>
          <w:szCs w:val="18"/>
          <w:lang w:val="en-CA"/>
        </w:rPr>
      </w:pPr>
      <w:r w:rsidRPr="00984C8B">
        <w:rPr>
          <w:rFonts w:cs="Arial" w:hint="eastAsia"/>
          <w:sz w:val="18"/>
          <w:szCs w:val="18"/>
          <w:lang w:eastAsia="zh-TW"/>
        </w:rPr>
        <w:t>郵件</w:t>
      </w:r>
      <w:r w:rsidRPr="00984C8B">
        <w:rPr>
          <w:rFonts w:cs="Arial"/>
          <w:sz w:val="18"/>
          <w:szCs w:val="18"/>
          <w:lang w:eastAsia="zh-TW"/>
        </w:rPr>
        <w:t xml:space="preserve">: </w:t>
      </w:r>
      <w:hyperlink r:id="rId14" w:history="1">
        <w:r w:rsidRPr="00984C8B">
          <w:rPr>
            <w:rStyle w:val="Hyperlink"/>
            <w:rFonts w:cs="Arial"/>
            <w:lang w:val="en-CA" w:eastAsia="zh-TW"/>
          </w:rPr>
          <w:t>liki.qin@henkel.com</w:t>
        </w:r>
      </w:hyperlink>
    </w:p>
    <w:p w14:paraId="055EE46B" w14:textId="77777777" w:rsidR="004927A6" w:rsidRPr="00FD7B3C" w:rsidRDefault="004927A6" w:rsidP="004927A6">
      <w:pPr>
        <w:rPr>
          <w:rFonts w:ascii="SimSun" w:hAnsi="SimSun"/>
          <w:sz w:val="14"/>
          <w:szCs w:val="14"/>
        </w:rPr>
      </w:pPr>
    </w:p>
    <w:p w14:paraId="246D960B" w14:textId="77777777" w:rsidR="004927A6" w:rsidRPr="002A795E" w:rsidRDefault="004927A6" w:rsidP="004927A6">
      <w:pPr>
        <w:rPr>
          <w:rFonts w:ascii="Arial" w:hAnsi="Arial" w:cs="Arial"/>
        </w:rPr>
      </w:pPr>
    </w:p>
    <w:p w14:paraId="1E0E4F88" w14:textId="77777777" w:rsidR="004927A6" w:rsidRPr="00AC131D" w:rsidRDefault="004927A6" w:rsidP="00AC131D">
      <w:pPr>
        <w:spacing w:line="240" w:lineRule="auto"/>
        <w:jc w:val="left"/>
        <w:rPr>
          <w:rStyle w:val="Hyperlink"/>
          <w:b/>
          <w:bCs/>
          <w:color w:val="auto"/>
          <w:u w:val="none"/>
        </w:rPr>
      </w:pPr>
    </w:p>
    <w:sectPr w:rsidR="004927A6" w:rsidRPr="00AC131D"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8DAF" w14:textId="77777777" w:rsidR="00EC1263" w:rsidRDefault="00EC1263">
      <w:r>
        <w:separator/>
      </w:r>
    </w:p>
  </w:endnote>
  <w:endnote w:type="continuationSeparator" w:id="0">
    <w:p w14:paraId="42D2597E" w14:textId="77777777" w:rsidR="00EC1263" w:rsidRDefault="00EC1263">
      <w:r>
        <w:continuationSeparator/>
      </w:r>
    </w:p>
  </w:endnote>
  <w:endnote w:type="continuationNotice" w:id="1">
    <w:p w14:paraId="53B1FB12" w14:textId="77777777" w:rsidR="00EC1263" w:rsidRDefault="00EC12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27F6" w14:textId="77777777" w:rsidR="0067316A" w:rsidRPr="00D65E91" w:rsidRDefault="0067316A" w:rsidP="0067316A">
    <w:pPr>
      <w:pStyle w:val="Footer"/>
      <w:tabs>
        <w:tab w:val="clear" w:pos="7083"/>
        <w:tab w:val="clear" w:pos="8640"/>
        <w:tab w:val="right" w:pos="9071"/>
      </w:tabs>
      <w:jc w:val="both"/>
    </w:pPr>
    <w:r w:rsidRPr="00D65E91">
      <w:rPr>
        <w:rFonts w:hint="eastAsia"/>
      </w:rPr>
      <w:t>Henkel AG &amp; Co. KGaA</w:t>
    </w:r>
    <w:r w:rsidRPr="00D65E91">
      <w:rPr>
        <w:rFonts w:hint="eastAsia"/>
      </w:rPr>
      <w:tab/>
      <w:t xml:space="preserve">Page </w:t>
    </w:r>
    <w:r w:rsidRPr="00D65E91">
      <w:rPr>
        <w:rFonts w:hint="eastAsia"/>
      </w:rPr>
      <w:fldChar w:fldCharType="begin"/>
    </w:r>
    <w:r w:rsidRPr="00D65E91">
      <w:rPr>
        <w:rFonts w:hint="eastAsia"/>
      </w:rPr>
      <w:instrText xml:space="preserve"> PAGE  \* Arabic  \* MERGEFORMAT </w:instrText>
    </w:r>
    <w:r w:rsidRPr="00D65E91">
      <w:rPr>
        <w:rFonts w:hint="eastAsia"/>
      </w:rPr>
      <w:fldChar w:fldCharType="separate"/>
    </w:r>
    <w:r w:rsidRPr="00D65E91">
      <w:rPr>
        <w:rFonts w:hint="eastAsia"/>
      </w:rPr>
      <w:t>7</w:t>
    </w:r>
    <w:r w:rsidRPr="00D65E91">
      <w:rPr>
        <w:rFonts w:hint="eastAsia"/>
      </w:rPr>
      <w:fldChar w:fldCharType="end"/>
    </w:r>
    <w:r w:rsidRPr="00D65E91">
      <w:rPr>
        <w:rFonts w:hint="eastAsia"/>
      </w:rPr>
      <w:t>/</w:t>
    </w:r>
    <w:r w:rsidR="00142705">
      <w:fldChar w:fldCharType="begin"/>
    </w:r>
    <w:r w:rsidR="00142705">
      <w:instrText>NUMPAGES  \* Arabic  \* MERGEFORMAT</w:instrText>
    </w:r>
    <w:r w:rsidR="00142705">
      <w:fldChar w:fldCharType="separate"/>
    </w:r>
    <w:r w:rsidRPr="00D65E91">
      <w:rPr>
        <w:rFonts w:hint="eastAsia"/>
      </w:rPr>
      <w:t>10</w:t>
    </w:r>
    <w:r w:rsidR="00142705">
      <w:fldChar w:fldCharType="end"/>
    </w:r>
  </w:p>
  <w:p w14:paraId="637D10C9" w14:textId="51BD31D1" w:rsidR="00CF6F33" w:rsidRPr="00D65E91" w:rsidRDefault="00112A28" w:rsidP="00112A28">
    <w:pPr>
      <w:pStyle w:val="Footer"/>
      <w:tabs>
        <w:tab w:val="clear" w:pos="7083"/>
        <w:tab w:val="clear" w:pos="8640"/>
        <w:tab w:val="right" w:pos="9071"/>
      </w:tabs>
      <w:jc w:val="both"/>
    </w:pPr>
    <w:r w:rsidRPr="00D65E91">
      <w:rPr>
        <w:rFonts w:hint="eastAsia"/>
      </w:rPr>
      <w:t>汉高股份有限及两合公司</w:t>
    </w:r>
    <w:r w:rsidRPr="00D65E91">
      <w:rPr>
        <w:rFonts w:hint="eastAsia"/>
      </w:rPr>
      <w:tab/>
    </w:r>
    <w:r w:rsidRPr="00D65E91">
      <w:rPr>
        <w:rFonts w:hint="eastAsia"/>
      </w:rPr>
      <w:t>页码</w:t>
    </w:r>
    <w:r w:rsidRPr="00D65E91">
      <w:fldChar w:fldCharType="begin"/>
    </w:r>
    <w:r w:rsidRPr="00D65E91">
      <w:instrText xml:space="preserve"> PAGE  \* Arabic  \* MERGEFORMAT </w:instrText>
    </w:r>
    <w:r w:rsidRPr="00D65E91">
      <w:fldChar w:fldCharType="separate"/>
    </w:r>
    <w:r w:rsidRPr="00D65E91">
      <w:t>2</w:t>
    </w:r>
    <w:r w:rsidRPr="00D65E91">
      <w:fldChar w:fldCharType="end"/>
    </w:r>
    <w:r w:rsidRPr="00D65E91">
      <w:rPr>
        <w:rFonts w:hint="eastAsia"/>
      </w:rPr>
      <w:t>/</w:t>
    </w:r>
    <w:r w:rsidR="00142705">
      <w:fldChar w:fldCharType="begin"/>
    </w:r>
    <w:r w:rsidR="00142705">
      <w:instrText>NUMPAGES  \* Arabic  \* MERGEFORMAT</w:instrText>
    </w:r>
    <w:r w:rsidR="00142705">
      <w:fldChar w:fldCharType="separate"/>
    </w:r>
    <w:r w:rsidRPr="00D65E91">
      <w:t>2</w:t>
    </w:r>
    <w:r w:rsidR="001427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18DF674" w:rsidR="00CF6F33" w:rsidRPr="00D65E91" w:rsidRDefault="009E5B95" w:rsidP="00992A11">
    <w:pPr>
      <w:pStyle w:val="Footer"/>
    </w:pPr>
    <w:r w:rsidRPr="00D65E91">
      <w:rPr>
        <w:rFonts w:hint="eastAsia"/>
      </w:rPr>
      <w:drawing>
        <wp:inline distT="0" distB="0" distL="0" distR="0" wp14:anchorId="1C787FF5" wp14:editId="07CBB02F">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322E28" w:rsidRPr="00D65E91">
      <w:rPr>
        <w:rFonts w:hint="eastAsia"/>
      </w:rPr>
      <w:t xml:space="preserve"> </w:t>
    </w:r>
    <w:r w:rsidRPr="00D65E91">
      <w:rPr>
        <w:rFonts w:hint="eastAsia"/>
      </w:rPr>
      <w:br/>
    </w:r>
    <w:r w:rsidRPr="00D65E91">
      <w:rPr>
        <w:rFonts w:hint="eastAsia"/>
      </w:rPr>
      <w:t>页码</w:t>
    </w:r>
    <w:r w:rsidR="0067316A" w:rsidRPr="00D65E91">
      <w:fldChar w:fldCharType="begin"/>
    </w:r>
    <w:r w:rsidR="0067316A" w:rsidRPr="00D65E91">
      <w:instrText xml:space="preserve"> PAGE  \* Arabic  \* MERGEFORMAT </w:instrText>
    </w:r>
    <w:r w:rsidR="0067316A" w:rsidRPr="00D65E91">
      <w:fldChar w:fldCharType="separate"/>
    </w:r>
    <w:r w:rsidR="0067316A" w:rsidRPr="00D65E91">
      <w:t>1</w:t>
    </w:r>
    <w:r w:rsidR="0067316A" w:rsidRPr="00D65E91">
      <w:fldChar w:fldCharType="end"/>
    </w:r>
    <w:r w:rsidRPr="00D65E91">
      <w:rPr>
        <w:rFonts w:hint="eastAsia"/>
      </w:rPr>
      <w:t>/</w:t>
    </w:r>
    <w:r w:rsidR="00142705">
      <w:fldChar w:fldCharType="begin"/>
    </w:r>
    <w:r w:rsidR="00142705">
      <w:instrText xml:space="preserve"> NUMPAGES  \* Arabic  \* MERGEFORMAT </w:instrText>
    </w:r>
    <w:r w:rsidR="00142705">
      <w:fldChar w:fldCharType="separate"/>
    </w:r>
    <w:r w:rsidR="0067316A" w:rsidRPr="00D65E91">
      <w:t>10</w:t>
    </w:r>
    <w:r w:rsidR="001427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3A64" w14:textId="77777777" w:rsidR="00EC1263" w:rsidRDefault="00EC1263">
      <w:r>
        <w:separator/>
      </w:r>
    </w:p>
  </w:footnote>
  <w:footnote w:type="continuationSeparator" w:id="0">
    <w:p w14:paraId="06F383FF" w14:textId="77777777" w:rsidR="00EC1263" w:rsidRDefault="00EC1263">
      <w:r>
        <w:continuationSeparator/>
      </w:r>
    </w:p>
  </w:footnote>
  <w:footnote w:type="continuationNotice" w:id="1">
    <w:p w14:paraId="081D85B7" w14:textId="77777777" w:rsidR="00EC1263" w:rsidRDefault="00EC12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5A9C746" w:rsidR="00CF6F33" w:rsidRPr="00D65E91" w:rsidRDefault="0059722C" w:rsidP="00EB46D9">
    <w:pPr>
      <w:pStyle w:val="Header"/>
    </w:pPr>
    <w:r w:rsidRPr="00D65E91">
      <w:rPr>
        <w:rFonts w:hint="eastAsia"/>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65E91">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C32936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D65E91">
      <w:rPr>
        <w:rFonts w:hint="eastAsia"/>
      </w:rPr>
      <w:br/>
    </w:r>
    <w:r w:rsidRPr="00D65E91">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8"/>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572081013">
    <w:abstractNumId w:val="6"/>
  </w:num>
  <w:num w:numId="21" w16cid:durableId="1252617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0A76"/>
    <w:rsid w:val="00002AA4"/>
    <w:rsid w:val="00004F3C"/>
    <w:rsid w:val="000050F2"/>
    <w:rsid w:val="00005267"/>
    <w:rsid w:val="00006346"/>
    <w:rsid w:val="000069EB"/>
    <w:rsid w:val="00006A45"/>
    <w:rsid w:val="000070A8"/>
    <w:rsid w:val="00007CCB"/>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45B0"/>
    <w:rsid w:val="00034F19"/>
    <w:rsid w:val="00035A84"/>
    <w:rsid w:val="00037933"/>
    <w:rsid w:val="00040390"/>
    <w:rsid w:val="00040816"/>
    <w:rsid w:val="00040CC9"/>
    <w:rsid w:val="00041F81"/>
    <w:rsid w:val="000425ED"/>
    <w:rsid w:val="00045CCB"/>
    <w:rsid w:val="000510FC"/>
    <w:rsid w:val="00051555"/>
    <w:rsid w:val="00051E86"/>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82"/>
    <w:rsid w:val="000773D2"/>
    <w:rsid w:val="0007746E"/>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1711"/>
    <w:rsid w:val="000A31D3"/>
    <w:rsid w:val="000A4B52"/>
    <w:rsid w:val="000A50CF"/>
    <w:rsid w:val="000A511E"/>
    <w:rsid w:val="000A55F7"/>
    <w:rsid w:val="000A61DF"/>
    <w:rsid w:val="000A64B3"/>
    <w:rsid w:val="000A6C25"/>
    <w:rsid w:val="000B005C"/>
    <w:rsid w:val="000B10DE"/>
    <w:rsid w:val="000B2E86"/>
    <w:rsid w:val="000B31E4"/>
    <w:rsid w:val="000B471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52F6"/>
    <w:rsid w:val="000D6C67"/>
    <w:rsid w:val="000D738C"/>
    <w:rsid w:val="000E0CAB"/>
    <w:rsid w:val="000E11D9"/>
    <w:rsid w:val="000E1B84"/>
    <w:rsid w:val="000E2F62"/>
    <w:rsid w:val="000E38ED"/>
    <w:rsid w:val="000E45C7"/>
    <w:rsid w:val="000E7F24"/>
    <w:rsid w:val="000F03BE"/>
    <w:rsid w:val="000F1757"/>
    <w:rsid w:val="000F225B"/>
    <w:rsid w:val="000F333E"/>
    <w:rsid w:val="000F41BC"/>
    <w:rsid w:val="000F48E9"/>
    <w:rsid w:val="000F4DAE"/>
    <w:rsid w:val="000F7ADB"/>
    <w:rsid w:val="000F7FAF"/>
    <w:rsid w:val="001000BB"/>
    <w:rsid w:val="0010048F"/>
    <w:rsid w:val="00100D8B"/>
    <w:rsid w:val="00100FC9"/>
    <w:rsid w:val="00101CB5"/>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1625"/>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1DA6"/>
    <w:rsid w:val="00142705"/>
    <w:rsid w:val="00142EFB"/>
    <w:rsid w:val="001438BF"/>
    <w:rsid w:val="001443BD"/>
    <w:rsid w:val="00144A87"/>
    <w:rsid w:val="00144DD5"/>
    <w:rsid w:val="0014545C"/>
    <w:rsid w:val="00145B62"/>
    <w:rsid w:val="00146193"/>
    <w:rsid w:val="00152022"/>
    <w:rsid w:val="00152026"/>
    <w:rsid w:val="00152A41"/>
    <w:rsid w:val="001577E9"/>
    <w:rsid w:val="00157A59"/>
    <w:rsid w:val="0016138C"/>
    <w:rsid w:val="00162D60"/>
    <w:rsid w:val="001640D5"/>
    <w:rsid w:val="00164BE6"/>
    <w:rsid w:val="001653D7"/>
    <w:rsid w:val="001659FB"/>
    <w:rsid w:val="00166F97"/>
    <w:rsid w:val="00172C99"/>
    <w:rsid w:val="001731CE"/>
    <w:rsid w:val="00175C72"/>
    <w:rsid w:val="00177A8C"/>
    <w:rsid w:val="00177B37"/>
    <w:rsid w:val="00180F93"/>
    <w:rsid w:val="00181B06"/>
    <w:rsid w:val="001859AD"/>
    <w:rsid w:val="0018672E"/>
    <w:rsid w:val="00187A15"/>
    <w:rsid w:val="00191458"/>
    <w:rsid w:val="00191DD2"/>
    <w:rsid w:val="00196828"/>
    <w:rsid w:val="00196A14"/>
    <w:rsid w:val="00197E9B"/>
    <w:rsid w:val="001A1185"/>
    <w:rsid w:val="001A1FEB"/>
    <w:rsid w:val="001A3D77"/>
    <w:rsid w:val="001A4C03"/>
    <w:rsid w:val="001A632A"/>
    <w:rsid w:val="001B236E"/>
    <w:rsid w:val="001B3094"/>
    <w:rsid w:val="001B30F7"/>
    <w:rsid w:val="001B31F0"/>
    <w:rsid w:val="001B4862"/>
    <w:rsid w:val="001B5147"/>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5F8"/>
    <w:rsid w:val="001F39FC"/>
    <w:rsid w:val="001F4AC3"/>
    <w:rsid w:val="001F4CAC"/>
    <w:rsid w:val="001F52E0"/>
    <w:rsid w:val="001F590C"/>
    <w:rsid w:val="001F5D69"/>
    <w:rsid w:val="001F7110"/>
    <w:rsid w:val="001F75DB"/>
    <w:rsid w:val="001F773D"/>
    <w:rsid w:val="001F7E96"/>
    <w:rsid w:val="002005F5"/>
    <w:rsid w:val="00200921"/>
    <w:rsid w:val="00202284"/>
    <w:rsid w:val="00202C65"/>
    <w:rsid w:val="0020528D"/>
    <w:rsid w:val="0020543B"/>
    <w:rsid w:val="00205A66"/>
    <w:rsid w:val="002063CF"/>
    <w:rsid w:val="00206613"/>
    <w:rsid w:val="0020756B"/>
    <w:rsid w:val="00207E75"/>
    <w:rsid w:val="00210D86"/>
    <w:rsid w:val="0021158F"/>
    <w:rsid w:val="00212488"/>
    <w:rsid w:val="002129A6"/>
    <w:rsid w:val="0021375B"/>
    <w:rsid w:val="002151DB"/>
    <w:rsid w:val="0021591A"/>
    <w:rsid w:val="00220628"/>
    <w:rsid w:val="00220D35"/>
    <w:rsid w:val="00221A45"/>
    <w:rsid w:val="00221BA0"/>
    <w:rsid w:val="00222DEE"/>
    <w:rsid w:val="002260C7"/>
    <w:rsid w:val="002304D2"/>
    <w:rsid w:val="002338C1"/>
    <w:rsid w:val="00233D04"/>
    <w:rsid w:val="0023494D"/>
    <w:rsid w:val="00234ABD"/>
    <w:rsid w:val="00236491"/>
    <w:rsid w:val="00236C3B"/>
    <w:rsid w:val="00236E2A"/>
    <w:rsid w:val="00237F62"/>
    <w:rsid w:val="00241E10"/>
    <w:rsid w:val="00242A6B"/>
    <w:rsid w:val="0024458B"/>
    <w:rsid w:val="0024586A"/>
    <w:rsid w:val="0024601F"/>
    <w:rsid w:val="002502B2"/>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2A6F"/>
    <w:rsid w:val="0027301C"/>
    <w:rsid w:val="00273099"/>
    <w:rsid w:val="002762D5"/>
    <w:rsid w:val="00281D14"/>
    <w:rsid w:val="00282953"/>
    <w:rsid w:val="00282C13"/>
    <w:rsid w:val="002833D8"/>
    <w:rsid w:val="00285669"/>
    <w:rsid w:val="00286BF6"/>
    <w:rsid w:val="002872FE"/>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A7B37"/>
    <w:rsid w:val="002B03A5"/>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4A4"/>
    <w:rsid w:val="002D5969"/>
    <w:rsid w:val="002D5D1D"/>
    <w:rsid w:val="002D6EFD"/>
    <w:rsid w:val="002D74CF"/>
    <w:rsid w:val="002E0A45"/>
    <w:rsid w:val="002E0B17"/>
    <w:rsid w:val="002E26B4"/>
    <w:rsid w:val="002E3D1C"/>
    <w:rsid w:val="002E4FFB"/>
    <w:rsid w:val="002E6110"/>
    <w:rsid w:val="002E63A7"/>
    <w:rsid w:val="002E650E"/>
    <w:rsid w:val="002E6E2F"/>
    <w:rsid w:val="002E7DED"/>
    <w:rsid w:val="002F0334"/>
    <w:rsid w:val="002F0C03"/>
    <w:rsid w:val="002F2A7B"/>
    <w:rsid w:val="002F4AB2"/>
    <w:rsid w:val="002F5944"/>
    <w:rsid w:val="002F7BC2"/>
    <w:rsid w:val="002F7E11"/>
    <w:rsid w:val="0030037C"/>
    <w:rsid w:val="00301C72"/>
    <w:rsid w:val="00304087"/>
    <w:rsid w:val="003053B8"/>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2E28"/>
    <w:rsid w:val="00325064"/>
    <w:rsid w:val="00325630"/>
    <w:rsid w:val="00325EC9"/>
    <w:rsid w:val="00326D29"/>
    <w:rsid w:val="003279C6"/>
    <w:rsid w:val="0032B295"/>
    <w:rsid w:val="00331A3E"/>
    <w:rsid w:val="0033451C"/>
    <w:rsid w:val="00335660"/>
    <w:rsid w:val="00335FBD"/>
    <w:rsid w:val="00336854"/>
    <w:rsid w:val="0033769B"/>
    <w:rsid w:val="0034015C"/>
    <w:rsid w:val="00341409"/>
    <w:rsid w:val="00341CAE"/>
    <w:rsid w:val="003442F4"/>
    <w:rsid w:val="00344546"/>
    <w:rsid w:val="003455CF"/>
    <w:rsid w:val="00345FA1"/>
    <w:rsid w:val="0034685B"/>
    <w:rsid w:val="0034716E"/>
    <w:rsid w:val="00350CB4"/>
    <w:rsid w:val="00353705"/>
    <w:rsid w:val="00354B07"/>
    <w:rsid w:val="00354C69"/>
    <w:rsid w:val="00355536"/>
    <w:rsid w:val="003562E8"/>
    <w:rsid w:val="003614D7"/>
    <w:rsid w:val="00361E9F"/>
    <w:rsid w:val="00361FB0"/>
    <w:rsid w:val="0036357D"/>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0EC"/>
    <w:rsid w:val="00377CBB"/>
    <w:rsid w:val="00384F62"/>
    <w:rsid w:val="00385438"/>
    <w:rsid w:val="003858E5"/>
    <w:rsid w:val="00385E09"/>
    <w:rsid w:val="00386BA4"/>
    <w:rsid w:val="003877B6"/>
    <w:rsid w:val="00391539"/>
    <w:rsid w:val="003915B0"/>
    <w:rsid w:val="003921B7"/>
    <w:rsid w:val="00393887"/>
    <w:rsid w:val="00393F1B"/>
    <w:rsid w:val="00394C6B"/>
    <w:rsid w:val="0039610B"/>
    <w:rsid w:val="00397C2B"/>
    <w:rsid w:val="00397C90"/>
    <w:rsid w:val="003A0961"/>
    <w:rsid w:val="003A290F"/>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682"/>
    <w:rsid w:val="003D4AD2"/>
    <w:rsid w:val="003D5E11"/>
    <w:rsid w:val="003D73C0"/>
    <w:rsid w:val="003E031D"/>
    <w:rsid w:val="003E1343"/>
    <w:rsid w:val="003E6849"/>
    <w:rsid w:val="003E7305"/>
    <w:rsid w:val="003F0C1C"/>
    <w:rsid w:val="003F11AB"/>
    <w:rsid w:val="003F1AF3"/>
    <w:rsid w:val="003F25E4"/>
    <w:rsid w:val="003F4743"/>
    <w:rsid w:val="003F4804"/>
    <w:rsid w:val="003F4AAA"/>
    <w:rsid w:val="003F4D8D"/>
    <w:rsid w:val="003F66A4"/>
    <w:rsid w:val="003F750F"/>
    <w:rsid w:val="00401508"/>
    <w:rsid w:val="00401688"/>
    <w:rsid w:val="004024D9"/>
    <w:rsid w:val="0040257E"/>
    <w:rsid w:val="0040386D"/>
    <w:rsid w:val="00404188"/>
    <w:rsid w:val="00406435"/>
    <w:rsid w:val="004066F9"/>
    <w:rsid w:val="00406CBE"/>
    <w:rsid w:val="00406E1E"/>
    <w:rsid w:val="004073DC"/>
    <w:rsid w:val="004128C1"/>
    <w:rsid w:val="004137C0"/>
    <w:rsid w:val="004138F3"/>
    <w:rsid w:val="00417640"/>
    <w:rsid w:val="00421F20"/>
    <w:rsid w:val="00423B63"/>
    <w:rsid w:val="0042630F"/>
    <w:rsid w:val="00427BEA"/>
    <w:rsid w:val="00427EDC"/>
    <w:rsid w:val="00430120"/>
    <w:rsid w:val="004313E7"/>
    <w:rsid w:val="00432542"/>
    <w:rsid w:val="004339B2"/>
    <w:rsid w:val="00436CCB"/>
    <w:rsid w:val="00437BB5"/>
    <w:rsid w:val="00440223"/>
    <w:rsid w:val="00444A70"/>
    <w:rsid w:val="0044763B"/>
    <w:rsid w:val="00452696"/>
    <w:rsid w:val="00453F32"/>
    <w:rsid w:val="00454597"/>
    <w:rsid w:val="00454665"/>
    <w:rsid w:val="00456A53"/>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6830"/>
    <w:rsid w:val="0047696E"/>
    <w:rsid w:val="004770F6"/>
    <w:rsid w:val="004812D2"/>
    <w:rsid w:val="00483617"/>
    <w:rsid w:val="00483B28"/>
    <w:rsid w:val="004858E1"/>
    <w:rsid w:val="00485EF2"/>
    <w:rsid w:val="004864A1"/>
    <w:rsid w:val="00486D3B"/>
    <w:rsid w:val="0048769E"/>
    <w:rsid w:val="00490A03"/>
    <w:rsid w:val="00490B0D"/>
    <w:rsid w:val="00490E5D"/>
    <w:rsid w:val="0049251E"/>
    <w:rsid w:val="004927A6"/>
    <w:rsid w:val="00492B0A"/>
    <w:rsid w:val="00492D88"/>
    <w:rsid w:val="00493327"/>
    <w:rsid w:val="0049382E"/>
    <w:rsid w:val="00493B38"/>
    <w:rsid w:val="00494DBE"/>
    <w:rsid w:val="00495CE6"/>
    <w:rsid w:val="00497524"/>
    <w:rsid w:val="00497D5E"/>
    <w:rsid w:val="004A144D"/>
    <w:rsid w:val="004A18C6"/>
    <w:rsid w:val="004A1A89"/>
    <w:rsid w:val="004A1D27"/>
    <w:rsid w:val="004A323C"/>
    <w:rsid w:val="004A4662"/>
    <w:rsid w:val="004A5A76"/>
    <w:rsid w:val="004B0801"/>
    <w:rsid w:val="004B1117"/>
    <w:rsid w:val="004B1A6B"/>
    <w:rsid w:val="004B1FC8"/>
    <w:rsid w:val="004B2886"/>
    <w:rsid w:val="004B339A"/>
    <w:rsid w:val="004B54E8"/>
    <w:rsid w:val="004B773C"/>
    <w:rsid w:val="004C0138"/>
    <w:rsid w:val="004C0686"/>
    <w:rsid w:val="004C0BFD"/>
    <w:rsid w:val="004C12E8"/>
    <w:rsid w:val="004C130C"/>
    <w:rsid w:val="004C1578"/>
    <w:rsid w:val="004C174B"/>
    <w:rsid w:val="004C286B"/>
    <w:rsid w:val="004C33BA"/>
    <w:rsid w:val="004C47EA"/>
    <w:rsid w:val="004C4FEB"/>
    <w:rsid w:val="004C538F"/>
    <w:rsid w:val="004C6570"/>
    <w:rsid w:val="004C678C"/>
    <w:rsid w:val="004C6B79"/>
    <w:rsid w:val="004C7345"/>
    <w:rsid w:val="004D059B"/>
    <w:rsid w:val="004D0844"/>
    <w:rsid w:val="004D09E8"/>
    <w:rsid w:val="004D09F9"/>
    <w:rsid w:val="004D0E64"/>
    <w:rsid w:val="004D304E"/>
    <w:rsid w:val="004D4543"/>
    <w:rsid w:val="004D48A8"/>
    <w:rsid w:val="004D4CB6"/>
    <w:rsid w:val="004D4DCB"/>
    <w:rsid w:val="004E0907"/>
    <w:rsid w:val="004E20CF"/>
    <w:rsid w:val="004E2324"/>
    <w:rsid w:val="004E28C9"/>
    <w:rsid w:val="004E3341"/>
    <w:rsid w:val="004E4F78"/>
    <w:rsid w:val="004E5124"/>
    <w:rsid w:val="004E735E"/>
    <w:rsid w:val="004E7BE2"/>
    <w:rsid w:val="004E7E3A"/>
    <w:rsid w:val="004F10C1"/>
    <w:rsid w:val="004F1C5E"/>
    <w:rsid w:val="004F3E47"/>
    <w:rsid w:val="004F4CC8"/>
    <w:rsid w:val="004F4F5A"/>
    <w:rsid w:val="004F51FF"/>
    <w:rsid w:val="004F56E7"/>
    <w:rsid w:val="004F5AD9"/>
    <w:rsid w:val="004F699F"/>
    <w:rsid w:val="00500955"/>
    <w:rsid w:val="0050159C"/>
    <w:rsid w:val="005018C2"/>
    <w:rsid w:val="005022B7"/>
    <w:rsid w:val="00502E62"/>
    <w:rsid w:val="00506B8A"/>
    <w:rsid w:val="005110D3"/>
    <w:rsid w:val="00512EB8"/>
    <w:rsid w:val="00520A65"/>
    <w:rsid w:val="00521891"/>
    <w:rsid w:val="005218B8"/>
    <w:rsid w:val="0052212B"/>
    <w:rsid w:val="005221A8"/>
    <w:rsid w:val="005230C7"/>
    <w:rsid w:val="0052367C"/>
    <w:rsid w:val="0052625A"/>
    <w:rsid w:val="005266EA"/>
    <w:rsid w:val="00527072"/>
    <w:rsid w:val="0053001D"/>
    <w:rsid w:val="00533318"/>
    <w:rsid w:val="00533DCC"/>
    <w:rsid w:val="00534B46"/>
    <w:rsid w:val="00534CE8"/>
    <w:rsid w:val="00535018"/>
    <w:rsid w:val="00535180"/>
    <w:rsid w:val="005355DB"/>
    <w:rsid w:val="00535866"/>
    <w:rsid w:val="005358D7"/>
    <w:rsid w:val="00540358"/>
    <w:rsid w:val="00540A05"/>
    <w:rsid w:val="00540D47"/>
    <w:rsid w:val="005428D7"/>
    <w:rsid w:val="00542D43"/>
    <w:rsid w:val="00543E0E"/>
    <w:rsid w:val="00544504"/>
    <w:rsid w:val="005463C3"/>
    <w:rsid w:val="005465A3"/>
    <w:rsid w:val="00547C7C"/>
    <w:rsid w:val="005506D5"/>
    <w:rsid w:val="00550864"/>
    <w:rsid w:val="00550B92"/>
    <w:rsid w:val="00551D6C"/>
    <w:rsid w:val="00552F86"/>
    <w:rsid w:val="00553580"/>
    <w:rsid w:val="005550A8"/>
    <w:rsid w:val="0055571E"/>
    <w:rsid w:val="00556F67"/>
    <w:rsid w:val="00557849"/>
    <w:rsid w:val="00563009"/>
    <w:rsid w:val="005635B7"/>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B6AEB"/>
    <w:rsid w:val="005C2D0E"/>
    <w:rsid w:val="005C5A83"/>
    <w:rsid w:val="005C7112"/>
    <w:rsid w:val="005D0561"/>
    <w:rsid w:val="005D0AD9"/>
    <w:rsid w:val="005D1A67"/>
    <w:rsid w:val="005D1C91"/>
    <w:rsid w:val="005D22F6"/>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298E"/>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6654A"/>
    <w:rsid w:val="00672382"/>
    <w:rsid w:val="0067316A"/>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1554"/>
    <w:rsid w:val="006B359D"/>
    <w:rsid w:val="006B47EE"/>
    <w:rsid w:val="006B499F"/>
    <w:rsid w:val="006B54C6"/>
    <w:rsid w:val="006B617F"/>
    <w:rsid w:val="006C1FB8"/>
    <w:rsid w:val="006C28CB"/>
    <w:rsid w:val="006C2BB0"/>
    <w:rsid w:val="006C33BE"/>
    <w:rsid w:val="006C4B3D"/>
    <w:rsid w:val="006C5B53"/>
    <w:rsid w:val="006C757C"/>
    <w:rsid w:val="006C7712"/>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19F"/>
    <w:rsid w:val="006E5BDA"/>
    <w:rsid w:val="006E7AC9"/>
    <w:rsid w:val="006F0648"/>
    <w:rsid w:val="006F0FC7"/>
    <w:rsid w:val="006F1BEC"/>
    <w:rsid w:val="006F2B29"/>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28C0"/>
    <w:rsid w:val="0071348C"/>
    <w:rsid w:val="00717273"/>
    <w:rsid w:val="00720BC4"/>
    <w:rsid w:val="00720FD4"/>
    <w:rsid w:val="00721072"/>
    <w:rsid w:val="00722F57"/>
    <w:rsid w:val="0072314B"/>
    <w:rsid w:val="00723C6D"/>
    <w:rsid w:val="00724550"/>
    <w:rsid w:val="007246A0"/>
    <w:rsid w:val="00724737"/>
    <w:rsid w:val="00724AF2"/>
    <w:rsid w:val="00730624"/>
    <w:rsid w:val="0073096C"/>
    <w:rsid w:val="0073100D"/>
    <w:rsid w:val="00731368"/>
    <w:rsid w:val="00731C55"/>
    <w:rsid w:val="00733429"/>
    <w:rsid w:val="00733A46"/>
    <w:rsid w:val="00735E2D"/>
    <w:rsid w:val="00736DDC"/>
    <w:rsid w:val="00736F2C"/>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58F3"/>
    <w:rsid w:val="007661FA"/>
    <w:rsid w:val="00766EA2"/>
    <w:rsid w:val="00767034"/>
    <w:rsid w:val="007712DB"/>
    <w:rsid w:val="00772188"/>
    <w:rsid w:val="0077222A"/>
    <w:rsid w:val="00773909"/>
    <w:rsid w:val="0077411B"/>
    <w:rsid w:val="0077433B"/>
    <w:rsid w:val="00774E1E"/>
    <w:rsid w:val="0078118A"/>
    <w:rsid w:val="007813D0"/>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2AAD"/>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3F73"/>
    <w:rsid w:val="007C459E"/>
    <w:rsid w:val="007C6C51"/>
    <w:rsid w:val="007D0000"/>
    <w:rsid w:val="007D2A02"/>
    <w:rsid w:val="007D5EA2"/>
    <w:rsid w:val="007D6144"/>
    <w:rsid w:val="007D62A4"/>
    <w:rsid w:val="007D6CE5"/>
    <w:rsid w:val="007D77BC"/>
    <w:rsid w:val="007D7F2E"/>
    <w:rsid w:val="007E0917"/>
    <w:rsid w:val="007E15DC"/>
    <w:rsid w:val="007E1736"/>
    <w:rsid w:val="007E25DD"/>
    <w:rsid w:val="007E2887"/>
    <w:rsid w:val="007E3318"/>
    <w:rsid w:val="007E6EA1"/>
    <w:rsid w:val="007F0F63"/>
    <w:rsid w:val="007F2B1E"/>
    <w:rsid w:val="007F420A"/>
    <w:rsid w:val="007F4590"/>
    <w:rsid w:val="007F62B4"/>
    <w:rsid w:val="007F7DF9"/>
    <w:rsid w:val="00800FD6"/>
    <w:rsid w:val="00801517"/>
    <w:rsid w:val="00804053"/>
    <w:rsid w:val="00804966"/>
    <w:rsid w:val="0080510A"/>
    <w:rsid w:val="0080596A"/>
    <w:rsid w:val="00805CBF"/>
    <w:rsid w:val="008079E2"/>
    <w:rsid w:val="00810AC4"/>
    <w:rsid w:val="0081218E"/>
    <w:rsid w:val="0081228B"/>
    <w:rsid w:val="00813492"/>
    <w:rsid w:val="00813643"/>
    <w:rsid w:val="00813A7E"/>
    <w:rsid w:val="00814AEC"/>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42A3"/>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BF1"/>
    <w:rsid w:val="00880E08"/>
    <w:rsid w:val="00880E72"/>
    <w:rsid w:val="0088176E"/>
    <w:rsid w:val="00881E4D"/>
    <w:rsid w:val="008825EE"/>
    <w:rsid w:val="00882DE4"/>
    <w:rsid w:val="0088313E"/>
    <w:rsid w:val="0088596E"/>
    <w:rsid w:val="00885D26"/>
    <w:rsid w:val="00886C54"/>
    <w:rsid w:val="00886F34"/>
    <w:rsid w:val="008870ED"/>
    <w:rsid w:val="00887749"/>
    <w:rsid w:val="008877FC"/>
    <w:rsid w:val="00887E5A"/>
    <w:rsid w:val="00891D8A"/>
    <w:rsid w:val="0089796A"/>
    <w:rsid w:val="0089799B"/>
    <w:rsid w:val="008A2375"/>
    <w:rsid w:val="008A3AC0"/>
    <w:rsid w:val="008A54B6"/>
    <w:rsid w:val="008A56FE"/>
    <w:rsid w:val="008A6622"/>
    <w:rsid w:val="008A7DEB"/>
    <w:rsid w:val="008B1B65"/>
    <w:rsid w:val="008B3557"/>
    <w:rsid w:val="008B39E0"/>
    <w:rsid w:val="008B4302"/>
    <w:rsid w:val="008B605A"/>
    <w:rsid w:val="008C093B"/>
    <w:rsid w:val="008C0E76"/>
    <w:rsid w:val="008C2665"/>
    <w:rsid w:val="008C3E8C"/>
    <w:rsid w:val="008C5CD8"/>
    <w:rsid w:val="008C6041"/>
    <w:rsid w:val="008C68D0"/>
    <w:rsid w:val="008C74E3"/>
    <w:rsid w:val="008D0936"/>
    <w:rsid w:val="008D403B"/>
    <w:rsid w:val="008D4707"/>
    <w:rsid w:val="008D76C5"/>
    <w:rsid w:val="008E0A04"/>
    <w:rsid w:val="008E0AFA"/>
    <w:rsid w:val="008E131A"/>
    <w:rsid w:val="008E26B4"/>
    <w:rsid w:val="008E2799"/>
    <w:rsid w:val="008E411B"/>
    <w:rsid w:val="008E4F56"/>
    <w:rsid w:val="008E6E28"/>
    <w:rsid w:val="008E75D3"/>
    <w:rsid w:val="008E7E48"/>
    <w:rsid w:val="008F02E9"/>
    <w:rsid w:val="008F080D"/>
    <w:rsid w:val="008F0CE4"/>
    <w:rsid w:val="008F125E"/>
    <w:rsid w:val="008F1CC5"/>
    <w:rsid w:val="008F2B54"/>
    <w:rsid w:val="008F2CC5"/>
    <w:rsid w:val="008F2F3B"/>
    <w:rsid w:val="008F4C1E"/>
    <w:rsid w:val="008F4D2F"/>
    <w:rsid w:val="008F510A"/>
    <w:rsid w:val="008F55A2"/>
    <w:rsid w:val="00900235"/>
    <w:rsid w:val="00900760"/>
    <w:rsid w:val="00900D3C"/>
    <w:rsid w:val="0090495A"/>
    <w:rsid w:val="00906292"/>
    <w:rsid w:val="0090713D"/>
    <w:rsid w:val="00914B5B"/>
    <w:rsid w:val="00917162"/>
    <w:rsid w:val="009172B9"/>
    <w:rsid w:val="009178AA"/>
    <w:rsid w:val="00922F0D"/>
    <w:rsid w:val="00923001"/>
    <w:rsid w:val="0092358D"/>
    <w:rsid w:val="009238BF"/>
    <w:rsid w:val="009251CC"/>
    <w:rsid w:val="009253A9"/>
    <w:rsid w:val="0092714E"/>
    <w:rsid w:val="00927661"/>
    <w:rsid w:val="00931E24"/>
    <w:rsid w:val="009324F0"/>
    <w:rsid w:val="00932AF8"/>
    <w:rsid w:val="0093478F"/>
    <w:rsid w:val="00936465"/>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2EE"/>
    <w:rsid w:val="009577B8"/>
    <w:rsid w:val="00960539"/>
    <w:rsid w:val="009605B1"/>
    <w:rsid w:val="00960CBC"/>
    <w:rsid w:val="009621EE"/>
    <w:rsid w:val="00963A06"/>
    <w:rsid w:val="00964B2B"/>
    <w:rsid w:val="00965192"/>
    <w:rsid w:val="00967631"/>
    <w:rsid w:val="00967DA1"/>
    <w:rsid w:val="00967DD4"/>
    <w:rsid w:val="009700B1"/>
    <w:rsid w:val="00970724"/>
    <w:rsid w:val="00970ECF"/>
    <w:rsid w:val="00971261"/>
    <w:rsid w:val="00971FD4"/>
    <w:rsid w:val="009722CB"/>
    <w:rsid w:val="0097382E"/>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8DD"/>
    <w:rsid w:val="0099195A"/>
    <w:rsid w:val="00991BD2"/>
    <w:rsid w:val="00992407"/>
    <w:rsid w:val="00992A11"/>
    <w:rsid w:val="00994681"/>
    <w:rsid w:val="0099486A"/>
    <w:rsid w:val="009968D8"/>
    <w:rsid w:val="009A0B33"/>
    <w:rsid w:val="009A0E26"/>
    <w:rsid w:val="009A16EC"/>
    <w:rsid w:val="009A22C2"/>
    <w:rsid w:val="009A547B"/>
    <w:rsid w:val="009A727D"/>
    <w:rsid w:val="009A743E"/>
    <w:rsid w:val="009A7CF6"/>
    <w:rsid w:val="009B1335"/>
    <w:rsid w:val="009B1B55"/>
    <w:rsid w:val="009B29B7"/>
    <w:rsid w:val="009B3199"/>
    <w:rsid w:val="009B32AC"/>
    <w:rsid w:val="009B3B37"/>
    <w:rsid w:val="009B63F4"/>
    <w:rsid w:val="009B6C6F"/>
    <w:rsid w:val="009B7D1F"/>
    <w:rsid w:val="009C088E"/>
    <w:rsid w:val="009C17DC"/>
    <w:rsid w:val="009C37AB"/>
    <w:rsid w:val="009C3B3D"/>
    <w:rsid w:val="009C4C7A"/>
    <w:rsid w:val="009C4D35"/>
    <w:rsid w:val="009C5E51"/>
    <w:rsid w:val="009C7B68"/>
    <w:rsid w:val="009D1522"/>
    <w:rsid w:val="009D3919"/>
    <w:rsid w:val="009D3E2E"/>
    <w:rsid w:val="009D4201"/>
    <w:rsid w:val="009D4907"/>
    <w:rsid w:val="009D51F0"/>
    <w:rsid w:val="009D51F7"/>
    <w:rsid w:val="009D676A"/>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3794"/>
    <w:rsid w:val="00A141E9"/>
    <w:rsid w:val="00A15D78"/>
    <w:rsid w:val="00A15EBE"/>
    <w:rsid w:val="00A1705A"/>
    <w:rsid w:val="00A17F5B"/>
    <w:rsid w:val="00A20196"/>
    <w:rsid w:val="00A216E5"/>
    <w:rsid w:val="00A24752"/>
    <w:rsid w:val="00A24BA8"/>
    <w:rsid w:val="00A26744"/>
    <w:rsid w:val="00A26CB6"/>
    <w:rsid w:val="00A30A00"/>
    <w:rsid w:val="00A32F82"/>
    <w:rsid w:val="00A32F8B"/>
    <w:rsid w:val="00A3431E"/>
    <w:rsid w:val="00A34F9F"/>
    <w:rsid w:val="00A36481"/>
    <w:rsid w:val="00A36675"/>
    <w:rsid w:val="00A36A1B"/>
    <w:rsid w:val="00A3756F"/>
    <w:rsid w:val="00A41CC3"/>
    <w:rsid w:val="00A41DBE"/>
    <w:rsid w:val="00A42D6F"/>
    <w:rsid w:val="00A43870"/>
    <w:rsid w:val="00A44642"/>
    <w:rsid w:val="00A4474B"/>
    <w:rsid w:val="00A4540D"/>
    <w:rsid w:val="00A45717"/>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67C"/>
    <w:rsid w:val="00A67A92"/>
    <w:rsid w:val="00A7008F"/>
    <w:rsid w:val="00A70DC6"/>
    <w:rsid w:val="00A74FDC"/>
    <w:rsid w:val="00A77192"/>
    <w:rsid w:val="00A8075D"/>
    <w:rsid w:val="00A8089F"/>
    <w:rsid w:val="00A842D5"/>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270"/>
    <w:rsid w:val="00AB0C08"/>
    <w:rsid w:val="00AB12AC"/>
    <w:rsid w:val="00AB1CB6"/>
    <w:rsid w:val="00AB1D9A"/>
    <w:rsid w:val="00AB4A1F"/>
    <w:rsid w:val="00AB5C61"/>
    <w:rsid w:val="00AC131D"/>
    <w:rsid w:val="00AC3540"/>
    <w:rsid w:val="00AC3D15"/>
    <w:rsid w:val="00AC5055"/>
    <w:rsid w:val="00AD0C22"/>
    <w:rsid w:val="00AD1AD7"/>
    <w:rsid w:val="00AD1AE2"/>
    <w:rsid w:val="00AD3290"/>
    <w:rsid w:val="00AD442C"/>
    <w:rsid w:val="00AD44FE"/>
    <w:rsid w:val="00AD5A37"/>
    <w:rsid w:val="00AD5C7E"/>
    <w:rsid w:val="00AD73BF"/>
    <w:rsid w:val="00AE05A4"/>
    <w:rsid w:val="00AE177E"/>
    <w:rsid w:val="00AE244E"/>
    <w:rsid w:val="00AE25FC"/>
    <w:rsid w:val="00AE400C"/>
    <w:rsid w:val="00AE49F1"/>
    <w:rsid w:val="00AE4A1C"/>
    <w:rsid w:val="00AE4B7A"/>
    <w:rsid w:val="00AE5532"/>
    <w:rsid w:val="00AE74D8"/>
    <w:rsid w:val="00AF0B6F"/>
    <w:rsid w:val="00AF1D69"/>
    <w:rsid w:val="00AF30D0"/>
    <w:rsid w:val="00AF3FEC"/>
    <w:rsid w:val="00AF41FA"/>
    <w:rsid w:val="00AF581E"/>
    <w:rsid w:val="00AF71EB"/>
    <w:rsid w:val="00AF7E8E"/>
    <w:rsid w:val="00B00988"/>
    <w:rsid w:val="00B01405"/>
    <w:rsid w:val="00B04955"/>
    <w:rsid w:val="00B052E8"/>
    <w:rsid w:val="00B057DC"/>
    <w:rsid w:val="00B05CCA"/>
    <w:rsid w:val="00B100C9"/>
    <w:rsid w:val="00B10E8A"/>
    <w:rsid w:val="00B11099"/>
    <w:rsid w:val="00B1118A"/>
    <w:rsid w:val="00B14204"/>
    <w:rsid w:val="00B14271"/>
    <w:rsid w:val="00B16270"/>
    <w:rsid w:val="00B21109"/>
    <w:rsid w:val="00B2128C"/>
    <w:rsid w:val="00B224FF"/>
    <w:rsid w:val="00B22578"/>
    <w:rsid w:val="00B23C16"/>
    <w:rsid w:val="00B23C52"/>
    <w:rsid w:val="00B241A3"/>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538F"/>
    <w:rsid w:val="00B6678B"/>
    <w:rsid w:val="00B7037B"/>
    <w:rsid w:val="00B71798"/>
    <w:rsid w:val="00B719F6"/>
    <w:rsid w:val="00B726D4"/>
    <w:rsid w:val="00B72969"/>
    <w:rsid w:val="00B72ED6"/>
    <w:rsid w:val="00B758FD"/>
    <w:rsid w:val="00B76807"/>
    <w:rsid w:val="00B77D24"/>
    <w:rsid w:val="00B81A6C"/>
    <w:rsid w:val="00B8214F"/>
    <w:rsid w:val="00B829CA"/>
    <w:rsid w:val="00B82B43"/>
    <w:rsid w:val="00B82B48"/>
    <w:rsid w:val="00B85133"/>
    <w:rsid w:val="00B8643A"/>
    <w:rsid w:val="00B86A4F"/>
    <w:rsid w:val="00B93035"/>
    <w:rsid w:val="00B93951"/>
    <w:rsid w:val="00B940EB"/>
    <w:rsid w:val="00B9431C"/>
    <w:rsid w:val="00B95798"/>
    <w:rsid w:val="00B958E8"/>
    <w:rsid w:val="00B97637"/>
    <w:rsid w:val="00B97E4A"/>
    <w:rsid w:val="00BA09B2"/>
    <w:rsid w:val="00BA0F35"/>
    <w:rsid w:val="00BA286D"/>
    <w:rsid w:val="00BA465D"/>
    <w:rsid w:val="00BA52C0"/>
    <w:rsid w:val="00BA5B46"/>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5971"/>
    <w:rsid w:val="00BC6C56"/>
    <w:rsid w:val="00BC6DE2"/>
    <w:rsid w:val="00BC6E62"/>
    <w:rsid w:val="00BD013A"/>
    <w:rsid w:val="00BD2510"/>
    <w:rsid w:val="00BD3A53"/>
    <w:rsid w:val="00BD5A19"/>
    <w:rsid w:val="00BD656A"/>
    <w:rsid w:val="00BD6D1B"/>
    <w:rsid w:val="00BE13AB"/>
    <w:rsid w:val="00BE2403"/>
    <w:rsid w:val="00BE2D0A"/>
    <w:rsid w:val="00BE47D4"/>
    <w:rsid w:val="00BE793A"/>
    <w:rsid w:val="00BE7A0B"/>
    <w:rsid w:val="00BF07D6"/>
    <w:rsid w:val="00BF114D"/>
    <w:rsid w:val="00BF2B82"/>
    <w:rsid w:val="00BF2CEB"/>
    <w:rsid w:val="00BF362A"/>
    <w:rsid w:val="00BF432A"/>
    <w:rsid w:val="00BF5D70"/>
    <w:rsid w:val="00BF64A6"/>
    <w:rsid w:val="00BF6796"/>
    <w:rsid w:val="00BF6D99"/>
    <w:rsid w:val="00BF6E82"/>
    <w:rsid w:val="00C060C7"/>
    <w:rsid w:val="00C06DCC"/>
    <w:rsid w:val="00C07F92"/>
    <w:rsid w:val="00C10EA4"/>
    <w:rsid w:val="00C11D25"/>
    <w:rsid w:val="00C13217"/>
    <w:rsid w:val="00C15BEC"/>
    <w:rsid w:val="00C15DB5"/>
    <w:rsid w:val="00C16AF0"/>
    <w:rsid w:val="00C208E2"/>
    <w:rsid w:val="00C20D11"/>
    <w:rsid w:val="00C20D6E"/>
    <w:rsid w:val="00C21756"/>
    <w:rsid w:val="00C21897"/>
    <w:rsid w:val="00C22054"/>
    <w:rsid w:val="00C2288E"/>
    <w:rsid w:val="00C22B54"/>
    <w:rsid w:val="00C24279"/>
    <w:rsid w:val="00C24C17"/>
    <w:rsid w:val="00C27D0F"/>
    <w:rsid w:val="00C31595"/>
    <w:rsid w:val="00C31B25"/>
    <w:rsid w:val="00C3309D"/>
    <w:rsid w:val="00C3411D"/>
    <w:rsid w:val="00C34357"/>
    <w:rsid w:val="00C34829"/>
    <w:rsid w:val="00C363B8"/>
    <w:rsid w:val="00C3758F"/>
    <w:rsid w:val="00C40B88"/>
    <w:rsid w:val="00C437B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77897"/>
    <w:rsid w:val="00C80467"/>
    <w:rsid w:val="00C808A6"/>
    <w:rsid w:val="00C80C01"/>
    <w:rsid w:val="00C82B81"/>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508"/>
    <w:rsid w:val="00CA2B10"/>
    <w:rsid w:val="00CA3F11"/>
    <w:rsid w:val="00CA5256"/>
    <w:rsid w:val="00CA5564"/>
    <w:rsid w:val="00CB078E"/>
    <w:rsid w:val="00CB18E0"/>
    <w:rsid w:val="00CB3782"/>
    <w:rsid w:val="00CB4D20"/>
    <w:rsid w:val="00CB5B6C"/>
    <w:rsid w:val="00CB74E3"/>
    <w:rsid w:val="00CC00ED"/>
    <w:rsid w:val="00CC052E"/>
    <w:rsid w:val="00CC06E5"/>
    <w:rsid w:val="00CC0B14"/>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33D5"/>
    <w:rsid w:val="00CE4712"/>
    <w:rsid w:val="00CE6073"/>
    <w:rsid w:val="00CE761C"/>
    <w:rsid w:val="00CF4118"/>
    <w:rsid w:val="00CF5D37"/>
    <w:rsid w:val="00CF6353"/>
    <w:rsid w:val="00CF6F33"/>
    <w:rsid w:val="00CF7C7B"/>
    <w:rsid w:val="00D0176E"/>
    <w:rsid w:val="00D02248"/>
    <w:rsid w:val="00D04429"/>
    <w:rsid w:val="00D04B47"/>
    <w:rsid w:val="00D04E37"/>
    <w:rsid w:val="00D063B8"/>
    <w:rsid w:val="00D06825"/>
    <w:rsid w:val="00D07467"/>
    <w:rsid w:val="00D076E6"/>
    <w:rsid w:val="00D10594"/>
    <w:rsid w:val="00D137FE"/>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757A"/>
    <w:rsid w:val="00D51576"/>
    <w:rsid w:val="00D516FB"/>
    <w:rsid w:val="00D519AF"/>
    <w:rsid w:val="00D51CFB"/>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C86"/>
    <w:rsid w:val="00D64EA0"/>
    <w:rsid w:val="00D65E91"/>
    <w:rsid w:val="00D66FC2"/>
    <w:rsid w:val="00D7044E"/>
    <w:rsid w:val="00D704A8"/>
    <w:rsid w:val="00D70930"/>
    <w:rsid w:val="00D70CA5"/>
    <w:rsid w:val="00D72AE6"/>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3FF"/>
    <w:rsid w:val="00D9644B"/>
    <w:rsid w:val="00D97A5B"/>
    <w:rsid w:val="00DA1E18"/>
    <w:rsid w:val="00DA2009"/>
    <w:rsid w:val="00DA296C"/>
    <w:rsid w:val="00DA585A"/>
    <w:rsid w:val="00DA7741"/>
    <w:rsid w:val="00DA7769"/>
    <w:rsid w:val="00DB05B1"/>
    <w:rsid w:val="00DB2823"/>
    <w:rsid w:val="00DB2D74"/>
    <w:rsid w:val="00DB3786"/>
    <w:rsid w:val="00DB3910"/>
    <w:rsid w:val="00DB59E8"/>
    <w:rsid w:val="00DB5A79"/>
    <w:rsid w:val="00DC2465"/>
    <w:rsid w:val="00DC4BCA"/>
    <w:rsid w:val="00DC57ED"/>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BB5"/>
    <w:rsid w:val="00DE7C8B"/>
    <w:rsid w:val="00DE7F97"/>
    <w:rsid w:val="00DF0AAF"/>
    <w:rsid w:val="00DF1010"/>
    <w:rsid w:val="00DF2244"/>
    <w:rsid w:val="00DF334D"/>
    <w:rsid w:val="00DF4E5A"/>
    <w:rsid w:val="00DF53D9"/>
    <w:rsid w:val="00DF5AEA"/>
    <w:rsid w:val="00DF5D49"/>
    <w:rsid w:val="00DF63F6"/>
    <w:rsid w:val="00DF7992"/>
    <w:rsid w:val="00DF7B43"/>
    <w:rsid w:val="00DF7BD0"/>
    <w:rsid w:val="00E003E6"/>
    <w:rsid w:val="00E00C8E"/>
    <w:rsid w:val="00E0219D"/>
    <w:rsid w:val="00E0276A"/>
    <w:rsid w:val="00E0374B"/>
    <w:rsid w:val="00E0632F"/>
    <w:rsid w:val="00E06C36"/>
    <w:rsid w:val="00E071A9"/>
    <w:rsid w:val="00E07D26"/>
    <w:rsid w:val="00E10B28"/>
    <w:rsid w:val="00E10F79"/>
    <w:rsid w:val="00E117FD"/>
    <w:rsid w:val="00E13747"/>
    <w:rsid w:val="00E14758"/>
    <w:rsid w:val="00E21088"/>
    <w:rsid w:val="00E22C48"/>
    <w:rsid w:val="00E23C5E"/>
    <w:rsid w:val="00E23E29"/>
    <w:rsid w:val="00E24632"/>
    <w:rsid w:val="00E25155"/>
    <w:rsid w:val="00E25AEA"/>
    <w:rsid w:val="00E27C2C"/>
    <w:rsid w:val="00E27FCB"/>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2F9"/>
    <w:rsid w:val="00E83724"/>
    <w:rsid w:val="00E84236"/>
    <w:rsid w:val="00E843A4"/>
    <w:rsid w:val="00E8470B"/>
    <w:rsid w:val="00E84C02"/>
    <w:rsid w:val="00E85569"/>
    <w:rsid w:val="00E856AF"/>
    <w:rsid w:val="00E859D9"/>
    <w:rsid w:val="00E86B83"/>
    <w:rsid w:val="00E86D6E"/>
    <w:rsid w:val="00E878FB"/>
    <w:rsid w:val="00E87C64"/>
    <w:rsid w:val="00E90242"/>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2A54"/>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263"/>
    <w:rsid w:val="00EC142D"/>
    <w:rsid w:val="00EC1E16"/>
    <w:rsid w:val="00EC2DD1"/>
    <w:rsid w:val="00EC4BA5"/>
    <w:rsid w:val="00EC52DA"/>
    <w:rsid w:val="00EC6F28"/>
    <w:rsid w:val="00ED0024"/>
    <w:rsid w:val="00ED063D"/>
    <w:rsid w:val="00ED0EA0"/>
    <w:rsid w:val="00ED0F85"/>
    <w:rsid w:val="00ED20B4"/>
    <w:rsid w:val="00ED2643"/>
    <w:rsid w:val="00ED2B5C"/>
    <w:rsid w:val="00ED3269"/>
    <w:rsid w:val="00ED3A18"/>
    <w:rsid w:val="00ED3AB7"/>
    <w:rsid w:val="00ED3C57"/>
    <w:rsid w:val="00ED48DA"/>
    <w:rsid w:val="00ED50D6"/>
    <w:rsid w:val="00EE1A8C"/>
    <w:rsid w:val="00EE1C03"/>
    <w:rsid w:val="00EE3FED"/>
    <w:rsid w:val="00EE4643"/>
    <w:rsid w:val="00EE529F"/>
    <w:rsid w:val="00EE65B6"/>
    <w:rsid w:val="00EE7C86"/>
    <w:rsid w:val="00EF1330"/>
    <w:rsid w:val="00EF15FF"/>
    <w:rsid w:val="00EF31D8"/>
    <w:rsid w:val="00EF4D77"/>
    <w:rsid w:val="00EF55E6"/>
    <w:rsid w:val="00EF5707"/>
    <w:rsid w:val="00EF6A33"/>
    <w:rsid w:val="00EF6F1F"/>
    <w:rsid w:val="00EF70EC"/>
    <w:rsid w:val="00EF7111"/>
    <w:rsid w:val="00EF7D1A"/>
    <w:rsid w:val="00F000B5"/>
    <w:rsid w:val="00F007D1"/>
    <w:rsid w:val="00F02759"/>
    <w:rsid w:val="00F03B49"/>
    <w:rsid w:val="00F0448F"/>
    <w:rsid w:val="00F04E9B"/>
    <w:rsid w:val="00F0716C"/>
    <w:rsid w:val="00F105AE"/>
    <w:rsid w:val="00F108A8"/>
    <w:rsid w:val="00F13319"/>
    <w:rsid w:val="00F14353"/>
    <w:rsid w:val="00F1628B"/>
    <w:rsid w:val="00F16EBE"/>
    <w:rsid w:val="00F22CAC"/>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1DA9"/>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015"/>
    <w:rsid w:val="00F521DE"/>
    <w:rsid w:val="00F54162"/>
    <w:rsid w:val="00F541D4"/>
    <w:rsid w:val="00F553CE"/>
    <w:rsid w:val="00F5565A"/>
    <w:rsid w:val="00F56043"/>
    <w:rsid w:val="00F5664E"/>
    <w:rsid w:val="00F56BD8"/>
    <w:rsid w:val="00F56FA9"/>
    <w:rsid w:val="00F6171A"/>
    <w:rsid w:val="00F62306"/>
    <w:rsid w:val="00F635FC"/>
    <w:rsid w:val="00F63D03"/>
    <w:rsid w:val="00F65A53"/>
    <w:rsid w:val="00F65E2F"/>
    <w:rsid w:val="00F66520"/>
    <w:rsid w:val="00F67385"/>
    <w:rsid w:val="00F67DF1"/>
    <w:rsid w:val="00F7054E"/>
    <w:rsid w:val="00F7137C"/>
    <w:rsid w:val="00F71743"/>
    <w:rsid w:val="00F72A09"/>
    <w:rsid w:val="00F74E67"/>
    <w:rsid w:val="00F7552B"/>
    <w:rsid w:val="00F8138A"/>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4FE"/>
    <w:rsid w:val="00FA1515"/>
    <w:rsid w:val="00FA2E19"/>
    <w:rsid w:val="00FA39FD"/>
    <w:rsid w:val="00FA43C8"/>
    <w:rsid w:val="00FA697F"/>
    <w:rsid w:val="00FB0147"/>
    <w:rsid w:val="00FB0246"/>
    <w:rsid w:val="00FB0F92"/>
    <w:rsid w:val="00FB1368"/>
    <w:rsid w:val="00FB1B41"/>
    <w:rsid w:val="00FB2852"/>
    <w:rsid w:val="00FB2FB3"/>
    <w:rsid w:val="00FB3846"/>
    <w:rsid w:val="00FB4BB1"/>
    <w:rsid w:val="00FB5059"/>
    <w:rsid w:val="00FB5521"/>
    <w:rsid w:val="00FB610D"/>
    <w:rsid w:val="00FB626E"/>
    <w:rsid w:val="00FC4477"/>
    <w:rsid w:val="00FC46FB"/>
    <w:rsid w:val="00FC51FF"/>
    <w:rsid w:val="00FC6630"/>
    <w:rsid w:val="00FC7B66"/>
    <w:rsid w:val="00FD0D94"/>
    <w:rsid w:val="00FD106C"/>
    <w:rsid w:val="00FD2BD3"/>
    <w:rsid w:val="00FD3DEF"/>
    <w:rsid w:val="00FD4CCA"/>
    <w:rsid w:val="00FD58B1"/>
    <w:rsid w:val="00FD6FCB"/>
    <w:rsid w:val="00FD7002"/>
    <w:rsid w:val="00FD7610"/>
    <w:rsid w:val="00FE04BA"/>
    <w:rsid w:val="00FE234B"/>
    <w:rsid w:val="00FE2A9E"/>
    <w:rsid w:val="00FE34B3"/>
    <w:rsid w:val="00FE46B7"/>
    <w:rsid w:val="00FE4CEC"/>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SimSun"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SimSun" w:hAnsi="Arial" w:cs="Arial"/>
      <w:b/>
      <w:bCs/>
      <w:kern w:val="32"/>
      <w:sz w:val="36"/>
      <w:szCs w:val="32"/>
      <w:lang w:val="de-DE"/>
    </w:rPr>
  </w:style>
  <w:style w:type="character" w:styleId="Hyperlink">
    <w:name w:val="Hyperlink"/>
    <w:rsid w:val="00336854"/>
    <w:rPr>
      <w:rFonts w:ascii="Segoe UI" w:eastAsia="SimSun"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SimSun"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eastAsia="SimSun"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SimSun" w:hAnsi="Segoe UI"/>
      <w:sz w:val="18"/>
    </w:rPr>
  </w:style>
  <w:style w:type="character" w:customStyle="1" w:styleId="AboutandContactHeadline">
    <w:name w:val="About and Contact Headline"/>
    <w:basedOn w:val="DefaultParagraphFont"/>
    <w:rsid w:val="00336854"/>
    <w:rPr>
      <w:rFonts w:ascii="Segoe UI" w:eastAsia="SimSun"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eastAsia="SimSun"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eastAsia="SimSun"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cheung@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ki.qi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6</Pages>
  <Words>4912</Words>
  <Characters>943</Characters>
  <Application>Microsoft Office Word</Application>
  <DocSecurity>0</DocSecurity>
  <Lines>7</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5844</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7</cp:revision>
  <cp:lastPrinted>2024-07-31T07:57:00Z</cp:lastPrinted>
  <dcterms:created xsi:type="dcterms:W3CDTF">2024-08-16T02:33:00Z</dcterms:created>
  <dcterms:modified xsi:type="dcterms:W3CDTF">2024-08-16T06:21:00Z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