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5869A" w14:textId="04B07774" w:rsidR="00765289" w:rsidRPr="004A22C7" w:rsidRDefault="00765289" w:rsidP="00765289">
      <w:pPr>
        <w:pStyle w:val="MonthDayYear"/>
        <w:tabs>
          <w:tab w:val="left" w:pos="2469"/>
          <w:tab w:val="right" w:pos="9086"/>
        </w:tabs>
        <w:jc w:val="left"/>
        <w:rPr>
          <w:rFonts w:cs="Segoe UI"/>
          <w:szCs w:val="22"/>
          <w:lang w:val="pl-PL"/>
        </w:rPr>
      </w:pPr>
      <w:r w:rsidRPr="004A22C7">
        <w:rPr>
          <w:rFonts w:cs="Segoe UI"/>
          <w:szCs w:val="22"/>
          <w:lang w:val="pl-PL"/>
        </w:rPr>
        <w:tab/>
      </w:r>
      <w:r w:rsidRPr="004A22C7">
        <w:rPr>
          <w:rFonts w:cs="Segoe UI"/>
          <w:szCs w:val="22"/>
          <w:lang w:val="pl-PL"/>
        </w:rPr>
        <w:tab/>
        <w:t xml:space="preserve"> </w:t>
      </w:r>
      <w:r w:rsidR="00E433CA">
        <w:rPr>
          <w:rFonts w:cs="Segoe UI"/>
          <w:szCs w:val="22"/>
          <w:lang w:val="pl-PL"/>
        </w:rPr>
        <w:t>13</w:t>
      </w:r>
      <w:r w:rsidR="00E433CA" w:rsidRPr="004A22C7">
        <w:rPr>
          <w:rFonts w:cs="Segoe UI"/>
          <w:szCs w:val="22"/>
          <w:lang w:val="pl-PL"/>
        </w:rPr>
        <w:t xml:space="preserve"> </w:t>
      </w:r>
      <w:r>
        <w:rPr>
          <w:rFonts w:cs="Segoe UI"/>
          <w:szCs w:val="22"/>
          <w:lang w:val="pl-PL"/>
        </w:rPr>
        <w:t>sierpnia</w:t>
      </w:r>
      <w:r w:rsidRPr="004A22C7">
        <w:rPr>
          <w:rFonts w:cs="Segoe UI"/>
          <w:szCs w:val="22"/>
          <w:lang w:val="pl-PL"/>
        </w:rPr>
        <w:t xml:space="preserve"> 2024 r.</w:t>
      </w:r>
    </w:p>
    <w:p w14:paraId="26D9783F" w14:textId="77777777" w:rsidR="00A40858" w:rsidRDefault="00A40858" w:rsidP="00765289">
      <w:pPr>
        <w:rPr>
          <w:rFonts w:cs="Segoe UI"/>
          <w:szCs w:val="22"/>
          <w:lang w:val="pl-PL"/>
        </w:rPr>
      </w:pPr>
    </w:p>
    <w:p w14:paraId="22986714" w14:textId="47C3351D" w:rsidR="00765289" w:rsidRPr="0014717B" w:rsidRDefault="00765289" w:rsidP="00765289">
      <w:pPr>
        <w:rPr>
          <w:rFonts w:cs="Segoe UI"/>
          <w:szCs w:val="22"/>
          <w:lang w:val="pl-PL"/>
        </w:rPr>
      </w:pPr>
      <w:r>
        <w:rPr>
          <w:rFonts w:cs="Segoe UI"/>
          <w:szCs w:val="22"/>
          <w:lang w:val="pl-PL"/>
        </w:rPr>
        <w:t>Dobre</w:t>
      </w:r>
      <w:r w:rsidRPr="00565016">
        <w:rPr>
          <w:rFonts w:cs="Segoe UI"/>
          <w:szCs w:val="22"/>
          <w:lang w:val="pl-PL"/>
        </w:rPr>
        <w:t xml:space="preserve"> wyniki za pierwsze półrocze wzmacniają skuteczną realizację strategicznego programu rozwoju</w:t>
      </w:r>
    </w:p>
    <w:p w14:paraId="7EA28C9C" w14:textId="77777777" w:rsidR="00765289" w:rsidRDefault="00765289" w:rsidP="00765289">
      <w:pPr>
        <w:jc w:val="left"/>
        <w:rPr>
          <w:rFonts w:cs="Segoe UI"/>
          <w:b/>
          <w:bCs/>
          <w:color w:val="000000" w:themeColor="text1"/>
          <w:szCs w:val="22"/>
          <w:shd w:val="clear" w:color="auto" w:fill="FFFFFF"/>
          <w:lang w:val="pl-PL"/>
        </w:rPr>
      </w:pPr>
    </w:p>
    <w:p w14:paraId="1C83929E" w14:textId="0665B038" w:rsidR="00986FAF" w:rsidRDefault="00765289" w:rsidP="00986FAF">
      <w:pPr>
        <w:jc w:val="left"/>
        <w:rPr>
          <w:rStyle w:val="Headline"/>
          <w:rFonts w:cs="Segoe UI"/>
          <w:lang w:val="pl-PL"/>
        </w:rPr>
      </w:pPr>
      <w:r w:rsidRPr="00633FA9">
        <w:rPr>
          <w:rStyle w:val="Headline"/>
          <w:rFonts w:cs="Segoe UI"/>
          <w:lang w:val="pl-PL"/>
        </w:rPr>
        <w:t>Henkel osiąga dobrą organiczną dynamikę sprzedaży oraz bardzo silną poprawę zysków w pierwszej połowie 2024 roku</w:t>
      </w:r>
      <w:r w:rsidR="00986FAF">
        <w:rPr>
          <w:rStyle w:val="Headline"/>
          <w:rFonts w:cs="Segoe UI"/>
          <w:lang w:val="pl-PL"/>
        </w:rPr>
        <w:t xml:space="preserve"> </w:t>
      </w:r>
    </w:p>
    <w:p w14:paraId="07AF4002" w14:textId="77B95876" w:rsidR="00765289" w:rsidRPr="00986FAF" w:rsidRDefault="00765289" w:rsidP="00986FAF">
      <w:pPr>
        <w:jc w:val="left"/>
        <w:rPr>
          <w:rFonts w:cs="Segoe UI"/>
          <w:b/>
          <w:bCs/>
          <w:sz w:val="32"/>
          <w:lang w:val="pl-PL"/>
        </w:rPr>
      </w:pPr>
      <w:r w:rsidRPr="00986FAF">
        <w:rPr>
          <w:rFonts w:cs="Segoe UI"/>
          <w:b/>
          <w:szCs w:val="22"/>
          <w:lang w:val="pl-PL"/>
        </w:rPr>
        <w:t xml:space="preserve"> </w:t>
      </w:r>
    </w:p>
    <w:p w14:paraId="546BE6F0" w14:textId="7DCA2280" w:rsidR="00986FAF" w:rsidRPr="00986FAF" w:rsidRDefault="00986FAF" w:rsidP="00302FA9">
      <w:pPr>
        <w:pStyle w:val="ListParagraph"/>
        <w:numPr>
          <w:ilvl w:val="0"/>
          <w:numId w:val="1"/>
        </w:numPr>
        <w:rPr>
          <w:rFonts w:cs="Segoe UI"/>
          <w:b/>
          <w:bCs/>
          <w:sz w:val="32"/>
          <w:lang w:val="pl-PL"/>
        </w:rPr>
      </w:pPr>
      <w:r w:rsidRPr="00986FAF">
        <w:rPr>
          <w:rFonts w:cs="Segoe UI"/>
          <w:b/>
          <w:szCs w:val="22"/>
          <w:lang w:val="pl-PL"/>
        </w:rPr>
        <w:t>Przychody ze sprzedaży Grupy wzrosły organicznie o 2,9 procent w pierwszej połowie roku do około 10,8 miliarda euro (</w:t>
      </w:r>
      <w:r w:rsidR="00E433CA">
        <w:rPr>
          <w:rFonts w:cs="Segoe UI"/>
          <w:b/>
          <w:szCs w:val="22"/>
          <w:lang w:val="pl-PL"/>
        </w:rPr>
        <w:t>o -</w:t>
      </w:r>
      <w:r w:rsidRPr="00986FAF">
        <w:rPr>
          <w:rFonts w:cs="Segoe UI"/>
          <w:b/>
          <w:szCs w:val="22"/>
          <w:lang w:val="pl-PL"/>
        </w:rPr>
        <w:t>1,0 procent</w:t>
      </w:r>
      <w:r w:rsidR="00E433CA">
        <w:rPr>
          <w:rFonts w:cs="Segoe UI"/>
          <w:b/>
          <w:szCs w:val="22"/>
          <w:lang w:val="pl-PL"/>
        </w:rPr>
        <w:t xml:space="preserve"> w ujęciu nominalnym</w:t>
      </w:r>
      <w:r w:rsidRPr="00986FAF">
        <w:rPr>
          <w:rFonts w:cs="Segoe UI"/>
          <w:b/>
          <w:szCs w:val="22"/>
          <w:lang w:val="pl-PL"/>
        </w:rPr>
        <w:t xml:space="preserve">) – wzrost w obu sektorach biznesowych </w:t>
      </w:r>
    </w:p>
    <w:p w14:paraId="69374479" w14:textId="23DFDD1F" w:rsidR="00765289" w:rsidRPr="00A40858" w:rsidRDefault="00765289" w:rsidP="00302FA9">
      <w:pPr>
        <w:pStyle w:val="ListParagraph"/>
        <w:numPr>
          <w:ilvl w:val="0"/>
          <w:numId w:val="1"/>
        </w:numPr>
        <w:spacing w:after="80"/>
        <w:ind w:left="284" w:right="-108" w:hanging="357"/>
        <w:contextualSpacing w:val="0"/>
        <w:rPr>
          <w:rFonts w:cs="Segoe UI"/>
          <w:b/>
          <w:szCs w:val="22"/>
          <w:lang w:val="pl-PL"/>
        </w:rPr>
      </w:pPr>
      <w:r w:rsidRPr="00A40858">
        <w:rPr>
          <w:rFonts w:cs="Segoe UI"/>
          <w:b/>
          <w:szCs w:val="22"/>
          <w:lang w:val="pl-PL"/>
        </w:rPr>
        <w:t xml:space="preserve">Zysk </w:t>
      </w:r>
      <w:r w:rsidR="00E433CA">
        <w:rPr>
          <w:rFonts w:cs="Segoe UI"/>
          <w:b/>
          <w:szCs w:val="22"/>
          <w:lang w:val="pl-PL"/>
        </w:rPr>
        <w:t>operacyjny</w:t>
      </w:r>
      <w:r w:rsidRPr="00A40858">
        <w:rPr>
          <w:rFonts w:cs="Segoe UI"/>
          <w:b/>
          <w:szCs w:val="22"/>
          <w:lang w:val="pl-PL"/>
        </w:rPr>
        <w:t xml:space="preserve"> (EBIT)</w:t>
      </w:r>
      <w:r w:rsidR="00E433CA">
        <w:rPr>
          <w:rFonts w:cs="Segoe UI"/>
          <w:b/>
          <w:szCs w:val="22"/>
          <w:lang w:val="pl-PL"/>
        </w:rPr>
        <w:t xml:space="preserve">wzrósł </w:t>
      </w:r>
      <w:r w:rsidRPr="00A40858">
        <w:rPr>
          <w:rFonts w:cs="Segoe UI"/>
          <w:b/>
          <w:szCs w:val="22"/>
          <w:lang w:val="pl-PL"/>
        </w:rPr>
        <w:t>do 1,610 milionów euro (+28,4 procent)</w:t>
      </w:r>
    </w:p>
    <w:p w14:paraId="084AB532" w14:textId="77777777" w:rsidR="00765289" w:rsidRPr="00A40858" w:rsidRDefault="00765289" w:rsidP="00302FA9">
      <w:pPr>
        <w:pStyle w:val="ListParagraph"/>
        <w:numPr>
          <w:ilvl w:val="0"/>
          <w:numId w:val="1"/>
        </w:numPr>
        <w:spacing w:after="80"/>
        <w:ind w:left="284" w:right="-108" w:hanging="357"/>
        <w:contextualSpacing w:val="0"/>
        <w:rPr>
          <w:rFonts w:cs="Segoe UI"/>
          <w:b/>
          <w:szCs w:val="22"/>
          <w:lang w:val="pl-PL"/>
        </w:rPr>
      </w:pPr>
      <w:r w:rsidRPr="00A40858">
        <w:rPr>
          <w:rFonts w:cs="Segoe UI"/>
          <w:b/>
          <w:szCs w:val="22"/>
          <w:lang w:val="pl-PL"/>
        </w:rPr>
        <w:t>Marża EBIT* również znacznie się poprawiła, osiągając 14,9 procent (+340 punktów bazowych)</w:t>
      </w:r>
    </w:p>
    <w:p w14:paraId="3515ED79" w14:textId="2B87B326" w:rsidR="00765289" w:rsidRPr="00A40858" w:rsidRDefault="00765289" w:rsidP="00302FA9">
      <w:pPr>
        <w:pStyle w:val="ListParagraph"/>
        <w:numPr>
          <w:ilvl w:val="0"/>
          <w:numId w:val="1"/>
        </w:numPr>
        <w:spacing w:after="80"/>
        <w:ind w:left="284" w:right="-108" w:hanging="357"/>
        <w:contextualSpacing w:val="0"/>
        <w:rPr>
          <w:rFonts w:cs="Segoe UI"/>
          <w:b/>
          <w:szCs w:val="22"/>
          <w:lang w:val="pl-PL"/>
        </w:rPr>
      </w:pPr>
      <w:r w:rsidRPr="00A40858">
        <w:rPr>
          <w:rFonts w:cs="Segoe UI"/>
          <w:b/>
          <w:szCs w:val="22"/>
          <w:lang w:val="pl-PL"/>
        </w:rPr>
        <w:t>Zysk na akcję uprzywilejowaną (EPS)* wzrósł o około jedną trzecią do 2,78 euro, +32,9 procent przy stałych kursach walut</w:t>
      </w:r>
      <w:r w:rsidR="00E433CA">
        <w:rPr>
          <w:rFonts w:cs="Segoe UI"/>
          <w:b/>
          <w:szCs w:val="22"/>
          <w:lang w:val="pl-PL"/>
        </w:rPr>
        <w:t xml:space="preserve"> </w:t>
      </w:r>
    </w:p>
    <w:p w14:paraId="2543F82D" w14:textId="442E1EDB" w:rsidR="00765289" w:rsidRPr="00A40858" w:rsidRDefault="00277946" w:rsidP="00302FA9">
      <w:pPr>
        <w:pStyle w:val="ListParagraph"/>
        <w:numPr>
          <w:ilvl w:val="0"/>
          <w:numId w:val="1"/>
        </w:numPr>
        <w:spacing w:after="80"/>
        <w:ind w:left="284" w:right="-108"/>
        <w:contextualSpacing w:val="0"/>
        <w:rPr>
          <w:rFonts w:cs="Segoe UI"/>
          <w:b/>
          <w:szCs w:val="22"/>
          <w:lang w:val="pl-PL"/>
        </w:rPr>
      </w:pPr>
      <w:r>
        <w:rPr>
          <w:rFonts w:cs="Segoe UI"/>
          <w:b/>
          <w:szCs w:val="22"/>
          <w:lang w:val="pl-PL"/>
        </w:rPr>
        <w:t>Rachunek przepływów pieniężnych wyniósł</w:t>
      </w:r>
      <w:r w:rsidR="00765289" w:rsidRPr="00A40858">
        <w:rPr>
          <w:rFonts w:cs="Segoe UI"/>
          <w:b/>
          <w:szCs w:val="22"/>
          <w:lang w:val="pl-PL"/>
        </w:rPr>
        <w:t xml:space="preserve"> około 800 milionów euro </w:t>
      </w:r>
    </w:p>
    <w:p w14:paraId="2B9E6A25" w14:textId="5FA43A8A" w:rsidR="00403BE0" w:rsidRDefault="00E433CA" w:rsidP="00403BE0">
      <w:pPr>
        <w:numPr>
          <w:ilvl w:val="0"/>
          <w:numId w:val="1"/>
        </w:numPr>
        <w:shd w:val="clear" w:color="auto" w:fill="FFFFFF"/>
        <w:spacing w:line="240" w:lineRule="auto"/>
        <w:jc w:val="left"/>
        <w:rPr>
          <w:rFonts w:cs="Segoe UI"/>
          <w:b/>
          <w:szCs w:val="22"/>
          <w:lang w:val="pl-PL"/>
        </w:rPr>
      </w:pPr>
      <w:r w:rsidRPr="007B62DB">
        <w:rPr>
          <w:rFonts w:cs="Segoe UI"/>
          <w:b/>
          <w:szCs w:val="22"/>
          <w:lang w:val="pl-PL"/>
        </w:rPr>
        <w:t>Dalszy postęp w realizacji strategicznego planu rozwoju</w:t>
      </w:r>
    </w:p>
    <w:p w14:paraId="0E12A747" w14:textId="77777777" w:rsidR="00403BE0" w:rsidRPr="007B62DB" w:rsidRDefault="00403BE0" w:rsidP="007B62DB">
      <w:pPr>
        <w:shd w:val="clear" w:color="auto" w:fill="FFFFFF"/>
        <w:spacing w:line="240" w:lineRule="auto"/>
        <w:ind w:left="360"/>
        <w:jc w:val="left"/>
        <w:rPr>
          <w:rFonts w:cs="Segoe UI"/>
          <w:b/>
          <w:szCs w:val="22"/>
          <w:lang w:val="pl-PL"/>
        </w:rPr>
      </w:pPr>
    </w:p>
    <w:p w14:paraId="4EC57AD0" w14:textId="16A83740" w:rsidR="00765289" w:rsidRPr="00A40858" w:rsidRDefault="00277946" w:rsidP="00302FA9">
      <w:pPr>
        <w:pStyle w:val="ListParagraph"/>
        <w:numPr>
          <w:ilvl w:val="0"/>
          <w:numId w:val="1"/>
        </w:numPr>
        <w:spacing w:after="80"/>
        <w:ind w:left="284" w:right="-108" w:hanging="357"/>
        <w:contextualSpacing w:val="0"/>
        <w:rPr>
          <w:rFonts w:cs="Segoe UI"/>
          <w:b/>
          <w:szCs w:val="22"/>
          <w:lang w:val="pl-PL"/>
        </w:rPr>
      </w:pPr>
      <w:r w:rsidRPr="00A40858">
        <w:rPr>
          <w:rFonts w:cs="Segoe UI"/>
          <w:b/>
          <w:szCs w:val="22"/>
          <w:lang w:val="pl-PL"/>
        </w:rPr>
        <w:t>Podniesi</w:t>
      </w:r>
      <w:r>
        <w:rPr>
          <w:rFonts w:cs="Segoe UI"/>
          <w:b/>
          <w:szCs w:val="22"/>
          <w:lang w:val="pl-PL"/>
        </w:rPr>
        <w:t>e</w:t>
      </w:r>
      <w:r w:rsidRPr="00A40858">
        <w:rPr>
          <w:rFonts w:cs="Segoe UI"/>
          <w:b/>
          <w:szCs w:val="22"/>
          <w:lang w:val="pl-PL"/>
        </w:rPr>
        <w:t>n</w:t>
      </w:r>
      <w:r>
        <w:rPr>
          <w:rFonts w:cs="Segoe UI"/>
          <w:b/>
          <w:szCs w:val="22"/>
          <w:lang w:val="pl-PL"/>
        </w:rPr>
        <w:t>ie</w:t>
      </w:r>
      <w:r w:rsidRPr="00A40858">
        <w:rPr>
          <w:rFonts w:cs="Segoe UI"/>
          <w:b/>
          <w:szCs w:val="22"/>
          <w:lang w:val="pl-PL"/>
        </w:rPr>
        <w:t xml:space="preserve"> prognoz</w:t>
      </w:r>
      <w:r>
        <w:rPr>
          <w:rFonts w:cs="Segoe UI"/>
          <w:b/>
          <w:szCs w:val="22"/>
          <w:lang w:val="pl-PL"/>
        </w:rPr>
        <w:t>y</w:t>
      </w:r>
      <w:r w:rsidRPr="00A40858">
        <w:rPr>
          <w:rFonts w:cs="Segoe UI"/>
          <w:b/>
          <w:szCs w:val="22"/>
          <w:lang w:val="pl-PL"/>
        </w:rPr>
        <w:t xml:space="preserve"> </w:t>
      </w:r>
      <w:r w:rsidR="00765289" w:rsidRPr="00A40858">
        <w:rPr>
          <w:rFonts w:cs="Segoe UI"/>
          <w:b/>
          <w:szCs w:val="22"/>
          <w:lang w:val="pl-PL"/>
        </w:rPr>
        <w:t>wyników na rok obrotowy 2024 w połowie lipca:</w:t>
      </w:r>
    </w:p>
    <w:p w14:paraId="09055622" w14:textId="77777777" w:rsidR="00765289" w:rsidRPr="00A40858" w:rsidRDefault="00765289" w:rsidP="00302FA9">
      <w:pPr>
        <w:pStyle w:val="He01FlietextAufzhlung2Ebene"/>
        <w:jc w:val="both"/>
        <w:rPr>
          <w:rFonts w:cs="Segoe UI"/>
          <w:lang w:val="pl-PL"/>
        </w:rPr>
      </w:pPr>
      <w:r w:rsidRPr="00A40858">
        <w:rPr>
          <w:rFonts w:cs="Segoe UI"/>
          <w:lang w:val="pl-PL"/>
        </w:rPr>
        <w:t>Organiczny wzrost sprzedaży: 2,5 do 4,5 procent (bez zmian)</w:t>
      </w:r>
    </w:p>
    <w:p w14:paraId="2CC5FE4A" w14:textId="77777777" w:rsidR="00765289" w:rsidRPr="00A40858" w:rsidRDefault="00765289" w:rsidP="00302FA9">
      <w:pPr>
        <w:pStyle w:val="He01FlietextAufzhlung2Ebene"/>
        <w:jc w:val="both"/>
        <w:rPr>
          <w:rFonts w:cs="Segoe UI"/>
          <w:lang w:val="pl-PL"/>
        </w:rPr>
      </w:pPr>
      <w:r w:rsidRPr="00A40858">
        <w:rPr>
          <w:rFonts w:cs="Segoe UI"/>
          <w:lang w:val="pl-PL"/>
        </w:rPr>
        <w:t xml:space="preserve">Skorygowany zwrot ze sprzedaży: 13,5 do 14,5 procent (wcześniej: 13,0 do 14,0 procent) </w:t>
      </w:r>
    </w:p>
    <w:p w14:paraId="42B92F9B" w14:textId="77777777" w:rsidR="00765289" w:rsidRPr="00A40858" w:rsidRDefault="00765289" w:rsidP="00302FA9">
      <w:pPr>
        <w:pStyle w:val="He01FlietextAufzhlung2Ebene"/>
        <w:jc w:val="both"/>
        <w:rPr>
          <w:rFonts w:cs="Segoe UI"/>
          <w:lang w:val="pl-PL"/>
        </w:rPr>
      </w:pPr>
      <w:r w:rsidRPr="00A40858">
        <w:rPr>
          <w:rFonts w:cs="Segoe UI"/>
          <w:lang w:val="pl-PL"/>
        </w:rPr>
        <w:t>Skorygowany zysk na akcję uprzywilejowaną (EPS): wzrost w zakresie od +20,0 do +30,0 procent przy stałych kursach walut (wcześniej: +15,0 do +25,0 procent)</w:t>
      </w:r>
    </w:p>
    <w:p w14:paraId="5564152A" w14:textId="77777777" w:rsidR="00765289" w:rsidRPr="00A40858" w:rsidRDefault="00765289" w:rsidP="00302FA9">
      <w:pPr>
        <w:pStyle w:val="ListParagraph"/>
        <w:numPr>
          <w:ilvl w:val="0"/>
          <w:numId w:val="1"/>
        </w:numPr>
        <w:spacing w:after="80"/>
        <w:ind w:left="284" w:right="-108" w:hanging="357"/>
        <w:contextualSpacing w:val="0"/>
        <w:rPr>
          <w:rFonts w:cs="Segoe UI"/>
          <w:lang w:val="pl-PL"/>
        </w:rPr>
      </w:pPr>
      <w:r w:rsidRPr="00A40858">
        <w:rPr>
          <w:rFonts w:cs="Segoe UI"/>
          <w:b/>
          <w:szCs w:val="22"/>
          <w:lang w:val="pl-PL"/>
        </w:rPr>
        <w:t xml:space="preserve">Ambicje finansowe średnio- i długoterminowe zostaną osiągnięte już w połowie okresu </w:t>
      </w:r>
    </w:p>
    <w:p w14:paraId="7B8CCD83" w14:textId="77777777" w:rsidR="00765289" w:rsidRPr="00A40858" w:rsidRDefault="00765289" w:rsidP="00765289">
      <w:pPr>
        <w:spacing w:after="80"/>
        <w:ind w:left="-73" w:right="-108"/>
        <w:jc w:val="left"/>
        <w:rPr>
          <w:rFonts w:cs="Segoe UI"/>
          <w:lang w:val="pl-PL"/>
        </w:rPr>
      </w:pPr>
    </w:p>
    <w:p w14:paraId="63B511F3" w14:textId="2B0110F7" w:rsidR="00765289" w:rsidRDefault="00765289" w:rsidP="00765289">
      <w:pPr>
        <w:rPr>
          <w:rFonts w:cs="Segoe UI"/>
          <w:szCs w:val="22"/>
          <w:lang w:val="pl-PL"/>
        </w:rPr>
      </w:pPr>
      <w:r w:rsidRPr="00CE7EA8">
        <w:rPr>
          <w:rFonts w:cs="Segoe UI"/>
          <w:szCs w:val="22"/>
          <w:lang w:val="pl-PL"/>
        </w:rPr>
        <w:t xml:space="preserve">W pierwszej połowie 2024 roku Henkel odnotował dobrą organiczną dynamikę sprzedaży oraz bardzo silny wzrost zysków w nadal wymagającym środowisku </w:t>
      </w:r>
      <w:r>
        <w:rPr>
          <w:rFonts w:cs="Segoe UI"/>
          <w:szCs w:val="22"/>
          <w:lang w:val="pl-PL"/>
        </w:rPr>
        <w:t>ekonomicznym</w:t>
      </w:r>
      <w:r w:rsidRPr="00CE7EA8">
        <w:rPr>
          <w:rFonts w:cs="Segoe UI"/>
          <w:szCs w:val="22"/>
          <w:lang w:val="pl-PL"/>
        </w:rPr>
        <w:t xml:space="preserve">. Firma kontynuowała zatem z powodzeniem swoją ścieżkę </w:t>
      </w:r>
      <w:r>
        <w:rPr>
          <w:rFonts w:cs="Segoe UI"/>
          <w:szCs w:val="22"/>
          <w:lang w:val="pl-PL"/>
        </w:rPr>
        <w:t>rentownego</w:t>
      </w:r>
      <w:r w:rsidRPr="00CE7EA8">
        <w:rPr>
          <w:rFonts w:cs="Segoe UI"/>
          <w:szCs w:val="22"/>
          <w:lang w:val="pl-PL"/>
        </w:rPr>
        <w:t xml:space="preserve"> wzrostu. </w:t>
      </w:r>
      <w:r w:rsidR="00302FA9">
        <w:rPr>
          <w:rFonts w:cs="Segoe UI"/>
          <w:szCs w:val="22"/>
          <w:lang w:val="pl-PL"/>
        </w:rPr>
        <w:t xml:space="preserve">- </w:t>
      </w:r>
      <w:r w:rsidR="00277946">
        <w:rPr>
          <w:rFonts w:cs="Segoe UI"/>
          <w:i/>
          <w:iCs/>
          <w:szCs w:val="22"/>
          <w:lang w:val="pl-PL"/>
        </w:rPr>
        <w:t>O</w:t>
      </w:r>
      <w:r w:rsidR="00277946" w:rsidRPr="00302FA9">
        <w:rPr>
          <w:rFonts w:cs="Segoe UI"/>
          <w:i/>
          <w:iCs/>
          <w:szCs w:val="22"/>
          <w:lang w:val="pl-PL"/>
        </w:rPr>
        <w:t xml:space="preserve">siągnęliśmy </w:t>
      </w:r>
      <w:r w:rsidRPr="00302FA9">
        <w:rPr>
          <w:rFonts w:cs="Segoe UI"/>
          <w:i/>
          <w:iCs/>
          <w:szCs w:val="22"/>
          <w:lang w:val="pl-PL"/>
        </w:rPr>
        <w:lastRenderedPageBreak/>
        <w:t xml:space="preserve">bardzo dobre wyniki </w:t>
      </w:r>
      <w:r w:rsidR="00277946">
        <w:rPr>
          <w:rFonts w:cs="Segoe UI"/>
          <w:i/>
          <w:iCs/>
          <w:szCs w:val="22"/>
          <w:lang w:val="pl-PL"/>
        </w:rPr>
        <w:t xml:space="preserve">biznesowe </w:t>
      </w:r>
      <w:r w:rsidRPr="00302FA9">
        <w:rPr>
          <w:rFonts w:cs="Segoe UI"/>
          <w:i/>
          <w:iCs/>
          <w:szCs w:val="22"/>
          <w:lang w:val="pl-PL"/>
        </w:rPr>
        <w:t xml:space="preserve">w pierwszej połowie roku. To pokazuje, że nasza strategia jest skuteczna, a nasze działania skoncentrowane na </w:t>
      </w:r>
      <w:r w:rsidR="00277946">
        <w:rPr>
          <w:rFonts w:cs="Segoe UI"/>
          <w:i/>
          <w:iCs/>
          <w:szCs w:val="22"/>
          <w:lang w:val="pl-PL"/>
        </w:rPr>
        <w:t>rentownym wzroście</w:t>
      </w:r>
      <w:r w:rsidRPr="00302FA9">
        <w:rPr>
          <w:rFonts w:cs="Segoe UI"/>
          <w:i/>
          <w:iCs/>
          <w:szCs w:val="22"/>
          <w:lang w:val="pl-PL"/>
        </w:rPr>
        <w:t xml:space="preserve"> przynoszą wymierne sukcesy</w:t>
      </w:r>
      <w:r w:rsidR="00302FA9">
        <w:rPr>
          <w:rFonts w:cs="Segoe UI"/>
          <w:szCs w:val="22"/>
          <w:lang w:val="pl-PL"/>
        </w:rPr>
        <w:t xml:space="preserve"> - </w:t>
      </w:r>
      <w:r w:rsidR="00277946" w:rsidRPr="00403BE0">
        <w:rPr>
          <w:rFonts w:cs="Segoe UI"/>
          <w:szCs w:val="22"/>
          <w:lang w:val="pl-PL"/>
        </w:rPr>
        <w:t>powiedział Carsten Knobel, prezes zarządu Henkel</w:t>
      </w:r>
    </w:p>
    <w:p w14:paraId="3F39F7DA" w14:textId="55ECA0E5" w:rsidR="00302FA9" w:rsidRPr="009B76D7" w:rsidRDefault="00302FA9" w:rsidP="00765289">
      <w:pPr>
        <w:rPr>
          <w:rFonts w:cs="Segoe UI"/>
          <w:szCs w:val="22"/>
          <w:lang w:val="pl-PL"/>
        </w:rPr>
      </w:pPr>
    </w:p>
    <w:p w14:paraId="347E7EC1" w14:textId="4A07737D" w:rsidR="00765289" w:rsidRPr="00496B30" w:rsidRDefault="00531A43" w:rsidP="00765289">
      <w:pPr>
        <w:rPr>
          <w:rFonts w:cs="Segoe UI"/>
          <w:szCs w:val="22"/>
          <w:lang w:val="pl-PL"/>
        </w:rPr>
      </w:pPr>
      <w:r>
        <w:rPr>
          <w:rFonts w:cs="Segoe UI"/>
          <w:szCs w:val="22"/>
          <w:lang w:val="pl-PL"/>
        </w:rPr>
        <w:t xml:space="preserve">- </w:t>
      </w:r>
      <w:r w:rsidR="00765289" w:rsidRPr="00531A43">
        <w:rPr>
          <w:rFonts w:cs="Segoe UI"/>
          <w:i/>
          <w:iCs/>
          <w:szCs w:val="22"/>
          <w:lang w:val="pl-PL"/>
        </w:rPr>
        <w:t>W pierwszej połowie roku wzrost organicznej sprzedaży oraz poprawa zysków były napędzane przez oba sektory biznesowe. Fuzja naszych działalności konsumenckich zakończyła się sukcesem, a wdrożenie naszych strategicznych działań i inicjatyw miało bardzo pozytywny wpływ na rozwój sprzedaży, marży brutto i zysków. Również w naszej działalności w obszarze klejów, gdzie</w:t>
      </w:r>
      <w:r w:rsidR="00612939">
        <w:rPr>
          <w:rFonts w:cs="Segoe UI"/>
          <w:i/>
          <w:iCs/>
          <w:szCs w:val="22"/>
          <w:lang w:val="pl-PL"/>
        </w:rPr>
        <w:t xml:space="preserve"> jeszcze bardziej</w:t>
      </w:r>
      <w:r w:rsidR="00765289" w:rsidRPr="00531A43">
        <w:rPr>
          <w:rFonts w:cs="Segoe UI"/>
          <w:i/>
          <w:iCs/>
          <w:szCs w:val="22"/>
          <w:lang w:val="pl-PL"/>
        </w:rPr>
        <w:t xml:space="preserve"> dostosowaliśmy strukturę organizacyjną do potrzeb klientów, wprowadzone zmiany znacząco przyczyniają się do pozytywnego rozwoju </w:t>
      </w:r>
      <w:r w:rsidR="00BA6539" w:rsidRPr="00531A43">
        <w:rPr>
          <w:rFonts w:cs="Segoe UI"/>
          <w:i/>
          <w:iCs/>
          <w:szCs w:val="22"/>
          <w:lang w:val="pl-PL"/>
        </w:rPr>
        <w:t>Henk</w:t>
      </w:r>
      <w:r w:rsidR="00BA6539">
        <w:rPr>
          <w:rFonts w:cs="Segoe UI"/>
          <w:i/>
          <w:iCs/>
          <w:szCs w:val="22"/>
          <w:lang w:val="pl-PL"/>
        </w:rPr>
        <w:t>la</w:t>
      </w:r>
      <w:r w:rsidR="00765289" w:rsidRPr="00531A43">
        <w:rPr>
          <w:rFonts w:cs="Segoe UI"/>
          <w:i/>
          <w:iCs/>
          <w:szCs w:val="22"/>
          <w:lang w:val="pl-PL"/>
        </w:rPr>
        <w:t xml:space="preserve">. Nasz </w:t>
      </w:r>
      <w:r w:rsidR="00BA6539">
        <w:rPr>
          <w:rFonts w:cs="Segoe UI"/>
          <w:i/>
          <w:iCs/>
          <w:szCs w:val="22"/>
          <w:lang w:val="pl-PL"/>
        </w:rPr>
        <w:t>rachunek przepływów pieniężnych</w:t>
      </w:r>
      <w:r w:rsidR="00765289" w:rsidRPr="00531A43">
        <w:rPr>
          <w:rFonts w:cs="Segoe UI"/>
          <w:i/>
          <w:iCs/>
          <w:szCs w:val="22"/>
          <w:lang w:val="pl-PL"/>
        </w:rPr>
        <w:t xml:space="preserve"> był również silny, przewyższając już wysoki poziom z pierwszej połowy 2023 roku. </w:t>
      </w:r>
      <w:r w:rsidR="00BA6539" w:rsidRPr="00403BE0">
        <w:rPr>
          <w:rFonts w:cs="Segoe UI"/>
          <w:i/>
          <w:iCs/>
          <w:szCs w:val="22"/>
          <w:lang w:val="pl-PL"/>
        </w:rPr>
        <w:t>Wszystko to pozwala nam na dalsze, celowe inwestycje w nasz biznes i naszą przyszłość: w marki, technologie i innowacje.</w:t>
      </w:r>
      <w:r w:rsidR="007B62DB">
        <w:rPr>
          <w:rFonts w:cs="Segoe UI"/>
          <w:i/>
          <w:iCs/>
          <w:szCs w:val="22"/>
          <w:lang w:val="pl-PL"/>
        </w:rPr>
        <w:t xml:space="preserve"> </w:t>
      </w:r>
      <w:r w:rsidR="00765289" w:rsidRPr="00531A43">
        <w:rPr>
          <w:rFonts w:cs="Segoe UI"/>
          <w:i/>
          <w:iCs/>
          <w:szCs w:val="22"/>
          <w:lang w:val="pl-PL"/>
        </w:rPr>
        <w:t xml:space="preserve">Ponadto realizujemy ważne inicjatywy w obszarach zrównoważonego rozwoju i cyfryzacji, aby dalej wzmacniać naszą </w:t>
      </w:r>
      <w:r w:rsidR="00BA6539">
        <w:rPr>
          <w:rFonts w:cs="Segoe UI"/>
          <w:i/>
          <w:iCs/>
          <w:szCs w:val="22"/>
          <w:lang w:val="pl-PL"/>
        </w:rPr>
        <w:t xml:space="preserve">przewagę </w:t>
      </w:r>
      <w:r w:rsidR="00765289" w:rsidRPr="00531A43">
        <w:rPr>
          <w:rFonts w:cs="Segoe UI"/>
          <w:i/>
          <w:iCs/>
          <w:szCs w:val="22"/>
          <w:lang w:val="pl-PL"/>
        </w:rPr>
        <w:t xml:space="preserve">konkurencyjną </w:t>
      </w:r>
      <w:r>
        <w:rPr>
          <w:rFonts w:cs="Segoe UI"/>
          <w:szCs w:val="22"/>
          <w:lang w:val="pl-PL"/>
        </w:rPr>
        <w:t>-</w:t>
      </w:r>
      <w:r w:rsidR="00765289" w:rsidRPr="00496B30">
        <w:rPr>
          <w:rFonts w:cs="Segoe UI"/>
          <w:szCs w:val="22"/>
          <w:lang w:val="pl-PL"/>
        </w:rPr>
        <w:t xml:space="preserve"> dodał Carsten Knobel.</w:t>
      </w:r>
    </w:p>
    <w:p w14:paraId="73D18608" w14:textId="77777777" w:rsidR="00765289" w:rsidRDefault="00765289" w:rsidP="00765289">
      <w:pPr>
        <w:rPr>
          <w:rFonts w:cs="Segoe UI"/>
          <w:szCs w:val="22"/>
          <w:lang w:val="pl-PL"/>
        </w:rPr>
      </w:pPr>
    </w:p>
    <w:p w14:paraId="480FCB87" w14:textId="14BA0AA5" w:rsidR="00765289" w:rsidRPr="00710EAF" w:rsidRDefault="00BA3DFD" w:rsidP="00765289">
      <w:pPr>
        <w:rPr>
          <w:rFonts w:cs="Segoe UI"/>
          <w:szCs w:val="22"/>
          <w:lang w:val="pl-PL"/>
        </w:rPr>
      </w:pPr>
      <w:r>
        <w:rPr>
          <w:rFonts w:cs="Segoe UI"/>
          <w:szCs w:val="22"/>
          <w:lang w:val="pl-PL"/>
        </w:rPr>
        <w:t xml:space="preserve">- </w:t>
      </w:r>
      <w:r w:rsidR="00BA6539" w:rsidRPr="00403BE0">
        <w:rPr>
          <w:rFonts w:cs="Segoe UI"/>
          <w:i/>
          <w:iCs/>
          <w:szCs w:val="22"/>
          <w:lang w:val="pl-PL"/>
        </w:rPr>
        <w:t>Po dobrych wynikach biznesowych w pierwszej połowie roku jesteśmy pewni, że druga część roku będzie również udana, dlatego w połowie lipca podnieśliśmy naszą prognozę zysków na rok 2024.</w:t>
      </w:r>
      <w:r w:rsidR="00765289" w:rsidRPr="00BA3DFD">
        <w:rPr>
          <w:rFonts w:cs="Segoe UI"/>
          <w:i/>
          <w:iCs/>
          <w:szCs w:val="22"/>
          <w:lang w:val="pl-PL"/>
        </w:rPr>
        <w:t xml:space="preserve"> Realizujemy to, co sobie postawiliśmy za cel i jesteśmy na dobrej drodze do dalszego rentownego wzrostu. To również znajduje odzwierciedlenie w korekcie naszych ambicji finansowych średnio- i długoterminowych: jesteśmy pewni, że osiągniemy cele sprzedaży i zysków już w połowie okresu</w:t>
      </w:r>
      <w:r w:rsidR="00765289" w:rsidRPr="00710EAF">
        <w:rPr>
          <w:rFonts w:cs="Segoe UI"/>
          <w:szCs w:val="22"/>
          <w:lang w:val="pl-PL"/>
        </w:rPr>
        <w:t>.</w:t>
      </w:r>
    </w:p>
    <w:p w14:paraId="20FFE62B" w14:textId="77777777" w:rsidR="00765289" w:rsidRPr="00710EAF" w:rsidRDefault="00765289" w:rsidP="00765289">
      <w:pPr>
        <w:rPr>
          <w:rFonts w:cs="Segoe UI"/>
          <w:szCs w:val="22"/>
          <w:lang w:val="pl-PL"/>
        </w:rPr>
      </w:pPr>
    </w:p>
    <w:p w14:paraId="3779EFBB" w14:textId="77777777" w:rsidR="00BA6539" w:rsidRPr="00BA6539" w:rsidRDefault="00BA6539" w:rsidP="00BA6539">
      <w:pPr>
        <w:spacing w:after="120"/>
        <w:ind w:right="-108"/>
        <w:jc w:val="left"/>
        <w:rPr>
          <w:rFonts w:cs="Segoe UI"/>
          <w:b/>
          <w:bCs/>
          <w:szCs w:val="22"/>
          <w:lang w:val="pl-PL"/>
        </w:rPr>
      </w:pPr>
      <w:r w:rsidRPr="00BA6539">
        <w:rPr>
          <w:rFonts w:cs="Segoe UI"/>
          <w:b/>
          <w:bCs/>
          <w:szCs w:val="22"/>
          <w:lang w:val="pl-PL"/>
        </w:rPr>
        <w:t>Prognoza wyników Grupy Henkel</w:t>
      </w:r>
    </w:p>
    <w:p w14:paraId="38B7607D" w14:textId="77AFC6DE" w:rsidR="00765289" w:rsidRPr="00895243" w:rsidRDefault="00BA6539" w:rsidP="00765289">
      <w:pPr>
        <w:rPr>
          <w:rFonts w:cs="Segoe UI"/>
          <w:szCs w:val="22"/>
          <w:lang w:val="pl-PL"/>
        </w:rPr>
      </w:pPr>
      <w:r>
        <w:rPr>
          <w:rFonts w:cs="Segoe UI"/>
          <w:szCs w:val="22"/>
          <w:lang w:val="pl-PL"/>
        </w:rPr>
        <w:t>17 lipca</w:t>
      </w:r>
      <w:r w:rsidRPr="00403BE0">
        <w:rPr>
          <w:rFonts w:cs="Segoe UI"/>
          <w:szCs w:val="22"/>
          <w:lang w:val="pl-PL"/>
        </w:rPr>
        <w:t xml:space="preserve"> 2024 r. Henkel podwyższył prognozę wyników na rok obrotowy 2024 w stosunku do prognozy opublikowanej </w:t>
      </w:r>
      <w:r>
        <w:rPr>
          <w:rFonts w:cs="Segoe UI"/>
          <w:szCs w:val="22"/>
          <w:lang w:val="pl-PL"/>
        </w:rPr>
        <w:t>3 maja</w:t>
      </w:r>
      <w:r w:rsidRPr="00403BE0">
        <w:rPr>
          <w:rFonts w:cs="Segoe UI"/>
          <w:szCs w:val="22"/>
          <w:lang w:val="pl-PL"/>
        </w:rPr>
        <w:t xml:space="preserve"> 2024 r. </w:t>
      </w:r>
      <w:r w:rsidR="00765289" w:rsidRPr="00895243">
        <w:rPr>
          <w:rFonts w:cs="Segoe UI"/>
          <w:szCs w:val="22"/>
          <w:lang w:val="pl-PL"/>
        </w:rPr>
        <w:t>Jest to głównie spowodowane wyższymi oczekiwaniami dotyczącymi zysków w sektorze biznesowym Consumer Brands</w:t>
      </w:r>
      <w:r w:rsidR="001E796B">
        <w:rPr>
          <w:rFonts w:cs="Segoe UI"/>
          <w:szCs w:val="22"/>
          <w:lang w:val="pl-PL"/>
        </w:rPr>
        <w:t xml:space="preserve"> (</w:t>
      </w:r>
      <w:r w:rsidR="001E796B" w:rsidRPr="001E796B">
        <w:rPr>
          <w:rFonts w:cs="Segoe UI"/>
          <w:szCs w:val="22"/>
          <w:lang w:val="pl-PL"/>
        </w:rPr>
        <w:t>marki konsumenckie</w:t>
      </w:r>
      <w:r w:rsidR="001E796B">
        <w:rPr>
          <w:rFonts w:cs="Segoe UI"/>
          <w:szCs w:val="22"/>
          <w:lang w:val="pl-PL"/>
        </w:rPr>
        <w:t>)</w:t>
      </w:r>
      <w:r w:rsidR="00765289" w:rsidRPr="00895243">
        <w:rPr>
          <w:rFonts w:cs="Segoe UI"/>
          <w:szCs w:val="22"/>
          <w:lang w:val="pl-PL"/>
        </w:rPr>
        <w:t>, przy jednoczesnym zwiększeniu inwestycji w marketing w celu wspierania innowacji. Prognoza nadal uwzględnia oczekiwania dotyczące wyższych cen materiałów bezpośrednich w drugiej połowie roku. Henkel spodziewa się teraz następującego rozwoju sprzedaży i zysków na rok obrotowy 2024:</w:t>
      </w:r>
    </w:p>
    <w:p w14:paraId="6DFD7E3D" w14:textId="77777777" w:rsidR="00765289" w:rsidRPr="00895243" w:rsidRDefault="00765289" w:rsidP="00765289">
      <w:pPr>
        <w:rPr>
          <w:rFonts w:cs="Segoe UI"/>
          <w:szCs w:val="22"/>
          <w:lang w:val="pl-PL"/>
        </w:rPr>
      </w:pPr>
    </w:p>
    <w:p w14:paraId="30E0DA67" w14:textId="38BBA5B5" w:rsidR="00765289" w:rsidRPr="00720EB2" w:rsidRDefault="00765289" w:rsidP="00765289">
      <w:pPr>
        <w:rPr>
          <w:rFonts w:cs="Segoe UI"/>
          <w:szCs w:val="22"/>
          <w:lang w:val="pl-PL"/>
        </w:rPr>
      </w:pPr>
      <w:r w:rsidRPr="00720EB2">
        <w:rPr>
          <w:rFonts w:cs="Segoe UI"/>
          <w:szCs w:val="22"/>
          <w:lang w:val="pl-PL"/>
        </w:rPr>
        <w:t xml:space="preserve">Na poziomie </w:t>
      </w:r>
      <w:r w:rsidR="002F375D">
        <w:rPr>
          <w:rFonts w:cs="Segoe UI"/>
          <w:szCs w:val="22"/>
          <w:lang w:val="pl-PL"/>
        </w:rPr>
        <w:t>G</w:t>
      </w:r>
      <w:r w:rsidRPr="00720EB2">
        <w:rPr>
          <w:rFonts w:cs="Segoe UI"/>
          <w:szCs w:val="22"/>
          <w:lang w:val="pl-PL"/>
        </w:rPr>
        <w:t xml:space="preserve">rupy Henkel nadal spodziewa się </w:t>
      </w:r>
      <w:r w:rsidRPr="00561E67">
        <w:rPr>
          <w:rFonts w:cs="Segoe UI"/>
          <w:b/>
          <w:bCs/>
          <w:szCs w:val="22"/>
          <w:lang w:val="pl-PL"/>
        </w:rPr>
        <w:t>organicznego wzrostu sprzedaży</w:t>
      </w:r>
      <w:r w:rsidRPr="00720EB2">
        <w:rPr>
          <w:rFonts w:cs="Segoe UI"/>
          <w:szCs w:val="22"/>
          <w:lang w:val="pl-PL"/>
        </w:rPr>
        <w:t xml:space="preserve"> w zakresie 2,5 do 4,5 procent w roku obrotowym 2024. W przypadku sektora biznesowego Adhesive Technologies </w:t>
      </w:r>
      <w:r w:rsidR="001E30F9">
        <w:rPr>
          <w:rFonts w:cs="Segoe UI"/>
          <w:szCs w:val="22"/>
          <w:lang w:val="pl-PL"/>
        </w:rPr>
        <w:t>(</w:t>
      </w:r>
      <w:r w:rsidR="001E30F9" w:rsidRPr="001E30F9">
        <w:rPr>
          <w:rFonts w:cs="Segoe UI"/>
          <w:szCs w:val="22"/>
          <w:lang w:val="pl-PL"/>
        </w:rPr>
        <w:t xml:space="preserve">kleje budowlane i konsumenckie oraz kleje i technologie dla przemysłu) </w:t>
      </w:r>
      <w:r w:rsidRPr="00720EB2">
        <w:rPr>
          <w:rFonts w:cs="Segoe UI"/>
          <w:szCs w:val="22"/>
          <w:lang w:val="pl-PL"/>
        </w:rPr>
        <w:t xml:space="preserve">nadal oczekuje się organicznego wzrostu sprzedaży w zakresie 2,0 do 4,0 procent, a w przypadku sektora biznesowego Consumer Brands </w:t>
      </w:r>
      <w:r w:rsidR="001E796B">
        <w:rPr>
          <w:rFonts w:cs="Segoe UI"/>
          <w:szCs w:val="22"/>
          <w:lang w:val="pl-PL"/>
        </w:rPr>
        <w:t>(</w:t>
      </w:r>
      <w:r w:rsidR="001E796B" w:rsidRPr="001E796B">
        <w:rPr>
          <w:rFonts w:cs="Segoe UI"/>
          <w:szCs w:val="22"/>
          <w:lang w:val="pl-PL"/>
        </w:rPr>
        <w:t>marki konsumenckie</w:t>
      </w:r>
      <w:r w:rsidR="001E796B">
        <w:rPr>
          <w:rFonts w:cs="Segoe UI"/>
          <w:szCs w:val="22"/>
          <w:lang w:val="pl-PL"/>
        </w:rPr>
        <w:t xml:space="preserve">) </w:t>
      </w:r>
      <w:r w:rsidRPr="00720EB2">
        <w:rPr>
          <w:rFonts w:cs="Segoe UI"/>
          <w:szCs w:val="22"/>
          <w:lang w:val="pl-PL"/>
        </w:rPr>
        <w:t>między 3,0 a 5,0 procent.</w:t>
      </w:r>
      <w:r w:rsidR="007D0841">
        <w:rPr>
          <w:rFonts w:cs="Segoe UI"/>
          <w:szCs w:val="22"/>
          <w:lang w:val="pl-PL"/>
        </w:rPr>
        <w:t xml:space="preserve"> </w:t>
      </w:r>
      <w:r w:rsidR="007D0841" w:rsidRPr="00403BE0">
        <w:rPr>
          <w:rFonts w:cs="Segoe UI"/>
          <w:szCs w:val="22"/>
          <w:lang w:val="pl-PL"/>
        </w:rPr>
        <w:t>Według zaktualizowanej prognozy</w:t>
      </w:r>
      <w:r w:rsidR="007D0841" w:rsidRPr="00403BE0">
        <w:rPr>
          <w:rFonts w:cs="Segoe UI"/>
          <w:b/>
          <w:bCs/>
          <w:szCs w:val="22"/>
          <w:lang w:val="pl-PL"/>
        </w:rPr>
        <w:t> </w:t>
      </w:r>
      <w:r w:rsidRPr="00720EB2">
        <w:rPr>
          <w:rFonts w:cs="Segoe UI"/>
          <w:szCs w:val="22"/>
          <w:lang w:val="pl-PL"/>
        </w:rPr>
        <w:t xml:space="preserve"> </w:t>
      </w:r>
      <w:r w:rsidR="007D0841">
        <w:rPr>
          <w:rFonts w:cs="Segoe UI"/>
          <w:b/>
          <w:bCs/>
          <w:szCs w:val="22"/>
          <w:lang w:val="pl-PL"/>
        </w:rPr>
        <w:t>s</w:t>
      </w:r>
      <w:r w:rsidR="007D0841" w:rsidRPr="00FB3069">
        <w:rPr>
          <w:rFonts w:cs="Segoe UI"/>
          <w:b/>
          <w:bCs/>
          <w:szCs w:val="22"/>
          <w:lang w:val="pl-PL"/>
        </w:rPr>
        <w:t xml:space="preserve">korygowany </w:t>
      </w:r>
      <w:r w:rsidRPr="00FB3069">
        <w:rPr>
          <w:rFonts w:cs="Segoe UI"/>
          <w:b/>
          <w:bCs/>
          <w:szCs w:val="22"/>
          <w:lang w:val="pl-PL"/>
        </w:rPr>
        <w:t>zwrot ze sprzedaży</w:t>
      </w:r>
      <w:r w:rsidRPr="00720EB2">
        <w:rPr>
          <w:rFonts w:cs="Segoe UI"/>
          <w:szCs w:val="22"/>
          <w:lang w:val="pl-PL"/>
        </w:rPr>
        <w:t xml:space="preserve"> (marża EBIT) </w:t>
      </w:r>
      <w:r w:rsidR="007D0841">
        <w:rPr>
          <w:rFonts w:cs="Segoe UI"/>
          <w:szCs w:val="22"/>
          <w:lang w:val="pl-PL"/>
        </w:rPr>
        <w:t xml:space="preserve">Grupy </w:t>
      </w:r>
      <w:r w:rsidR="007D0841">
        <w:rPr>
          <w:rFonts w:cs="Segoe UI"/>
          <w:szCs w:val="22"/>
          <w:lang w:val="pl-PL"/>
        </w:rPr>
        <w:lastRenderedPageBreak/>
        <w:t>Henkel ukształtuje się w przedziale od</w:t>
      </w:r>
      <w:r w:rsidRPr="00720EB2">
        <w:rPr>
          <w:rFonts w:cs="Segoe UI"/>
          <w:szCs w:val="22"/>
          <w:lang w:val="pl-PL"/>
        </w:rPr>
        <w:t xml:space="preserve"> 13,5 do 14,5 procent (wcześniej: 13,0 do 14,0 procent). Dla sektora biznesowego Adhesive Technologies </w:t>
      </w:r>
      <w:r w:rsidR="001E30F9">
        <w:rPr>
          <w:rFonts w:cs="Segoe UI"/>
          <w:szCs w:val="22"/>
          <w:lang w:val="pl-PL"/>
        </w:rPr>
        <w:t>(</w:t>
      </w:r>
      <w:r w:rsidR="001E30F9" w:rsidRPr="001E30F9">
        <w:rPr>
          <w:rFonts w:cs="Segoe UI"/>
          <w:szCs w:val="22"/>
          <w:lang w:val="pl-PL"/>
        </w:rPr>
        <w:t xml:space="preserve">kleje budowlane i konsumenckie oraz kleje i technologie dla przemysłu) </w:t>
      </w:r>
      <w:r w:rsidRPr="00720EB2">
        <w:rPr>
          <w:rFonts w:cs="Segoe UI"/>
          <w:szCs w:val="22"/>
          <w:lang w:val="pl-PL"/>
        </w:rPr>
        <w:t xml:space="preserve">nadal oczekuje się skorygowanego zwrotu ze sprzedaży w zakresie od 16,0 do 17,0 procent. Dla sektora biznesowego Consumer Brands </w:t>
      </w:r>
      <w:r w:rsidR="001E796B">
        <w:rPr>
          <w:rFonts w:cs="Segoe UI"/>
          <w:szCs w:val="22"/>
          <w:lang w:val="pl-PL"/>
        </w:rPr>
        <w:t>(</w:t>
      </w:r>
      <w:r w:rsidR="001E796B" w:rsidRPr="001E796B">
        <w:rPr>
          <w:rFonts w:cs="Segoe UI"/>
          <w:szCs w:val="22"/>
          <w:lang w:val="pl-PL"/>
        </w:rPr>
        <w:t>marki konsumenckie</w:t>
      </w:r>
      <w:r w:rsidR="001E796B">
        <w:rPr>
          <w:rFonts w:cs="Segoe UI"/>
          <w:szCs w:val="22"/>
          <w:lang w:val="pl-PL"/>
        </w:rPr>
        <w:t xml:space="preserve">) </w:t>
      </w:r>
      <w:r w:rsidR="007D0841">
        <w:rPr>
          <w:rFonts w:cs="Segoe UI"/>
          <w:szCs w:val="22"/>
          <w:lang w:val="pl-PL"/>
        </w:rPr>
        <w:t xml:space="preserve">obecnie przewiduje się, że </w:t>
      </w:r>
      <w:r w:rsidRPr="008C7D11">
        <w:rPr>
          <w:rFonts w:cs="Segoe UI"/>
          <w:b/>
          <w:bCs/>
          <w:szCs w:val="22"/>
          <w:lang w:val="pl-PL"/>
        </w:rPr>
        <w:t>skorygowany zwrot ze sprzedaży</w:t>
      </w:r>
      <w:r w:rsidRPr="00720EB2">
        <w:rPr>
          <w:rFonts w:cs="Segoe UI"/>
          <w:szCs w:val="22"/>
          <w:lang w:val="pl-PL"/>
        </w:rPr>
        <w:t xml:space="preserve"> </w:t>
      </w:r>
      <w:r w:rsidR="007D0841">
        <w:rPr>
          <w:rFonts w:cs="Segoe UI"/>
          <w:szCs w:val="22"/>
          <w:lang w:val="pl-PL"/>
        </w:rPr>
        <w:t>wyniesie</w:t>
      </w:r>
      <w:r w:rsidRPr="00720EB2">
        <w:rPr>
          <w:rFonts w:cs="Segoe UI"/>
          <w:szCs w:val="22"/>
          <w:lang w:val="pl-PL"/>
        </w:rPr>
        <w:t xml:space="preserve"> od 13,0 do 14,0 procent (wcześniej: 12,0 do 13,0 procent). W przypadku </w:t>
      </w:r>
      <w:r w:rsidRPr="003249F7">
        <w:rPr>
          <w:rFonts w:cs="Segoe UI"/>
          <w:b/>
          <w:bCs/>
          <w:szCs w:val="22"/>
          <w:lang w:val="pl-PL"/>
        </w:rPr>
        <w:t>rozwoju skorygowanego zysku na akcję uprzywilejowaną</w:t>
      </w:r>
      <w:r w:rsidRPr="00720EB2">
        <w:rPr>
          <w:rFonts w:cs="Segoe UI"/>
          <w:szCs w:val="22"/>
          <w:lang w:val="pl-PL"/>
        </w:rPr>
        <w:t xml:space="preserve"> (EPS) przy stałych kursach walut Henkel spodziewa się teraz wzrostu w zakresie od +20,0 do +30,0 procent (wcześniej: +15,0 do +25,0 procent).</w:t>
      </w:r>
    </w:p>
    <w:p w14:paraId="3D277F27" w14:textId="77777777" w:rsidR="00765289" w:rsidRPr="00720EB2" w:rsidRDefault="00765289" w:rsidP="00765289">
      <w:pPr>
        <w:spacing w:after="120"/>
        <w:jc w:val="left"/>
        <w:rPr>
          <w:rFonts w:cs="Segoe UI"/>
          <w:b/>
          <w:bCs/>
          <w:szCs w:val="22"/>
          <w:lang w:val="pl-PL"/>
        </w:rPr>
      </w:pPr>
    </w:p>
    <w:p w14:paraId="2F45DDED" w14:textId="7DD60BE5" w:rsidR="00765289" w:rsidRPr="002B244A" w:rsidRDefault="00765289" w:rsidP="00765289">
      <w:pPr>
        <w:spacing w:after="120"/>
        <w:jc w:val="left"/>
        <w:rPr>
          <w:rFonts w:cs="Segoe UI"/>
          <w:b/>
          <w:bCs/>
          <w:szCs w:val="22"/>
          <w:lang w:val="pl-PL"/>
        </w:rPr>
      </w:pPr>
      <w:r w:rsidRPr="002B244A">
        <w:rPr>
          <w:rFonts w:cs="Segoe UI"/>
          <w:b/>
          <w:bCs/>
          <w:szCs w:val="22"/>
          <w:lang w:val="pl-PL"/>
        </w:rPr>
        <w:t xml:space="preserve">Rozwój sprzedaży i zysków w </w:t>
      </w:r>
      <w:r w:rsidR="00875BA0">
        <w:rPr>
          <w:rFonts w:cs="Segoe UI"/>
          <w:b/>
          <w:bCs/>
          <w:szCs w:val="22"/>
          <w:lang w:val="pl-PL"/>
        </w:rPr>
        <w:t>pierwszej</w:t>
      </w:r>
      <w:r w:rsidRPr="002B244A">
        <w:rPr>
          <w:rFonts w:cs="Segoe UI"/>
          <w:b/>
          <w:bCs/>
          <w:szCs w:val="22"/>
          <w:lang w:val="pl-PL"/>
        </w:rPr>
        <w:t xml:space="preserve"> połowie 2024 roku</w:t>
      </w:r>
    </w:p>
    <w:p w14:paraId="3B247E6F" w14:textId="40371FAD" w:rsidR="00765289" w:rsidRDefault="007D0841" w:rsidP="00765289">
      <w:pPr>
        <w:rPr>
          <w:rFonts w:cs="Segoe UI"/>
          <w:szCs w:val="22"/>
          <w:shd w:val="clear" w:color="auto" w:fill="FFFFFF" w:themeFill="background1"/>
          <w:lang w:val="pl-PL"/>
        </w:rPr>
      </w:pPr>
      <w:r w:rsidRPr="00403BE0">
        <w:rPr>
          <w:rFonts w:cs="Segoe UI"/>
          <w:szCs w:val="22"/>
          <w:lang w:val="pl-PL"/>
        </w:rPr>
        <w:t>W trudnym i wymagającym otoczeniu rynkowym,</w:t>
      </w:r>
      <w:r w:rsidR="007B62DB">
        <w:rPr>
          <w:rFonts w:cs="Segoe UI"/>
          <w:szCs w:val="22"/>
          <w:lang w:val="pl-PL"/>
        </w:rPr>
        <w:t xml:space="preserve"> </w:t>
      </w:r>
      <w:r>
        <w:rPr>
          <w:rFonts w:cs="Segoe UI"/>
          <w:b/>
          <w:bCs/>
          <w:szCs w:val="22"/>
          <w:lang w:val="pl-PL"/>
        </w:rPr>
        <w:t>p</w:t>
      </w:r>
      <w:r w:rsidRPr="00403BE0">
        <w:rPr>
          <w:rFonts w:cs="Segoe UI"/>
          <w:b/>
          <w:bCs/>
          <w:szCs w:val="22"/>
          <w:lang w:val="pl-PL"/>
        </w:rPr>
        <w:t>rzychody ze sprzedaży Grupy</w:t>
      </w:r>
      <w:r>
        <w:rPr>
          <w:rFonts w:cs="Segoe UI"/>
          <w:szCs w:val="22"/>
          <w:lang w:val="pl-PL"/>
        </w:rPr>
        <w:t xml:space="preserve"> </w:t>
      </w:r>
      <w:r w:rsidRPr="00403BE0">
        <w:rPr>
          <w:rFonts w:cs="Segoe UI"/>
          <w:szCs w:val="22"/>
          <w:shd w:val="clear" w:color="auto" w:fill="FFFFFF" w:themeFill="background1"/>
          <w:lang w:val="pl-PL"/>
        </w:rPr>
        <w:t>wyniosły</w:t>
      </w:r>
      <w:r w:rsidR="00875BA0" w:rsidRPr="00403BE0">
        <w:rPr>
          <w:rFonts w:cs="Segoe UI"/>
          <w:szCs w:val="22"/>
          <w:shd w:val="clear" w:color="auto" w:fill="FFFFFF" w:themeFill="background1"/>
          <w:lang w:val="pl-PL"/>
        </w:rPr>
        <w:t>10 813 milionów euro w pierwszej połowie 2024 roku</w:t>
      </w:r>
      <w:r w:rsidR="00753993">
        <w:rPr>
          <w:rFonts w:cs="Segoe UI"/>
          <w:szCs w:val="22"/>
          <w:shd w:val="clear" w:color="auto" w:fill="FFFFFF" w:themeFill="background1"/>
          <w:lang w:val="pl-PL"/>
        </w:rPr>
        <w:t>. W ujęciu nominalnym</w:t>
      </w:r>
      <w:r w:rsidR="00875BA0" w:rsidRPr="00403BE0">
        <w:rPr>
          <w:rFonts w:cs="Segoe UI"/>
          <w:szCs w:val="22"/>
          <w:shd w:val="clear" w:color="auto" w:fill="FFFFFF" w:themeFill="background1"/>
          <w:lang w:val="pl-PL"/>
        </w:rPr>
        <w:t xml:space="preserve"> </w:t>
      </w:r>
      <w:r w:rsidR="00341F9B">
        <w:rPr>
          <w:rFonts w:cs="Segoe UI"/>
          <w:szCs w:val="22"/>
          <w:shd w:val="clear" w:color="auto" w:fill="FFFFFF" w:themeFill="background1"/>
          <w:lang w:val="pl-PL"/>
        </w:rPr>
        <w:t xml:space="preserve">nieznacznie spadły </w:t>
      </w:r>
      <w:r w:rsidR="00753993">
        <w:rPr>
          <w:rFonts w:cs="Segoe UI"/>
          <w:szCs w:val="22"/>
          <w:shd w:val="clear" w:color="auto" w:fill="FFFFFF" w:themeFill="background1"/>
          <w:lang w:val="pl-PL"/>
        </w:rPr>
        <w:t xml:space="preserve">o </w:t>
      </w:r>
      <w:r w:rsidR="00875BA0" w:rsidRPr="00403BE0">
        <w:rPr>
          <w:rFonts w:cs="Segoe UI"/>
          <w:szCs w:val="22"/>
          <w:shd w:val="clear" w:color="auto" w:fill="FFFFFF" w:themeFill="background1"/>
          <w:lang w:val="pl-PL"/>
        </w:rPr>
        <w:t xml:space="preserve"> -1,0 procenta. </w:t>
      </w:r>
      <w:r w:rsidR="00341F9B" w:rsidRPr="00403BE0">
        <w:rPr>
          <w:rFonts w:cs="Segoe UI"/>
          <w:szCs w:val="22"/>
          <w:shd w:val="clear" w:color="auto" w:fill="FFFFFF" w:themeFill="background1"/>
          <w:lang w:val="pl-PL"/>
        </w:rPr>
        <w:t xml:space="preserve">Po tym, jak </w:t>
      </w:r>
      <w:r w:rsidR="00341F9B">
        <w:rPr>
          <w:rFonts w:cs="Segoe UI"/>
          <w:szCs w:val="22"/>
          <w:shd w:val="clear" w:color="auto" w:fill="FFFFFF" w:themeFill="background1"/>
          <w:lang w:val="pl-PL"/>
        </w:rPr>
        <w:t xml:space="preserve">na </w:t>
      </w:r>
      <w:r w:rsidR="00341F9B" w:rsidRPr="00403BE0">
        <w:rPr>
          <w:rFonts w:cs="Segoe UI"/>
          <w:szCs w:val="22"/>
          <w:shd w:val="clear" w:color="auto" w:fill="FFFFFF" w:themeFill="background1"/>
          <w:lang w:val="pl-PL"/>
        </w:rPr>
        <w:t>wcześniejsze wynik</w:t>
      </w:r>
      <w:r w:rsidR="007B62DB">
        <w:rPr>
          <w:rFonts w:cs="Segoe UI"/>
          <w:szCs w:val="22"/>
          <w:shd w:val="clear" w:color="auto" w:fill="FFFFFF" w:themeFill="background1"/>
          <w:lang w:val="pl-PL"/>
        </w:rPr>
        <w:t>i</w:t>
      </w:r>
      <w:r w:rsidR="00341F9B" w:rsidRPr="00403BE0">
        <w:rPr>
          <w:rFonts w:cs="Segoe UI"/>
          <w:szCs w:val="22"/>
          <w:shd w:val="clear" w:color="auto" w:fill="FFFFFF" w:themeFill="background1"/>
          <w:lang w:val="pl-PL"/>
        </w:rPr>
        <w:t xml:space="preserve"> negatywnie wpływa</w:t>
      </w:r>
      <w:r w:rsidR="00341F9B">
        <w:rPr>
          <w:rFonts w:cs="Segoe UI"/>
          <w:szCs w:val="22"/>
          <w:shd w:val="clear" w:color="auto" w:fill="FFFFFF" w:themeFill="background1"/>
          <w:lang w:val="pl-PL"/>
        </w:rPr>
        <w:t xml:space="preserve">ła </w:t>
      </w:r>
      <w:r w:rsidR="00341F9B" w:rsidRPr="00403BE0">
        <w:rPr>
          <w:rFonts w:cs="Segoe UI"/>
          <w:szCs w:val="22"/>
          <w:shd w:val="clear" w:color="auto" w:fill="FFFFFF" w:themeFill="background1"/>
          <w:lang w:val="pl-PL"/>
        </w:rPr>
        <w:t>sprzedaż działalności w Rosji, Henkel zdołał znowu osiągnąć wzrost nominalnej sprzedaży w drugim kwartale 2024 roku (Q2: 5,496 milionów euro, +3,4 procent)</w:t>
      </w:r>
      <w:r w:rsidR="00341F9B">
        <w:rPr>
          <w:rFonts w:cs="Segoe UI"/>
          <w:szCs w:val="22"/>
          <w:shd w:val="clear" w:color="auto" w:fill="FFFFFF" w:themeFill="background1"/>
          <w:lang w:val="pl-PL"/>
        </w:rPr>
        <w:t xml:space="preserve">. </w:t>
      </w:r>
      <w:r w:rsidR="00753993" w:rsidRPr="00403BE0">
        <w:rPr>
          <w:rFonts w:cs="Segoe UI"/>
          <w:szCs w:val="22"/>
          <w:shd w:val="clear" w:color="auto" w:fill="FFFFFF" w:themeFill="background1"/>
          <w:lang w:val="pl-PL"/>
        </w:rPr>
        <w:t xml:space="preserve">Efekty kursów walutowych obniżyły sprzedaż o -1,9 procenta (Q2: +0,2 procenta). </w:t>
      </w:r>
      <w:r w:rsidR="00765289" w:rsidRPr="00403BE0">
        <w:rPr>
          <w:rFonts w:cs="Segoe UI"/>
          <w:szCs w:val="22"/>
          <w:shd w:val="clear" w:color="auto" w:fill="FFFFFF" w:themeFill="background1"/>
          <w:lang w:val="pl-PL"/>
        </w:rPr>
        <w:t xml:space="preserve">Negatywny wpływ </w:t>
      </w:r>
      <w:r w:rsidR="00753993">
        <w:rPr>
          <w:rFonts w:cs="Segoe UI"/>
          <w:szCs w:val="22"/>
          <w:shd w:val="clear" w:color="auto" w:fill="FFFFFF" w:themeFill="background1"/>
          <w:lang w:val="pl-PL"/>
        </w:rPr>
        <w:t xml:space="preserve">na to </w:t>
      </w:r>
      <w:r w:rsidR="00765289" w:rsidRPr="00403BE0">
        <w:rPr>
          <w:rFonts w:cs="Segoe UI"/>
          <w:szCs w:val="22"/>
          <w:shd w:val="clear" w:color="auto" w:fill="FFFFFF" w:themeFill="background1"/>
          <w:lang w:val="pl-PL"/>
        </w:rPr>
        <w:t>miało zbycie działalności w Rosji, a pozytywny niedawno sfinalizowane przejęcia w obu sektorach biznesowych – Seal for Life i Vidal Sassoon. W ujęciu organicznym – czyli skorygowanym o efekty kursowe i przejęcia/zbycia – Henkel osiągnął dobrą dynamikę sprzedaży na poziomie 2,9 procent (Q2: +2,8 procent).</w:t>
      </w:r>
    </w:p>
    <w:p w14:paraId="3D83D9B9" w14:textId="77777777" w:rsidR="00E5017A" w:rsidRPr="002B244A" w:rsidRDefault="00E5017A" w:rsidP="00765289">
      <w:pPr>
        <w:rPr>
          <w:rFonts w:cs="Segoe UI"/>
          <w:szCs w:val="22"/>
          <w:lang w:val="pl-PL"/>
        </w:rPr>
      </w:pPr>
    </w:p>
    <w:p w14:paraId="02133CC6" w14:textId="6D47D838" w:rsidR="00765289" w:rsidRDefault="00765289" w:rsidP="00765289">
      <w:pPr>
        <w:rPr>
          <w:rFonts w:cs="Segoe UI"/>
          <w:szCs w:val="22"/>
          <w:lang w:val="pl-PL"/>
        </w:rPr>
      </w:pPr>
      <w:r w:rsidRPr="005C6134">
        <w:rPr>
          <w:rFonts w:cs="Segoe UI"/>
          <w:szCs w:val="22"/>
          <w:lang w:val="pl-PL"/>
        </w:rPr>
        <w:t xml:space="preserve">Sektor biznesowy </w:t>
      </w:r>
      <w:r w:rsidRPr="00F10523">
        <w:rPr>
          <w:rFonts w:cs="Segoe UI"/>
          <w:b/>
          <w:bCs/>
          <w:szCs w:val="22"/>
          <w:lang w:val="pl-PL"/>
        </w:rPr>
        <w:t>Adhesive Technologies</w:t>
      </w:r>
      <w:r w:rsidRPr="005C6134">
        <w:rPr>
          <w:rFonts w:cs="Segoe UI"/>
          <w:szCs w:val="22"/>
          <w:lang w:val="pl-PL"/>
        </w:rPr>
        <w:t xml:space="preserve"> </w:t>
      </w:r>
      <w:r w:rsidR="001E30F9" w:rsidRPr="001E30F9">
        <w:rPr>
          <w:rFonts w:cs="Segoe UI"/>
          <w:b/>
          <w:bCs/>
          <w:szCs w:val="22"/>
          <w:lang w:val="pl-PL"/>
        </w:rPr>
        <w:t>(kleje budowlane i konsumenckie oraz kleje i technologie dla przemysłu)</w:t>
      </w:r>
      <w:r w:rsidR="001E30F9" w:rsidRPr="001E30F9">
        <w:rPr>
          <w:rFonts w:cs="Segoe UI"/>
          <w:szCs w:val="22"/>
          <w:lang w:val="pl-PL"/>
        </w:rPr>
        <w:t xml:space="preserve"> </w:t>
      </w:r>
      <w:r w:rsidRPr="005C6134">
        <w:rPr>
          <w:rFonts w:cs="Segoe UI"/>
          <w:szCs w:val="22"/>
          <w:lang w:val="pl-PL"/>
        </w:rPr>
        <w:t xml:space="preserve">wygenerował dobrą organiczną dynamikę sprzedaży na poziomie 2,0 procent w pierwszej połowie 2024 roku, napędzaną przez obszary Mobility &amp; Electronics </w:t>
      </w:r>
      <w:r w:rsidR="003F643C">
        <w:rPr>
          <w:rFonts w:cs="Segoe UI"/>
          <w:szCs w:val="22"/>
          <w:lang w:val="pl-PL"/>
        </w:rPr>
        <w:t>(</w:t>
      </w:r>
      <w:r w:rsidR="003F643C" w:rsidRPr="003F643C">
        <w:rPr>
          <w:rFonts w:cs="Segoe UI"/>
          <w:szCs w:val="22"/>
          <w:lang w:val="pl-PL"/>
        </w:rPr>
        <w:t>produkty dla branży mobilności i branży elektronicznej</w:t>
      </w:r>
      <w:r w:rsidR="003F643C">
        <w:rPr>
          <w:rFonts w:cs="Segoe UI"/>
          <w:szCs w:val="22"/>
          <w:lang w:val="pl-PL"/>
        </w:rPr>
        <w:t xml:space="preserve">) </w:t>
      </w:r>
      <w:r w:rsidRPr="005C6134">
        <w:rPr>
          <w:rFonts w:cs="Segoe UI"/>
          <w:szCs w:val="22"/>
          <w:lang w:val="pl-PL"/>
        </w:rPr>
        <w:t xml:space="preserve">oraz Craftsmen, Construction &amp; Professional </w:t>
      </w:r>
      <w:r w:rsidR="00DD6CCA">
        <w:rPr>
          <w:rFonts w:cs="Segoe UI"/>
          <w:szCs w:val="22"/>
          <w:lang w:val="pl-PL"/>
        </w:rPr>
        <w:t>(</w:t>
      </w:r>
      <w:r w:rsidR="00DD6CCA" w:rsidRPr="00DD6CCA">
        <w:rPr>
          <w:rFonts w:cs="Segoe UI"/>
          <w:szCs w:val="22"/>
          <w:lang w:val="pl-PL"/>
        </w:rPr>
        <w:t xml:space="preserve">produkty dla branży rzemieślniczej, budowlanej i klientów profesjonalnych) </w:t>
      </w:r>
      <w:r w:rsidRPr="005C6134">
        <w:rPr>
          <w:rFonts w:cs="Segoe UI"/>
          <w:szCs w:val="22"/>
          <w:lang w:val="pl-PL"/>
        </w:rPr>
        <w:t xml:space="preserve">(Q2: +2,6 procent). Sektor biznesowy </w:t>
      </w:r>
      <w:r w:rsidRPr="00F10523">
        <w:rPr>
          <w:rFonts w:cs="Segoe UI"/>
          <w:b/>
          <w:bCs/>
          <w:szCs w:val="22"/>
          <w:lang w:val="pl-PL"/>
        </w:rPr>
        <w:t>Consumer Brands</w:t>
      </w:r>
      <w:r w:rsidRPr="005C6134">
        <w:rPr>
          <w:rFonts w:cs="Segoe UI"/>
          <w:szCs w:val="22"/>
          <w:lang w:val="pl-PL"/>
        </w:rPr>
        <w:t xml:space="preserve"> </w:t>
      </w:r>
      <w:r w:rsidR="001E796B" w:rsidRPr="001E796B">
        <w:rPr>
          <w:rFonts w:cs="Segoe UI"/>
          <w:b/>
          <w:bCs/>
          <w:szCs w:val="22"/>
          <w:lang w:val="pl-PL"/>
        </w:rPr>
        <w:t>(marki konsumenckie)</w:t>
      </w:r>
      <w:r w:rsidR="001E796B">
        <w:rPr>
          <w:rFonts w:cs="Segoe UI"/>
          <w:szCs w:val="22"/>
          <w:lang w:val="pl-PL"/>
        </w:rPr>
        <w:t xml:space="preserve"> </w:t>
      </w:r>
      <w:r w:rsidRPr="005C6134">
        <w:rPr>
          <w:rFonts w:cs="Segoe UI"/>
          <w:szCs w:val="22"/>
          <w:lang w:val="pl-PL"/>
        </w:rPr>
        <w:t xml:space="preserve">osiągnął bardzo silny organiczny wzrost sprzedaży na poziomie 4,3 procent, do którego przyczyniły się wszystkie obszary działalności (Q2: +3,3 procent). Wzrost sprzedaży w obu sektorach biznesowych był </w:t>
      </w:r>
      <w:r w:rsidR="0085781B">
        <w:rPr>
          <w:rFonts w:cs="Segoe UI"/>
          <w:szCs w:val="22"/>
          <w:lang w:val="pl-PL"/>
        </w:rPr>
        <w:t>napędzany</w:t>
      </w:r>
      <w:r>
        <w:rPr>
          <w:rFonts w:cs="Segoe UI"/>
          <w:szCs w:val="22"/>
          <w:lang w:val="pl-PL"/>
        </w:rPr>
        <w:t xml:space="preserve"> pozytywnym rozwojem cen. </w:t>
      </w:r>
      <w:r w:rsidRPr="00A260DF">
        <w:rPr>
          <w:rFonts w:cs="Segoe UI"/>
          <w:szCs w:val="22"/>
          <w:lang w:val="pl-PL"/>
        </w:rPr>
        <w:t xml:space="preserve">Na poziomie Grupy rozwój wolumenu, który nadal jest pod wpływem </w:t>
      </w:r>
      <w:r w:rsidR="0064453F">
        <w:rPr>
          <w:rFonts w:cs="Segoe UI"/>
          <w:szCs w:val="22"/>
          <w:lang w:val="pl-PL"/>
        </w:rPr>
        <w:t>zmian w portfolio</w:t>
      </w:r>
      <w:r w:rsidRPr="00A260DF">
        <w:rPr>
          <w:rFonts w:cs="Segoe UI"/>
          <w:szCs w:val="22"/>
          <w:lang w:val="pl-PL"/>
        </w:rPr>
        <w:t xml:space="preserve"> w</w:t>
      </w:r>
      <w:r w:rsidR="0064453F">
        <w:rPr>
          <w:rFonts w:cs="Segoe UI"/>
          <w:szCs w:val="22"/>
          <w:lang w:val="pl-PL"/>
        </w:rPr>
        <w:t xml:space="preserve"> Henkel</w:t>
      </w:r>
      <w:r w:rsidRPr="00A260DF">
        <w:rPr>
          <w:rFonts w:cs="Segoe UI"/>
          <w:szCs w:val="22"/>
          <w:lang w:val="pl-PL"/>
        </w:rPr>
        <w:t xml:space="preserve"> Consumer Brands</w:t>
      </w:r>
      <w:r w:rsidR="001E796B">
        <w:rPr>
          <w:rFonts w:cs="Segoe UI"/>
          <w:szCs w:val="22"/>
          <w:lang w:val="pl-PL"/>
        </w:rPr>
        <w:t xml:space="preserve"> (</w:t>
      </w:r>
      <w:r w:rsidR="001E796B" w:rsidRPr="001E796B">
        <w:rPr>
          <w:rFonts w:cs="Segoe UI"/>
          <w:szCs w:val="22"/>
          <w:lang w:val="pl-PL"/>
        </w:rPr>
        <w:t>marki konsumenckie</w:t>
      </w:r>
      <w:r w:rsidR="001E796B">
        <w:rPr>
          <w:rFonts w:cs="Segoe UI"/>
          <w:szCs w:val="22"/>
          <w:lang w:val="pl-PL"/>
        </w:rPr>
        <w:t>)</w:t>
      </w:r>
      <w:r w:rsidRPr="00A260DF">
        <w:rPr>
          <w:rFonts w:cs="Segoe UI"/>
          <w:szCs w:val="22"/>
          <w:lang w:val="pl-PL"/>
        </w:rPr>
        <w:t>, wykazał lekko pozytywny trend – zarówno w porównaniu z</w:t>
      </w:r>
      <w:r w:rsidR="0085781B">
        <w:rPr>
          <w:rFonts w:cs="Segoe UI"/>
          <w:szCs w:val="22"/>
          <w:lang w:val="pl-PL"/>
        </w:rPr>
        <w:t> </w:t>
      </w:r>
      <w:r w:rsidRPr="00A260DF">
        <w:rPr>
          <w:rFonts w:cs="Segoe UI"/>
          <w:szCs w:val="22"/>
          <w:lang w:val="pl-PL"/>
        </w:rPr>
        <w:t>pierwszą połową 2023 roku, jak i sekwencyjną poprawę w porównaniu z pierwszym kwartałem 2024 roku.</w:t>
      </w:r>
      <w:r>
        <w:rPr>
          <w:rFonts w:cs="Segoe UI"/>
          <w:szCs w:val="22"/>
          <w:lang w:val="pl-PL"/>
        </w:rPr>
        <w:t xml:space="preserve"> </w:t>
      </w:r>
    </w:p>
    <w:p w14:paraId="370F203E" w14:textId="77777777" w:rsidR="00765289" w:rsidRDefault="00765289" w:rsidP="00765289">
      <w:pPr>
        <w:rPr>
          <w:rFonts w:cs="Segoe UI"/>
          <w:szCs w:val="22"/>
          <w:lang w:val="pl-PL"/>
        </w:rPr>
      </w:pPr>
    </w:p>
    <w:p w14:paraId="7F65DED2" w14:textId="77777777" w:rsidR="00765289" w:rsidRPr="001A4914" w:rsidRDefault="00765289" w:rsidP="00765289">
      <w:pPr>
        <w:rPr>
          <w:rFonts w:cs="Segoe UI"/>
          <w:szCs w:val="22"/>
          <w:lang w:val="pl-PL"/>
        </w:rPr>
      </w:pPr>
      <w:r w:rsidRPr="001A4914">
        <w:rPr>
          <w:rFonts w:cs="Segoe UI"/>
          <w:szCs w:val="22"/>
          <w:lang w:val="pl-PL"/>
        </w:rPr>
        <w:t xml:space="preserve">W pierwszej połowie roku organiczny wzrost sprzedaży w regionie </w:t>
      </w:r>
      <w:r w:rsidRPr="009A6D88">
        <w:rPr>
          <w:rFonts w:cs="Segoe UI"/>
          <w:b/>
          <w:bCs/>
          <w:szCs w:val="22"/>
          <w:lang w:val="pl-PL"/>
        </w:rPr>
        <w:t>Europy</w:t>
      </w:r>
      <w:r w:rsidRPr="001A4914">
        <w:rPr>
          <w:rFonts w:cs="Segoe UI"/>
          <w:szCs w:val="22"/>
          <w:lang w:val="pl-PL"/>
        </w:rPr>
        <w:t xml:space="preserve"> wyniósł 1,8 procent (Q2: +1,2 procent). W regionie </w:t>
      </w:r>
      <w:r w:rsidRPr="006E4DDC">
        <w:rPr>
          <w:rFonts w:cs="Segoe UI"/>
          <w:b/>
          <w:bCs/>
          <w:szCs w:val="22"/>
          <w:lang w:val="pl-PL"/>
        </w:rPr>
        <w:t>IMEA</w:t>
      </w:r>
      <w:r w:rsidRPr="001A4914">
        <w:rPr>
          <w:rFonts w:cs="Segoe UI"/>
          <w:szCs w:val="22"/>
          <w:lang w:val="pl-PL"/>
        </w:rPr>
        <w:t xml:space="preserve"> Henkel osiągnął znaczący dwucyfrowy organiczny wzrost sprzedaży na poziomie 21,0 procent (Q2: +13,7 procent). Region </w:t>
      </w:r>
      <w:r w:rsidRPr="006E4DDC">
        <w:rPr>
          <w:rFonts w:cs="Segoe UI"/>
          <w:b/>
          <w:bCs/>
          <w:szCs w:val="22"/>
          <w:lang w:val="pl-PL"/>
        </w:rPr>
        <w:t>Ameryki Północnej</w:t>
      </w:r>
      <w:r w:rsidRPr="001A4914">
        <w:rPr>
          <w:rFonts w:cs="Segoe UI"/>
          <w:szCs w:val="22"/>
          <w:lang w:val="pl-PL"/>
        </w:rPr>
        <w:t xml:space="preserve"> odnotował organiczny spadek sprzedaży o -1,6 procent (Q2: -0,2 procent). Region </w:t>
      </w:r>
      <w:r w:rsidRPr="00C8162C">
        <w:rPr>
          <w:rFonts w:cs="Segoe UI"/>
          <w:b/>
          <w:bCs/>
          <w:szCs w:val="22"/>
          <w:lang w:val="pl-PL"/>
        </w:rPr>
        <w:t xml:space="preserve">Ameryki </w:t>
      </w:r>
      <w:r w:rsidRPr="00C8162C">
        <w:rPr>
          <w:rFonts w:cs="Segoe UI"/>
          <w:b/>
          <w:bCs/>
          <w:szCs w:val="22"/>
          <w:lang w:val="pl-PL"/>
        </w:rPr>
        <w:lastRenderedPageBreak/>
        <w:t>Łacińskiej</w:t>
      </w:r>
      <w:r w:rsidRPr="001A4914">
        <w:rPr>
          <w:rFonts w:cs="Segoe UI"/>
          <w:szCs w:val="22"/>
          <w:lang w:val="pl-PL"/>
        </w:rPr>
        <w:t xml:space="preserve"> odnotował płaski rozwój sprzedaży na poziomie 0,0 procent (Q2: +2,7 procent). Region </w:t>
      </w:r>
      <w:r w:rsidRPr="00C8162C">
        <w:rPr>
          <w:rFonts w:cs="Segoe UI"/>
          <w:b/>
          <w:bCs/>
          <w:szCs w:val="22"/>
          <w:lang w:val="pl-PL"/>
        </w:rPr>
        <w:t>Azji i Pacyfiku</w:t>
      </w:r>
      <w:r w:rsidRPr="001A4914">
        <w:rPr>
          <w:rFonts w:cs="Segoe UI"/>
          <w:szCs w:val="22"/>
          <w:lang w:val="pl-PL"/>
        </w:rPr>
        <w:t xml:space="preserve"> osiągnął organiczny wzrost sprzedaży na poziomie 5,5 procent (Q2: +7,5 procent).</w:t>
      </w:r>
    </w:p>
    <w:p w14:paraId="02221EB8" w14:textId="77777777" w:rsidR="00765289" w:rsidRPr="001A4914" w:rsidRDefault="00765289" w:rsidP="00765289">
      <w:pPr>
        <w:rPr>
          <w:rFonts w:cs="Segoe UI"/>
          <w:bCs/>
          <w:szCs w:val="22"/>
          <w:lang w:val="pl-PL"/>
        </w:rPr>
      </w:pPr>
    </w:p>
    <w:p w14:paraId="72013934" w14:textId="77777777" w:rsidR="00765289" w:rsidRPr="00585DEA" w:rsidRDefault="00765289" w:rsidP="00765289">
      <w:pPr>
        <w:rPr>
          <w:rFonts w:cs="Segoe UI"/>
          <w:bCs/>
          <w:szCs w:val="22"/>
          <w:lang w:val="pl-PL"/>
        </w:rPr>
      </w:pPr>
      <w:r w:rsidRPr="00585DEA">
        <w:rPr>
          <w:rFonts w:cs="Segoe UI"/>
          <w:b/>
          <w:szCs w:val="22"/>
          <w:lang w:val="pl-PL"/>
        </w:rPr>
        <w:t>Skorygowany zysk operacyjny (skorygowany EBIT)</w:t>
      </w:r>
      <w:r w:rsidRPr="00585DEA">
        <w:rPr>
          <w:rFonts w:cs="Segoe UI"/>
          <w:bCs/>
          <w:szCs w:val="22"/>
          <w:lang w:val="pl-PL"/>
        </w:rPr>
        <w:t xml:space="preserve"> wzrósł znacząco z 1,254 milionów euro w pierwszej połowie 2023 roku o 28,4 procent do 1,610 milionów euro, głównie w wyniku silnego wzrostu marży brutto.</w:t>
      </w:r>
    </w:p>
    <w:p w14:paraId="33FC8138" w14:textId="77777777" w:rsidR="00765289" w:rsidRPr="00585DEA" w:rsidRDefault="00765289" w:rsidP="00765289">
      <w:pPr>
        <w:rPr>
          <w:rFonts w:cs="Segoe UI"/>
          <w:bCs/>
          <w:szCs w:val="22"/>
          <w:lang w:val="pl-PL"/>
        </w:rPr>
      </w:pPr>
    </w:p>
    <w:p w14:paraId="78F61F87" w14:textId="77777777" w:rsidR="00765289" w:rsidRPr="00EE51DF" w:rsidRDefault="00765289" w:rsidP="00765289">
      <w:pPr>
        <w:rPr>
          <w:rFonts w:cs="Segoe UI"/>
          <w:bCs/>
          <w:szCs w:val="22"/>
          <w:lang w:val="pl-PL"/>
        </w:rPr>
      </w:pPr>
      <w:r w:rsidRPr="00EE51DF">
        <w:rPr>
          <w:rFonts w:cs="Segoe UI"/>
          <w:b/>
          <w:szCs w:val="22"/>
          <w:lang w:val="pl-PL"/>
        </w:rPr>
        <w:t>Skorygowany zwrot ze sprzedaży (skorygowana marża EBIT)</w:t>
      </w:r>
      <w:r w:rsidRPr="00EE51DF">
        <w:rPr>
          <w:rFonts w:cs="Segoe UI"/>
          <w:bCs/>
          <w:szCs w:val="22"/>
          <w:lang w:val="pl-PL"/>
        </w:rPr>
        <w:t xml:space="preserve"> Grupy Henkel odnotował bardzo silny wzrost o 340 punktów bazowych z 11,5 procent do 14,9 procent.</w:t>
      </w:r>
    </w:p>
    <w:p w14:paraId="15246440" w14:textId="77777777" w:rsidR="00765289" w:rsidRPr="00EE51DF" w:rsidRDefault="00765289" w:rsidP="00765289">
      <w:pPr>
        <w:rPr>
          <w:rFonts w:cs="Segoe UI"/>
          <w:b/>
          <w:szCs w:val="22"/>
          <w:lang w:val="pl-PL"/>
        </w:rPr>
      </w:pPr>
    </w:p>
    <w:p w14:paraId="30269570" w14:textId="221B106A" w:rsidR="00765289" w:rsidRPr="003952FC" w:rsidRDefault="00765289" w:rsidP="00765289">
      <w:pPr>
        <w:rPr>
          <w:lang w:val="pl-PL"/>
        </w:rPr>
      </w:pPr>
      <w:r w:rsidRPr="003952FC">
        <w:rPr>
          <w:b/>
          <w:bCs/>
          <w:lang w:val="pl-PL"/>
        </w:rPr>
        <w:t>Zysk na akcję uprzywilejowaną</w:t>
      </w:r>
      <w:r w:rsidRPr="003952FC">
        <w:rPr>
          <w:lang w:val="pl-PL"/>
        </w:rPr>
        <w:t xml:space="preserve"> wzrósł znacząco do 2,46 euro (poprzedni rok: 1,35 euro). Skorygowany zysk na akcję uprzywilejowaną wzrósł o 30,5 procent do 2,78 euro w porównaniu do 2,13 euro </w:t>
      </w:r>
      <w:r w:rsidR="0064453F" w:rsidRPr="00403BE0">
        <w:rPr>
          <w:lang w:val="pl-PL"/>
        </w:rPr>
        <w:t>w analogicznym okresie poprzedniego roku</w:t>
      </w:r>
      <w:r w:rsidR="0064453F">
        <w:rPr>
          <w:lang w:val="pl-PL"/>
        </w:rPr>
        <w:t>.</w:t>
      </w:r>
      <w:r w:rsidR="007B62DB">
        <w:rPr>
          <w:lang w:val="pl-PL"/>
        </w:rPr>
        <w:t xml:space="preserve"> </w:t>
      </w:r>
      <w:r w:rsidR="0064453F">
        <w:rPr>
          <w:lang w:val="pl-PL"/>
        </w:rPr>
        <w:t>T</w:t>
      </w:r>
      <w:r w:rsidR="0064453F" w:rsidRPr="00403BE0">
        <w:rPr>
          <w:lang w:val="pl-PL"/>
        </w:rPr>
        <w:t>en znaczny wzrost był głównie spowodowany wzrostem skorygowanego zysku operacyjnego. Przy stałych kursach walut, skorygowany zysk na akcję uprzywilejowaną wzrósł o 32,9 procent.</w:t>
      </w:r>
    </w:p>
    <w:p w14:paraId="533FA747" w14:textId="77777777" w:rsidR="00765289" w:rsidRPr="003952FC" w:rsidRDefault="00765289" w:rsidP="00765289">
      <w:pPr>
        <w:rPr>
          <w:rFonts w:cs="Segoe UI"/>
          <w:bCs/>
          <w:szCs w:val="22"/>
          <w:lang w:val="pl-PL"/>
        </w:rPr>
      </w:pPr>
    </w:p>
    <w:p w14:paraId="4C013478" w14:textId="75F1BBC0" w:rsidR="00765289" w:rsidRPr="00A54174" w:rsidRDefault="00765289" w:rsidP="00765289">
      <w:pPr>
        <w:rPr>
          <w:lang w:val="pl-PL"/>
        </w:rPr>
      </w:pPr>
      <w:r w:rsidRPr="00A54174">
        <w:rPr>
          <w:b/>
          <w:bCs/>
          <w:lang w:val="pl-PL"/>
        </w:rPr>
        <w:t>Wskaźnik kapitału obrotowego netto</w:t>
      </w:r>
      <w:r w:rsidRPr="00A54174">
        <w:rPr>
          <w:lang w:val="pl-PL"/>
        </w:rPr>
        <w:t xml:space="preserve"> zmniejszył się o 0,9 punktu procentowego w</w:t>
      </w:r>
      <w:r w:rsidR="007B3AB7">
        <w:rPr>
          <w:lang w:val="pl-PL"/>
        </w:rPr>
        <w:t> </w:t>
      </w:r>
      <w:r w:rsidRPr="00A54174">
        <w:rPr>
          <w:lang w:val="pl-PL"/>
        </w:rPr>
        <w:t>porównaniu do analogicznego okresu  poprzedniego</w:t>
      </w:r>
      <w:r w:rsidR="0064453F">
        <w:rPr>
          <w:lang w:val="pl-PL"/>
        </w:rPr>
        <w:t xml:space="preserve"> roku</w:t>
      </w:r>
      <w:r w:rsidRPr="00A54174">
        <w:rPr>
          <w:lang w:val="pl-PL"/>
        </w:rPr>
        <w:t>, z 6,1 procent do 5,2 procent.</w:t>
      </w:r>
    </w:p>
    <w:p w14:paraId="6546CC17" w14:textId="77777777" w:rsidR="00765289" w:rsidRPr="00A54174" w:rsidRDefault="00765289" w:rsidP="00765289">
      <w:pPr>
        <w:rPr>
          <w:rFonts w:cs="Segoe UI"/>
          <w:szCs w:val="22"/>
          <w:lang w:val="pl-PL"/>
        </w:rPr>
      </w:pPr>
    </w:p>
    <w:p w14:paraId="681068CB" w14:textId="40EA43AB" w:rsidR="00765289" w:rsidRPr="00434E0C" w:rsidRDefault="00765289" w:rsidP="00765289">
      <w:pPr>
        <w:rPr>
          <w:lang w:val="pl-PL"/>
        </w:rPr>
      </w:pPr>
      <w:r w:rsidRPr="00434E0C">
        <w:rPr>
          <w:b/>
          <w:bCs/>
          <w:lang w:val="pl-PL"/>
        </w:rPr>
        <w:t>Wolne przepływy pieniężne</w:t>
      </w:r>
      <w:r w:rsidRPr="00434E0C">
        <w:rPr>
          <w:lang w:val="pl-PL"/>
        </w:rPr>
        <w:t xml:space="preserve"> osiągnęły 772 miliony euro, co </w:t>
      </w:r>
      <w:r w:rsidR="0064453F">
        <w:rPr>
          <w:lang w:val="pl-PL"/>
        </w:rPr>
        <w:t>jest</w:t>
      </w:r>
      <w:r w:rsidRPr="00434E0C">
        <w:rPr>
          <w:lang w:val="pl-PL"/>
        </w:rPr>
        <w:t xml:space="preserve"> </w:t>
      </w:r>
      <w:r w:rsidR="0064453F" w:rsidRPr="00434E0C">
        <w:rPr>
          <w:lang w:val="pl-PL"/>
        </w:rPr>
        <w:t>wyższ</w:t>
      </w:r>
      <w:r w:rsidR="0064453F">
        <w:rPr>
          <w:lang w:val="pl-PL"/>
        </w:rPr>
        <w:t>ym wynikiem</w:t>
      </w:r>
      <w:r w:rsidR="0064453F" w:rsidRPr="00434E0C">
        <w:rPr>
          <w:lang w:val="pl-PL"/>
        </w:rPr>
        <w:t xml:space="preserve"> </w:t>
      </w:r>
      <w:r w:rsidRPr="00434E0C">
        <w:rPr>
          <w:lang w:val="pl-PL"/>
        </w:rPr>
        <w:t>niż w</w:t>
      </w:r>
      <w:r w:rsidR="007B3AB7">
        <w:rPr>
          <w:lang w:val="pl-PL"/>
        </w:rPr>
        <w:t> </w:t>
      </w:r>
      <w:r w:rsidRPr="00434E0C">
        <w:rPr>
          <w:lang w:val="pl-PL"/>
        </w:rPr>
        <w:t>pierwszej połowie 2023 roku (749 milionów euro). Jest to głównie związane z wyższym przepływem pieniężnym z działalności operacyjnej.</w:t>
      </w:r>
    </w:p>
    <w:p w14:paraId="589116CD" w14:textId="77777777" w:rsidR="00765289" w:rsidRPr="00434E0C" w:rsidRDefault="00765289" w:rsidP="00765289">
      <w:pPr>
        <w:autoSpaceDE w:val="0"/>
        <w:autoSpaceDN w:val="0"/>
        <w:adjustRightInd w:val="0"/>
        <w:rPr>
          <w:lang w:val="pl-PL"/>
        </w:rPr>
      </w:pPr>
    </w:p>
    <w:p w14:paraId="51249542" w14:textId="77777777" w:rsidR="00765289" w:rsidRPr="00E144AD" w:rsidRDefault="00765289" w:rsidP="00765289">
      <w:pPr>
        <w:rPr>
          <w:lang w:val="pl-PL"/>
        </w:rPr>
      </w:pPr>
      <w:r w:rsidRPr="00E144AD">
        <w:rPr>
          <w:lang w:val="pl-PL"/>
        </w:rPr>
        <w:t xml:space="preserve">Na dzień 30 czerwca 2024 roku, </w:t>
      </w:r>
      <w:r w:rsidRPr="00E144AD">
        <w:rPr>
          <w:b/>
          <w:bCs/>
          <w:lang w:val="pl-PL"/>
        </w:rPr>
        <w:t>pozycja finansowa netto</w:t>
      </w:r>
      <w:r w:rsidRPr="00E144AD">
        <w:rPr>
          <w:lang w:val="pl-PL"/>
        </w:rPr>
        <w:t xml:space="preserve"> wyniosła -1,440 milionów euro (31 grudnia 2023 roku: 12 milionów euro).</w:t>
      </w:r>
    </w:p>
    <w:p w14:paraId="037ED634" w14:textId="77777777" w:rsidR="00765289" w:rsidRPr="00E144AD" w:rsidRDefault="00765289" w:rsidP="00765289">
      <w:pPr>
        <w:rPr>
          <w:rFonts w:cs="Segoe UI"/>
          <w:szCs w:val="22"/>
          <w:lang w:val="pl-PL"/>
        </w:rPr>
      </w:pPr>
    </w:p>
    <w:p w14:paraId="33EC3879" w14:textId="77777777" w:rsidR="00765289" w:rsidRPr="00E144AD" w:rsidRDefault="00765289" w:rsidP="00765289">
      <w:pPr>
        <w:spacing w:line="240" w:lineRule="auto"/>
        <w:jc w:val="left"/>
        <w:rPr>
          <w:rFonts w:cs="Segoe UI"/>
          <w:color w:val="3B3B3B"/>
          <w:shd w:val="clear" w:color="auto" w:fill="FFFFFF"/>
          <w:lang w:val="pl-PL"/>
        </w:rPr>
      </w:pPr>
    </w:p>
    <w:p w14:paraId="083F3A8D" w14:textId="28A0CC49" w:rsidR="00765289" w:rsidRPr="00C611A9" w:rsidRDefault="0064453F" w:rsidP="00765289">
      <w:pPr>
        <w:spacing w:after="120"/>
        <w:rPr>
          <w:rFonts w:cs="Segoe UI"/>
          <w:b/>
          <w:bCs/>
          <w:szCs w:val="22"/>
          <w:highlight w:val="yellow"/>
          <w:lang w:val="pl-PL" w:eastAsia="de-DE"/>
        </w:rPr>
      </w:pPr>
      <w:r>
        <w:rPr>
          <w:rFonts w:cs="Segoe UI"/>
          <w:b/>
          <w:bCs/>
          <w:szCs w:val="22"/>
          <w:lang w:val="pl-PL" w:eastAsia="de-DE"/>
        </w:rPr>
        <w:t xml:space="preserve">Wyniki </w:t>
      </w:r>
      <w:r w:rsidR="00765289" w:rsidRPr="00C611A9">
        <w:rPr>
          <w:rFonts w:cs="Segoe UI"/>
          <w:b/>
          <w:bCs/>
          <w:szCs w:val="22"/>
          <w:lang w:val="pl-PL" w:eastAsia="de-DE"/>
        </w:rPr>
        <w:t xml:space="preserve">sektorów biznesowych w </w:t>
      </w:r>
      <w:r w:rsidR="001C2AF7">
        <w:rPr>
          <w:rFonts w:cs="Segoe UI"/>
          <w:b/>
          <w:bCs/>
          <w:szCs w:val="22"/>
          <w:lang w:val="pl-PL" w:eastAsia="de-DE"/>
        </w:rPr>
        <w:t xml:space="preserve">pierwszej </w:t>
      </w:r>
      <w:r w:rsidR="00765289" w:rsidRPr="00C611A9">
        <w:rPr>
          <w:rFonts w:cs="Segoe UI"/>
          <w:b/>
          <w:bCs/>
          <w:szCs w:val="22"/>
          <w:lang w:val="pl-PL" w:eastAsia="de-DE"/>
        </w:rPr>
        <w:t>połowie 2024 roku</w:t>
      </w:r>
      <w:r w:rsidR="00765289">
        <w:rPr>
          <w:rFonts w:cs="Segoe UI"/>
          <w:b/>
          <w:bCs/>
          <w:szCs w:val="22"/>
          <w:lang w:val="pl-PL" w:eastAsia="de-DE"/>
        </w:rPr>
        <w:t xml:space="preserve"> </w:t>
      </w:r>
    </w:p>
    <w:p w14:paraId="7CB5D65C" w14:textId="1DC7117B" w:rsidR="00765289" w:rsidRPr="00907B57" w:rsidRDefault="00765289" w:rsidP="00765289">
      <w:pPr>
        <w:rPr>
          <w:rFonts w:cs="Segoe UI"/>
          <w:bCs/>
          <w:szCs w:val="22"/>
          <w:lang w:val="pl-PL"/>
        </w:rPr>
      </w:pPr>
      <w:r w:rsidRPr="00907B57">
        <w:rPr>
          <w:color w:val="000000" w:themeColor="text1"/>
          <w:lang w:val="pl-PL"/>
        </w:rPr>
        <w:t xml:space="preserve">Sektor biznesowy </w:t>
      </w:r>
      <w:r w:rsidRPr="00907B57">
        <w:rPr>
          <w:b/>
          <w:bCs/>
          <w:color w:val="000000" w:themeColor="text1"/>
          <w:lang w:val="pl-PL"/>
        </w:rPr>
        <w:t>Adhesive Technologies</w:t>
      </w:r>
      <w:r w:rsidR="00DA66F0">
        <w:rPr>
          <w:b/>
          <w:bCs/>
          <w:color w:val="000000" w:themeColor="text1"/>
          <w:lang w:val="pl-PL"/>
        </w:rPr>
        <w:t xml:space="preserve"> (</w:t>
      </w:r>
      <w:r w:rsidR="00DA66F0" w:rsidRPr="00403BE0">
        <w:rPr>
          <w:b/>
          <w:bCs/>
          <w:color w:val="000000" w:themeColor="text1"/>
          <w:lang w:val="pl-PL"/>
        </w:rPr>
        <w:t>kleje budowlane i konsumenckie oraz kleje i technologie dla przemysłu)</w:t>
      </w:r>
      <w:r w:rsidRPr="00907B57">
        <w:rPr>
          <w:color w:val="000000" w:themeColor="text1"/>
          <w:lang w:val="pl-PL"/>
        </w:rPr>
        <w:t xml:space="preserve"> wygenerował przychody ze sprzedaży na poziomie 5,475 milionów euro w pierwszej połowie 2024 roku, </w:t>
      </w:r>
      <w:r w:rsidR="0064453F" w:rsidRPr="00403BE0">
        <w:rPr>
          <w:color w:val="000000" w:themeColor="text1"/>
          <w:lang w:val="pl-PL"/>
        </w:rPr>
        <w:t>co nominalnie jest na tym samym poziomie co w analogicznym okresie poprzedniego roku</w:t>
      </w:r>
      <w:r w:rsidR="0064453F" w:rsidRPr="0064453F" w:rsidDel="0064453F">
        <w:rPr>
          <w:color w:val="000000" w:themeColor="text1"/>
          <w:lang w:val="pl-PL"/>
        </w:rPr>
        <w:t xml:space="preserve"> </w:t>
      </w:r>
      <w:r w:rsidRPr="00907B57">
        <w:rPr>
          <w:color w:val="000000" w:themeColor="text1"/>
          <w:lang w:val="pl-PL"/>
        </w:rPr>
        <w:t xml:space="preserve">(Q2: 2,798 milionów euro). </w:t>
      </w:r>
      <w:r w:rsidR="0064453F">
        <w:rPr>
          <w:b/>
          <w:bCs/>
          <w:color w:val="000000" w:themeColor="text1"/>
          <w:lang w:val="pl-PL"/>
        </w:rPr>
        <w:t>W ujęciu organicznym</w:t>
      </w:r>
      <w:r w:rsidRPr="00907B57">
        <w:rPr>
          <w:color w:val="000000" w:themeColor="text1"/>
          <w:lang w:val="pl-PL"/>
        </w:rPr>
        <w:t xml:space="preserve">, sprzedaż wzrosła o 2,0 procent (Q2: 2,6 procent). Ten rozwój był napędzany przez komponent cenowy na poziomie +0,2 procent oraz wzrost wolumenu o 1,8 procent. </w:t>
      </w:r>
      <w:r w:rsidR="00737E36" w:rsidRPr="00403BE0">
        <w:rPr>
          <w:color w:val="000000" w:themeColor="text1"/>
          <w:lang w:val="pl-PL"/>
        </w:rPr>
        <w:t xml:space="preserve">W ten sposób </w:t>
      </w:r>
      <w:r w:rsidR="00737E36">
        <w:rPr>
          <w:color w:val="000000" w:themeColor="text1"/>
          <w:lang w:val="pl-PL"/>
        </w:rPr>
        <w:t xml:space="preserve">ten sektor </w:t>
      </w:r>
      <w:r w:rsidR="007B62DB">
        <w:rPr>
          <w:color w:val="000000" w:themeColor="text1"/>
          <w:lang w:val="pl-PL"/>
        </w:rPr>
        <w:t>biznesowy</w:t>
      </w:r>
      <w:r w:rsidR="00737E36" w:rsidRPr="00403BE0">
        <w:rPr>
          <w:color w:val="000000" w:themeColor="text1"/>
          <w:lang w:val="pl-PL"/>
        </w:rPr>
        <w:t xml:space="preserve"> wykazał poprawę w rozwoju wolumenu w drugim kwartale.</w:t>
      </w:r>
    </w:p>
    <w:p w14:paraId="66ED8EE4" w14:textId="77777777" w:rsidR="00765289" w:rsidRPr="00907B57" w:rsidRDefault="00765289" w:rsidP="00765289">
      <w:pPr>
        <w:rPr>
          <w:rFonts w:cs="Segoe UI"/>
          <w:bCs/>
          <w:szCs w:val="22"/>
          <w:lang w:val="pl-PL"/>
        </w:rPr>
      </w:pPr>
    </w:p>
    <w:p w14:paraId="428FAA41" w14:textId="41A04879" w:rsidR="00765289" w:rsidRPr="00FA615A" w:rsidRDefault="00765289" w:rsidP="00765289">
      <w:pPr>
        <w:rPr>
          <w:lang w:val="pl-PL"/>
        </w:rPr>
      </w:pPr>
      <w:r w:rsidRPr="00FA615A">
        <w:rPr>
          <w:lang w:val="pl-PL"/>
        </w:rPr>
        <w:lastRenderedPageBreak/>
        <w:t xml:space="preserve">Obszar biznesowy </w:t>
      </w:r>
      <w:r w:rsidRPr="00FA615A">
        <w:rPr>
          <w:b/>
          <w:bCs/>
          <w:lang w:val="pl-PL"/>
        </w:rPr>
        <w:t>Mobility &amp; Electronics</w:t>
      </w:r>
      <w:r w:rsidRPr="00FA615A">
        <w:rPr>
          <w:lang w:val="pl-PL"/>
        </w:rPr>
        <w:t xml:space="preserve"> </w:t>
      </w:r>
      <w:r w:rsidR="003F643C" w:rsidRPr="003F643C">
        <w:rPr>
          <w:b/>
          <w:bCs/>
          <w:lang w:val="pl-PL"/>
        </w:rPr>
        <w:t>(produkty dla branży mobilności i branży elektronicznej)</w:t>
      </w:r>
      <w:r w:rsidR="003F643C">
        <w:rPr>
          <w:lang w:val="pl-PL"/>
        </w:rPr>
        <w:t xml:space="preserve"> </w:t>
      </w:r>
      <w:r w:rsidRPr="00FA615A">
        <w:rPr>
          <w:lang w:val="pl-PL"/>
        </w:rPr>
        <w:t>osiągnął bardzo silny organiczny wzrost sprzedaży na poziomie 5,3 procent (Q2: +6,8 procent). Ten wzrost był wspierany przez wszystkie</w:t>
      </w:r>
      <w:r>
        <w:rPr>
          <w:lang w:val="pl-PL"/>
        </w:rPr>
        <w:t xml:space="preserve"> segmenty</w:t>
      </w:r>
      <w:r w:rsidRPr="00FA615A">
        <w:rPr>
          <w:lang w:val="pl-PL"/>
        </w:rPr>
        <w:t xml:space="preserve"> działalności, a w szczególności przez działalność w zakresie elektroniki, która odnotowała dwucyfrowy organiczny wzrost sprzedaży w porównaniu do słabego okresu z roku poprzedniego. Obszar biznesowy </w:t>
      </w:r>
      <w:r w:rsidRPr="00A849D1">
        <w:rPr>
          <w:b/>
          <w:bCs/>
          <w:lang w:val="pl-PL"/>
        </w:rPr>
        <w:t>Packaging &amp; Consumer Goods</w:t>
      </w:r>
      <w:r w:rsidRPr="00FA615A">
        <w:rPr>
          <w:lang w:val="pl-PL"/>
        </w:rPr>
        <w:t xml:space="preserve"> </w:t>
      </w:r>
      <w:r w:rsidR="00970518" w:rsidRPr="00642D0D">
        <w:rPr>
          <w:b/>
          <w:bCs/>
          <w:lang w:val="pl-PL"/>
        </w:rPr>
        <w:t>(produkty dla branży opakowań i towarów konsumpcyjnych)</w:t>
      </w:r>
      <w:r w:rsidR="00642D0D">
        <w:rPr>
          <w:lang w:val="pl-PL"/>
        </w:rPr>
        <w:t xml:space="preserve"> </w:t>
      </w:r>
      <w:r w:rsidRPr="00FA615A">
        <w:rPr>
          <w:lang w:val="pl-PL"/>
        </w:rPr>
        <w:t xml:space="preserve">odnotował organiczny spadek sprzedaży na poziomie -0,6 procent (Q2: -1,0 procent). W obszarze Packaging </w:t>
      </w:r>
      <w:r w:rsidR="00305593">
        <w:rPr>
          <w:lang w:val="pl-PL"/>
        </w:rPr>
        <w:t xml:space="preserve">(opakowania) </w:t>
      </w:r>
      <w:r w:rsidRPr="00FA615A">
        <w:rPr>
          <w:lang w:val="pl-PL"/>
        </w:rPr>
        <w:t>wzrost wolumenu zrekompensował negatywny rozwój cen. Ogólnie rzecz biorąc, działalność Consumer Goods</w:t>
      </w:r>
      <w:r w:rsidR="000A5FA6">
        <w:rPr>
          <w:lang w:val="pl-PL"/>
        </w:rPr>
        <w:t xml:space="preserve"> (</w:t>
      </w:r>
      <w:r w:rsidR="000A5FA6" w:rsidRPr="000A5FA6">
        <w:rPr>
          <w:lang w:val="pl-PL"/>
        </w:rPr>
        <w:t>towary konsumpcyjne)</w:t>
      </w:r>
      <w:r w:rsidR="000A5FA6">
        <w:rPr>
          <w:lang w:val="pl-PL"/>
        </w:rPr>
        <w:t xml:space="preserve"> </w:t>
      </w:r>
      <w:r w:rsidRPr="00FA615A">
        <w:rPr>
          <w:lang w:val="pl-PL"/>
        </w:rPr>
        <w:t xml:space="preserve">odnotowała lekki spadek w porównaniu do silnego okresu z roku poprzedniego. Obszar biznesowy </w:t>
      </w:r>
      <w:r w:rsidRPr="00F96BF4">
        <w:rPr>
          <w:b/>
          <w:bCs/>
          <w:lang w:val="pl-PL"/>
        </w:rPr>
        <w:t>Craftsmen, Construction &amp; Professional</w:t>
      </w:r>
      <w:r w:rsidRPr="00FA615A">
        <w:rPr>
          <w:lang w:val="pl-PL"/>
        </w:rPr>
        <w:t xml:space="preserve"> </w:t>
      </w:r>
      <w:r w:rsidR="00726A5B" w:rsidRPr="00726A5B">
        <w:rPr>
          <w:b/>
          <w:bCs/>
          <w:lang w:val="pl-PL"/>
        </w:rPr>
        <w:t>(produkty dla branży rzemieślniczej, budowlanej i klientów profesjonalnych)</w:t>
      </w:r>
      <w:r w:rsidR="00726A5B" w:rsidRPr="00726A5B">
        <w:rPr>
          <w:lang w:val="pl-PL"/>
        </w:rPr>
        <w:t xml:space="preserve"> </w:t>
      </w:r>
      <w:r w:rsidRPr="00FA615A">
        <w:rPr>
          <w:lang w:val="pl-PL"/>
        </w:rPr>
        <w:t xml:space="preserve">wygenerował organiczny wzrost sprzedaży na poziomie 1,0 procent (Q2: +1,7 procent), do którego przyczyniły się działalności Construction </w:t>
      </w:r>
      <w:r w:rsidR="00FA196C">
        <w:rPr>
          <w:lang w:val="pl-PL"/>
        </w:rPr>
        <w:t>(</w:t>
      </w:r>
      <w:r w:rsidR="00FA196C" w:rsidRPr="00FA196C">
        <w:rPr>
          <w:lang w:val="pl-PL"/>
        </w:rPr>
        <w:t>produkty dla branży budowlanej)</w:t>
      </w:r>
      <w:r w:rsidR="00FA196C">
        <w:rPr>
          <w:lang w:val="pl-PL"/>
        </w:rPr>
        <w:t xml:space="preserve"> </w:t>
      </w:r>
      <w:r w:rsidRPr="00FA615A">
        <w:rPr>
          <w:lang w:val="pl-PL"/>
        </w:rPr>
        <w:t xml:space="preserve">oraz </w:t>
      </w:r>
      <w:proofErr w:type="spellStart"/>
      <w:r w:rsidRPr="00FA615A">
        <w:rPr>
          <w:lang w:val="pl-PL"/>
        </w:rPr>
        <w:t>Consumers</w:t>
      </w:r>
      <w:proofErr w:type="spellEnd"/>
      <w:r w:rsidRPr="00FA615A">
        <w:rPr>
          <w:lang w:val="pl-PL"/>
        </w:rPr>
        <w:t xml:space="preserve"> &amp; </w:t>
      </w:r>
      <w:proofErr w:type="spellStart"/>
      <w:r w:rsidRPr="00FA615A">
        <w:rPr>
          <w:lang w:val="pl-PL"/>
        </w:rPr>
        <w:t>Craftsmen</w:t>
      </w:r>
      <w:proofErr w:type="spellEnd"/>
      <w:r w:rsidR="00D816E2">
        <w:rPr>
          <w:lang w:val="pl-PL"/>
        </w:rPr>
        <w:t xml:space="preserve"> (</w:t>
      </w:r>
      <w:r w:rsidR="00D816E2" w:rsidRPr="00D816E2">
        <w:rPr>
          <w:lang w:val="pl-PL"/>
        </w:rPr>
        <w:t>produkty dla konsumentów, branży rzemieślniczej</w:t>
      </w:r>
      <w:r w:rsidR="00D816E2">
        <w:rPr>
          <w:lang w:val="pl-PL"/>
        </w:rPr>
        <w:t>)</w:t>
      </w:r>
      <w:r w:rsidRPr="00FA615A">
        <w:rPr>
          <w:lang w:val="pl-PL"/>
        </w:rPr>
        <w:t>. Działalność General Manufacturing &amp; Maintenance</w:t>
      </w:r>
      <w:r w:rsidR="00A73AC5">
        <w:rPr>
          <w:lang w:val="pl-PL"/>
        </w:rPr>
        <w:t xml:space="preserve"> (</w:t>
      </w:r>
      <w:r w:rsidR="00A73AC5" w:rsidRPr="00A73AC5">
        <w:rPr>
          <w:lang w:val="pl-PL"/>
        </w:rPr>
        <w:t>produkcja ogólna i utrzymanie)</w:t>
      </w:r>
      <w:r w:rsidRPr="00FA615A">
        <w:rPr>
          <w:lang w:val="pl-PL"/>
        </w:rPr>
        <w:t>, z drugiej strony, odnotowała lekki spadek w wyniku słabszego popytu.</w:t>
      </w:r>
    </w:p>
    <w:p w14:paraId="1C8348E5" w14:textId="77777777" w:rsidR="00765289" w:rsidRPr="00FA615A" w:rsidRDefault="00765289" w:rsidP="00765289">
      <w:pPr>
        <w:rPr>
          <w:rFonts w:eastAsia="Segoe UI" w:cs="Segoe UI"/>
          <w:szCs w:val="18"/>
          <w:lang w:val="pl-PL"/>
        </w:rPr>
      </w:pPr>
    </w:p>
    <w:p w14:paraId="73904564" w14:textId="3B4E5722" w:rsidR="00765289" w:rsidRPr="00E06F8B" w:rsidRDefault="00765289" w:rsidP="00765289">
      <w:pPr>
        <w:rPr>
          <w:lang w:val="pl-PL"/>
        </w:rPr>
      </w:pPr>
      <w:r w:rsidRPr="00E06F8B">
        <w:rPr>
          <w:b/>
          <w:bCs/>
          <w:lang w:val="pl-PL"/>
        </w:rPr>
        <w:t>Skorygowany zysk operacyjny</w:t>
      </w:r>
      <w:r w:rsidRPr="00E06F8B">
        <w:rPr>
          <w:lang w:val="pl-PL"/>
        </w:rPr>
        <w:t xml:space="preserve"> wzrósł o 21,8 procent do 933 milionów euro w pierwszej połowie 2024 roku w porównaniu do 766 milionów euro w analogicznym okresie </w:t>
      </w:r>
      <w:r w:rsidR="00737E36">
        <w:rPr>
          <w:lang w:val="pl-PL"/>
        </w:rPr>
        <w:t xml:space="preserve">poprzedniego </w:t>
      </w:r>
      <w:r w:rsidRPr="00E06F8B">
        <w:rPr>
          <w:lang w:val="pl-PL"/>
        </w:rPr>
        <w:t xml:space="preserve">roku. </w:t>
      </w:r>
      <w:r w:rsidRPr="00E06F8B">
        <w:rPr>
          <w:b/>
          <w:bCs/>
          <w:lang w:val="pl-PL"/>
        </w:rPr>
        <w:t>Skorygowan</w:t>
      </w:r>
      <w:r w:rsidR="00737E36">
        <w:rPr>
          <w:b/>
          <w:bCs/>
          <w:lang w:val="pl-PL"/>
        </w:rPr>
        <w:t>a rentowność sprzedaży</w:t>
      </w:r>
      <w:r w:rsidR="007B62DB">
        <w:rPr>
          <w:b/>
          <w:bCs/>
          <w:lang w:val="pl-PL"/>
        </w:rPr>
        <w:t xml:space="preserve"> </w:t>
      </w:r>
      <w:r w:rsidR="00737E36" w:rsidRPr="00E06F8B">
        <w:rPr>
          <w:lang w:val="pl-PL"/>
        </w:rPr>
        <w:t>wzr</w:t>
      </w:r>
      <w:r w:rsidR="00737E36">
        <w:rPr>
          <w:lang w:val="pl-PL"/>
        </w:rPr>
        <w:t xml:space="preserve">osła </w:t>
      </w:r>
      <w:r w:rsidRPr="00E06F8B">
        <w:rPr>
          <w:lang w:val="pl-PL"/>
        </w:rPr>
        <w:t>znacząco o 310 punktów bazowych do 17,0 procent. Niższe koszty surowców, pozytywne efekty miksu oraz efektywność łańcucha dostaw miały szczególnie pozytywny wpływ na marżę brutto.</w:t>
      </w:r>
    </w:p>
    <w:p w14:paraId="24FFF2C9" w14:textId="77777777" w:rsidR="00737E36" w:rsidRPr="00737E36" w:rsidRDefault="00737E36" w:rsidP="00765289">
      <w:pPr>
        <w:rPr>
          <w:lang w:val="pl-PL"/>
        </w:rPr>
      </w:pPr>
    </w:p>
    <w:p w14:paraId="545B5E0E" w14:textId="6B0E2A2E" w:rsidR="00765289" w:rsidRDefault="00765289" w:rsidP="00765289">
      <w:pPr>
        <w:rPr>
          <w:lang w:val="pl-PL"/>
        </w:rPr>
      </w:pPr>
      <w:r w:rsidRPr="00706F90">
        <w:rPr>
          <w:lang w:val="pl-PL"/>
        </w:rPr>
        <w:t xml:space="preserve">Sektor biznesowy </w:t>
      </w:r>
      <w:r w:rsidRPr="00706F90">
        <w:rPr>
          <w:b/>
          <w:bCs/>
          <w:lang w:val="pl-PL"/>
        </w:rPr>
        <w:t xml:space="preserve">Consumer </w:t>
      </w:r>
      <w:proofErr w:type="spellStart"/>
      <w:r w:rsidRPr="00706F90">
        <w:rPr>
          <w:b/>
          <w:bCs/>
          <w:lang w:val="pl-PL"/>
        </w:rPr>
        <w:t>Brands</w:t>
      </w:r>
      <w:proofErr w:type="spellEnd"/>
      <w:r w:rsidR="00465214">
        <w:rPr>
          <w:b/>
          <w:bCs/>
          <w:lang w:val="pl-PL"/>
        </w:rPr>
        <w:t xml:space="preserve"> (marki konsumenckie)</w:t>
      </w:r>
      <w:r w:rsidRPr="00706F90">
        <w:rPr>
          <w:lang w:val="pl-PL"/>
        </w:rPr>
        <w:t xml:space="preserve"> wygenerował przychody ze </w:t>
      </w:r>
      <w:r w:rsidRPr="00706F90">
        <w:rPr>
          <w:b/>
          <w:bCs/>
          <w:lang w:val="pl-PL"/>
        </w:rPr>
        <w:t>sprzedaży</w:t>
      </w:r>
      <w:r w:rsidRPr="00706F90">
        <w:rPr>
          <w:lang w:val="pl-PL"/>
        </w:rPr>
        <w:t xml:space="preserve"> na poziomie 5,266 milionów euro w pierwszych sześciu miesiącach 2024 roku (Q2: 2,662 milionów euro</w:t>
      </w:r>
      <w:r w:rsidR="00465214">
        <w:rPr>
          <w:lang w:val="pl-PL"/>
        </w:rPr>
        <w:t xml:space="preserve">), czyli w ujęciu nominalnym niższe o </w:t>
      </w:r>
      <w:r w:rsidR="00465214" w:rsidRPr="00CF1D96">
        <w:rPr>
          <w:lang w:val="pl-PL"/>
        </w:rPr>
        <w:t>-1,8 procenta</w:t>
      </w:r>
      <w:r w:rsidR="00465214">
        <w:rPr>
          <w:lang w:val="pl-PL"/>
        </w:rPr>
        <w:t xml:space="preserve"> </w:t>
      </w:r>
      <w:r w:rsidR="00465214" w:rsidRPr="00CF1D96">
        <w:rPr>
          <w:lang w:val="pl-PL"/>
        </w:rPr>
        <w:t>niż w analogicznym okresie roku poprzedniego. Tempo wzrostu </w:t>
      </w:r>
      <w:r w:rsidR="00465214" w:rsidRPr="00CF1D96">
        <w:rPr>
          <w:b/>
          <w:bCs/>
          <w:lang w:val="pl-PL"/>
        </w:rPr>
        <w:t>sprzedaży w ujęciu organicznym</w:t>
      </w:r>
      <w:r w:rsidR="00465214" w:rsidRPr="00CF1D96">
        <w:rPr>
          <w:lang w:val="pl-PL"/>
        </w:rPr>
        <w:t xml:space="preserve"> wzrosł</w:t>
      </w:r>
      <w:r w:rsidR="00465214">
        <w:rPr>
          <w:lang w:val="pl-PL"/>
        </w:rPr>
        <w:t>o</w:t>
      </w:r>
      <w:r w:rsidRPr="00706F90">
        <w:rPr>
          <w:lang w:val="pl-PL"/>
        </w:rPr>
        <w:t xml:space="preserve"> o 4,3 procent (Q2: +3,3 procent). Ten rozwój był napędzany przez komponent cenowy na poziomie +5,1 procent. Głównie w wyniku trwających działań optymalizacyjnych w portfelu, wolumeny spadły lekko o -0,9 procent. Jednak rozwój wolumenu wykazał sekwencyjną poprawę w drugim kwartale w porównaniu do pierwszego kwartału 2024 roku.</w:t>
      </w:r>
    </w:p>
    <w:p w14:paraId="54BCC809" w14:textId="77777777" w:rsidR="008D5BBD" w:rsidRPr="00706F90" w:rsidRDefault="008D5BBD" w:rsidP="00765289">
      <w:pPr>
        <w:rPr>
          <w:lang w:val="pl-PL"/>
        </w:rPr>
      </w:pPr>
    </w:p>
    <w:p w14:paraId="503415DA" w14:textId="22B3F479" w:rsidR="00765289" w:rsidRPr="00734C4B" w:rsidRDefault="00765289" w:rsidP="00765289">
      <w:pPr>
        <w:rPr>
          <w:lang w:val="pl-PL"/>
        </w:rPr>
      </w:pPr>
      <w:r w:rsidRPr="00734C4B">
        <w:rPr>
          <w:lang w:val="pl-PL"/>
        </w:rPr>
        <w:t xml:space="preserve">Obszar biznesowy </w:t>
      </w:r>
      <w:r w:rsidRPr="00734C4B">
        <w:rPr>
          <w:b/>
          <w:bCs/>
          <w:lang w:val="pl-PL"/>
        </w:rPr>
        <w:t>Laundry &amp; Home Care</w:t>
      </w:r>
      <w:r w:rsidRPr="00734C4B">
        <w:rPr>
          <w:lang w:val="pl-PL"/>
        </w:rPr>
        <w:t xml:space="preserve"> </w:t>
      </w:r>
      <w:r w:rsidR="00465214" w:rsidRPr="007B62DB">
        <w:rPr>
          <w:b/>
          <w:bCs/>
          <w:lang w:val="pl-PL"/>
        </w:rPr>
        <w:t>(środki piorące i środki czystości)</w:t>
      </w:r>
      <w:r w:rsidR="00465214" w:rsidRPr="00465214">
        <w:rPr>
          <w:lang w:val="pl-PL"/>
        </w:rPr>
        <w:t xml:space="preserve"> </w:t>
      </w:r>
      <w:r w:rsidRPr="00734C4B">
        <w:rPr>
          <w:lang w:val="pl-PL"/>
        </w:rPr>
        <w:t xml:space="preserve">osiągnął silny organiczny wzrost sprzedaży na poziomie 3,1 procent (Q2: +1,5 procent). </w:t>
      </w:r>
      <w:r w:rsidRPr="006B7C6C">
        <w:rPr>
          <w:lang w:val="pl-PL"/>
        </w:rPr>
        <w:t xml:space="preserve">Działalność w zakresie Laundry Care </w:t>
      </w:r>
      <w:r w:rsidR="008432F5">
        <w:rPr>
          <w:lang w:val="pl-PL"/>
        </w:rPr>
        <w:t xml:space="preserve">(środki piorące) </w:t>
      </w:r>
      <w:r w:rsidRPr="006B7C6C">
        <w:rPr>
          <w:lang w:val="pl-PL"/>
        </w:rPr>
        <w:t>osiągnęła pozytywny organiczny wzrost sprzedaży,</w:t>
      </w:r>
      <w:r w:rsidRPr="00734C4B">
        <w:rPr>
          <w:lang w:val="pl-PL"/>
        </w:rPr>
        <w:t xml:space="preserve"> głównie napędzany przez dwucyfrowy wzrost kategorii Fabric Care </w:t>
      </w:r>
      <w:r w:rsidR="00126D57">
        <w:rPr>
          <w:lang w:val="pl-PL"/>
        </w:rPr>
        <w:t>(</w:t>
      </w:r>
      <w:r w:rsidR="00126D57" w:rsidRPr="00126D57">
        <w:rPr>
          <w:lang w:val="pl-PL"/>
        </w:rPr>
        <w:t xml:space="preserve">środki do pielęgnacji tkanin) </w:t>
      </w:r>
      <w:r w:rsidRPr="00734C4B">
        <w:rPr>
          <w:lang w:val="pl-PL"/>
        </w:rPr>
        <w:t>oraz dobry wzrost sprzedaży w kategorii Fabric Cleaning</w:t>
      </w:r>
      <w:r w:rsidR="000C0C51">
        <w:rPr>
          <w:lang w:val="pl-PL"/>
        </w:rPr>
        <w:t xml:space="preserve"> (</w:t>
      </w:r>
      <w:r w:rsidR="000C0C51" w:rsidRPr="000C0C51">
        <w:rPr>
          <w:lang w:val="pl-PL"/>
        </w:rPr>
        <w:t>środki do prania tkanin</w:t>
      </w:r>
      <w:r w:rsidR="008432F5">
        <w:rPr>
          <w:lang w:val="pl-PL"/>
        </w:rPr>
        <w:t>)</w:t>
      </w:r>
      <w:r w:rsidRPr="00734C4B">
        <w:rPr>
          <w:lang w:val="pl-PL"/>
        </w:rPr>
        <w:t xml:space="preserve">. </w:t>
      </w:r>
      <w:r w:rsidRPr="00734C4B">
        <w:rPr>
          <w:lang w:val="pl-PL"/>
        </w:rPr>
        <w:lastRenderedPageBreak/>
        <w:t xml:space="preserve">Znaczący wzrost w działalności Home Care </w:t>
      </w:r>
      <w:r w:rsidR="003B3B55">
        <w:rPr>
          <w:lang w:val="pl-PL"/>
        </w:rPr>
        <w:t>(</w:t>
      </w:r>
      <w:r w:rsidR="003B3B55" w:rsidRPr="003B3B55">
        <w:rPr>
          <w:lang w:val="pl-PL"/>
        </w:rPr>
        <w:t>środki czystości</w:t>
      </w:r>
      <w:r w:rsidR="003B3B55">
        <w:rPr>
          <w:lang w:val="pl-PL"/>
        </w:rPr>
        <w:t xml:space="preserve">) </w:t>
      </w:r>
      <w:r w:rsidRPr="00734C4B">
        <w:rPr>
          <w:lang w:val="pl-PL"/>
        </w:rPr>
        <w:t>był głównie napędzany przez dwucyfrowy wzrost sprzedaży w</w:t>
      </w:r>
      <w:r w:rsidR="008D5BBD">
        <w:rPr>
          <w:lang w:val="pl-PL"/>
        </w:rPr>
        <w:t> </w:t>
      </w:r>
      <w:r w:rsidRPr="00734C4B">
        <w:rPr>
          <w:lang w:val="pl-PL"/>
        </w:rPr>
        <w:t xml:space="preserve">kategoriach Dishwashing </w:t>
      </w:r>
      <w:r w:rsidR="000759F6">
        <w:rPr>
          <w:lang w:val="pl-PL"/>
        </w:rPr>
        <w:t xml:space="preserve">(środki do zmywania naczyń) </w:t>
      </w:r>
      <w:r w:rsidRPr="00734C4B">
        <w:rPr>
          <w:lang w:val="pl-PL"/>
        </w:rPr>
        <w:t>i Toilet Care</w:t>
      </w:r>
      <w:r w:rsidR="00C13A3D">
        <w:rPr>
          <w:lang w:val="pl-PL"/>
        </w:rPr>
        <w:t xml:space="preserve"> (</w:t>
      </w:r>
      <w:r w:rsidR="00C13A3D" w:rsidRPr="00C13A3D">
        <w:rPr>
          <w:lang w:val="pl-PL"/>
        </w:rPr>
        <w:t>artykuły sanitarne do toalet)</w:t>
      </w:r>
      <w:r w:rsidRPr="00734C4B">
        <w:rPr>
          <w:lang w:val="pl-PL"/>
        </w:rPr>
        <w:t xml:space="preserve">. Obszar działalności </w:t>
      </w:r>
      <w:r w:rsidRPr="00A50715">
        <w:rPr>
          <w:b/>
          <w:bCs/>
          <w:lang w:val="pl-PL"/>
        </w:rPr>
        <w:t>Hair</w:t>
      </w:r>
      <w:r w:rsidRPr="00734C4B">
        <w:rPr>
          <w:lang w:val="pl-PL"/>
        </w:rPr>
        <w:t xml:space="preserve"> </w:t>
      </w:r>
      <w:r w:rsidR="00E558D1" w:rsidRPr="00E558D1">
        <w:rPr>
          <w:b/>
          <w:bCs/>
          <w:lang w:val="pl-PL"/>
        </w:rPr>
        <w:t>(produkty do pielęgnacji włosów)</w:t>
      </w:r>
      <w:r w:rsidR="00E558D1">
        <w:rPr>
          <w:lang w:val="pl-PL"/>
        </w:rPr>
        <w:t xml:space="preserve"> </w:t>
      </w:r>
      <w:r w:rsidRPr="00734C4B">
        <w:rPr>
          <w:lang w:val="pl-PL"/>
        </w:rPr>
        <w:t>osiągnął znaczący organiczny wzrost sprzedaży na poziomie 7,3 procent w pierwszych sześciu miesiącach roku (Q2: +7,7</w:t>
      </w:r>
      <w:r w:rsidR="00192301">
        <w:rPr>
          <w:lang w:val="pl-PL"/>
        </w:rPr>
        <w:t> </w:t>
      </w:r>
      <w:r w:rsidRPr="00734C4B">
        <w:rPr>
          <w:lang w:val="pl-PL"/>
        </w:rPr>
        <w:t xml:space="preserve">procent). </w:t>
      </w:r>
      <w:r>
        <w:rPr>
          <w:lang w:val="pl-PL"/>
        </w:rPr>
        <w:t>Segment konsumencki</w:t>
      </w:r>
      <w:r w:rsidRPr="00734C4B">
        <w:rPr>
          <w:lang w:val="pl-PL"/>
        </w:rPr>
        <w:t xml:space="preserve"> odnotował dwucyfrowy wzrost, głównie napędzany przez kategorię Hair Styling</w:t>
      </w:r>
      <w:r w:rsidR="00B40717">
        <w:rPr>
          <w:lang w:val="pl-PL"/>
        </w:rPr>
        <w:t xml:space="preserve"> (</w:t>
      </w:r>
      <w:r w:rsidR="00B40717" w:rsidRPr="00B40717">
        <w:rPr>
          <w:lang w:val="pl-PL"/>
        </w:rPr>
        <w:t>produkty do stylizacji włosów)</w:t>
      </w:r>
      <w:r w:rsidRPr="00734C4B">
        <w:rPr>
          <w:lang w:val="pl-PL"/>
        </w:rPr>
        <w:t xml:space="preserve">, która również odnotowała dwucyfrowy organiczny wzrost sprzedaży w tym samym okresie roku poprzedniego. Działalność profesjonalna osiągnęła silny organiczny wzrost sprzedaży. </w:t>
      </w:r>
      <w:r w:rsidR="00465214" w:rsidRPr="00403BE0">
        <w:rPr>
          <w:lang w:val="pl-PL"/>
        </w:rPr>
        <w:t>Pozostałe Obszary Biznesowe Consumer Brands</w:t>
      </w:r>
      <w:r w:rsidR="00465214" w:rsidRPr="00465214" w:rsidDel="00465214">
        <w:rPr>
          <w:lang w:val="pl-PL"/>
        </w:rPr>
        <w:t xml:space="preserve"> </w:t>
      </w:r>
      <w:r w:rsidR="001E796B">
        <w:rPr>
          <w:lang w:val="pl-PL"/>
        </w:rPr>
        <w:t>(</w:t>
      </w:r>
      <w:r w:rsidR="001E796B" w:rsidRPr="001E796B">
        <w:rPr>
          <w:lang w:val="pl-PL"/>
        </w:rPr>
        <w:t>marki konsumenckie</w:t>
      </w:r>
      <w:r w:rsidR="001E796B">
        <w:rPr>
          <w:lang w:val="pl-PL"/>
        </w:rPr>
        <w:t xml:space="preserve">) </w:t>
      </w:r>
      <w:r w:rsidRPr="00734C4B">
        <w:rPr>
          <w:lang w:val="pl-PL"/>
        </w:rPr>
        <w:t>odnotował</w:t>
      </w:r>
      <w:r w:rsidR="00465214">
        <w:rPr>
          <w:lang w:val="pl-PL"/>
        </w:rPr>
        <w:t>y</w:t>
      </w:r>
      <w:r w:rsidRPr="00734C4B">
        <w:rPr>
          <w:lang w:val="pl-PL"/>
        </w:rPr>
        <w:t xml:space="preserve"> dobry organiczny wzrost sprzedaży na poziomie 2,3 procent (Q2: +0,7 procent).</w:t>
      </w:r>
    </w:p>
    <w:p w14:paraId="79373E88" w14:textId="77777777" w:rsidR="00765289" w:rsidRPr="00734C4B" w:rsidRDefault="00765289" w:rsidP="00765289">
      <w:pPr>
        <w:rPr>
          <w:lang w:val="pl-PL"/>
        </w:rPr>
      </w:pPr>
    </w:p>
    <w:p w14:paraId="5766EEA7" w14:textId="2C098C7A" w:rsidR="00765289" w:rsidRPr="00167857" w:rsidRDefault="00765289" w:rsidP="00765289">
      <w:pPr>
        <w:rPr>
          <w:lang w:val="pl-PL"/>
        </w:rPr>
      </w:pPr>
      <w:r w:rsidRPr="00167857">
        <w:rPr>
          <w:b/>
          <w:bCs/>
          <w:lang w:val="pl-PL"/>
        </w:rPr>
        <w:t>Skorygowany zysk operacyjny</w:t>
      </w:r>
      <w:r w:rsidRPr="00167857">
        <w:rPr>
          <w:lang w:val="pl-PL"/>
        </w:rPr>
        <w:t xml:space="preserve"> wyniósł 753 miliony euro, co stanowi wzrost o 34,8 procent w</w:t>
      </w:r>
      <w:r w:rsidR="00192301">
        <w:rPr>
          <w:lang w:val="pl-PL"/>
        </w:rPr>
        <w:t> </w:t>
      </w:r>
      <w:r w:rsidRPr="00167857">
        <w:rPr>
          <w:lang w:val="pl-PL"/>
        </w:rPr>
        <w:t>porównaniu do analogicznego okresu poprzedniego</w:t>
      </w:r>
      <w:r w:rsidR="00465214">
        <w:rPr>
          <w:lang w:val="pl-PL"/>
        </w:rPr>
        <w:t xml:space="preserve"> roku</w:t>
      </w:r>
      <w:r w:rsidRPr="00167857">
        <w:rPr>
          <w:lang w:val="pl-PL"/>
        </w:rPr>
        <w:t>. Ten wzrost był napędzany przez rozwój cen sprzedaży oraz oszczędności wynikające z utworzenia zintegrowanego sektora biznesowego Consumer Brands</w:t>
      </w:r>
      <w:r w:rsidR="001E796B">
        <w:rPr>
          <w:lang w:val="pl-PL"/>
        </w:rPr>
        <w:t xml:space="preserve"> (</w:t>
      </w:r>
      <w:r w:rsidR="001E796B" w:rsidRPr="001E796B">
        <w:rPr>
          <w:lang w:val="pl-PL"/>
        </w:rPr>
        <w:t>marki konsumencki</w:t>
      </w:r>
      <w:r w:rsidR="001E796B">
        <w:rPr>
          <w:lang w:val="pl-PL"/>
        </w:rPr>
        <w:t>e)</w:t>
      </w:r>
      <w:r w:rsidRPr="00167857">
        <w:rPr>
          <w:lang w:val="pl-PL"/>
        </w:rPr>
        <w:t xml:space="preserve">, a także działania optymalizacyjne i waloryzacyjne portfela. </w:t>
      </w:r>
      <w:r w:rsidRPr="00167857">
        <w:rPr>
          <w:b/>
          <w:bCs/>
          <w:lang w:val="pl-PL"/>
        </w:rPr>
        <w:t>Skorygowan</w:t>
      </w:r>
      <w:r w:rsidR="00515981">
        <w:rPr>
          <w:b/>
          <w:bCs/>
          <w:lang w:val="pl-PL"/>
        </w:rPr>
        <w:t>a</w:t>
      </w:r>
      <w:r w:rsidRPr="00167857">
        <w:rPr>
          <w:b/>
          <w:bCs/>
          <w:lang w:val="pl-PL"/>
        </w:rPr>
        <w:t xml:space="preserve"> </w:t>
      </w:r>
      <w:r w:rsidR="00465214">
        <w:rPr>
          <w:b/>
          <w:bCs/>
          <w:lang w:val="pl-PL"/>
        </w:rPr>
        <w:t>rentowność sprzedaży</w:t>
      </w:r>
      <w:r w:rsidRPr="00167857">
        <w:rPr>
          <w:lang w:val="pl-PL"/>
        </w:rPr>
        <w:t xml:space="preserve"> </w:t>
      </w:r>
      <w:r w:rsidR="00465214" w:rsidRPr="00167857">
        <w:rPr>
          <w:lang w:val="pl-PL"/>
        </w:rPr>
        <w:t>wzr</w:t>
      </w:r>
      <w:r w:rsidR="00465214">
        <w:rPr>
          <w:lang w:val="pl-PL"/>
        </w:rPr>
        <w:t>osła</w:t>
      </w:r>
      <w:r w:rsidR="00465214" w:rsidRPr="00167857">
        <w:rPr>
          <w:lang w:val="pl-PL"/>
        </w:rPr>
        <w:t xml:space="preserve"> </w:t>
      </w:r>
      <w:r w:rsidRPr="00167857">
        <w:rPr>
          <w:lang w:val="pl-PL"/>
        </w:rPr>
        <w:t>znacząco o 390 punktów bazowych do 14,3 procent.</w:t>
      </w:r>
    </w:p>
    <w:p w14:paraId="22DE5144" w14:textId="77777777" w:rsidR="00765289" w:rsidRPr="00167857" w:rsidRDefault="00765289" w:rsidP="00765289">
      <w:pPr>
        <w:rPr>
          <w:rFonts w:cs="Segoe UI"/>
          <w:szCs w:val="22"/>
          <w:highlight w:val="yellow"/>
          <w:lang w:val="pl-PL"/>
        </w:rPr>
      </w:pPr>
    </w:p>
    <w:p w14:paraId="57A63834" w14:textId="77777777" w:rsidR="00465214" w:rsidRPr="00465214" w:rsidRDefault="00465214" w:rsidP="00465214">
      <w:pPr>
        <w:spacing w:after="120"/>
        <w:rPr>
          <w:rFonts w:cs="Segoe UI"/>
          <w:b/>
          <w:szCs w:val="22"/>
          <w:lang w:val="pl-PL"/>
        </w:rPr>
      </w:pPr>
      <w:r w:rsidRPr="00465214">
        <w:rPr>
          <w:rFonts w:cs="Segoe UI"/>
          <w:b/>
          <w:szCs w:val="22"/>
          <w:lang w:val="pl-PL"/>
        </w:rPr>
        <w:t>Postęp w realizacji priorytetów strategicznych</w:t>
      </w:r>
    </w:p>
    <w:p w14:paraId="36628DF2" w14:textId="77777777" w:rsidR="00765289" w:rsidRPr="00E90766" w:rsidRDefault="00765289" w:rsidP="00765289">
      <w:pPr>
        <w:spacing w:after="120"/>
        <w:rPr>
          <w:rFonts w:cs="Segoe UI"/>
          <w:bCs/>
          <w:szCs w:val="22"/>
          <w:lang w:val="pl-PL"/>
        </w:rPr>
      </w:pPr>
      <w:bookmarkStart w:id="0" w:name="_Hlk109204398"/>
      <w:r w:rsidRPr="00E90766">
        <w:rPr>
          <w:rFonts w:cs="Segoe UI"/>
          <w:bCs/>
          <w:szCs w:val="22"/>
          <w:lang w:val="pl-PL"/>
        </w:rPr>
        <w:t>W pierwszej połowie 2024 roku Henkel kontynuował konsekwentne wdrażanie strategicznych priorytetów swojej agendy celowego wzrostu i osiągnął dobre postępy we wszystkich obszarach.</w:t>
      </w:r>
    </w:p>
    <w:bookmarkEnd w:id="0"/>
    <w:p w14:paraId="7DEC58FF" w14:textId="55AC5055" w:rsidR="00765289" w:rsidRDefault="00765289" w:rsidP="00765289">
      <w:pPr>
        <w:autoSpaceDE w:val="0"/>
        <w:autoSpaceDN w:val="0"/>
        <w:adjustRightInd w:val="0"/>
        <w:rPr>
          <w:rFonts w:cs="Segoe UI"/>
          <w:szCs w:val="22"/>
          <w:lang w:val="pl-PL" w:eastAsia="de-DE"/>
        </w:rPr>
      </w:pPr>
      <w:r w:rsidRPr="009D3321">
        <w:rPr>
          <w:rFonts w:cs="Segoe UI"/>
          <w:b/>
          <w:bCs/>
          <w:szCs w:val="22"/>
          <w:lang w:val="pl-PL" w:eastAsia="de-DE"/>
        </w:rPr>
        <w:t>Fuzja</w:t>
      </w:r>
      <w:r w:rsidRPr="009D3321">
        <w:rPr>
          <w:rFonts w:cs="Segoe UI"/>
          <w:szCs w:val="22"/>
          <w:lang w:val="pl-PL" w:eastAsia="de-DE"/>
        </w:rPr>
        <w:t xml:space="preserve"> dawnej działalności Laundry &amp; Home Care </w:t>
      </w:r>
      <w:r w:rsidR="00B10ACF">
        <w:rPr>
          <w:rFonts w:cs="Segoe UI"/>
          <w:szCs w:val="22"/>
          <w:lang w:val="pl-PL" w:eastAsia="de-DE"/>
        </w:rPr>
        <w:t>(</w:t>
      </w:r>
      <w:r w:rsidR="00B10ACF" w:rsidRPr="00B10ACF">
        <w:rPr>
          <w:rFonts w:cs="Segoe UI"/>
          <w:szCs w:val="22"/>
          <w:lang w:val="pl-PL" w:eastAsia="de-DE"/>
        </w:rPr>
        <w:t>środki piorące i środki czystości</w:t>
      </w:r>
      <w:r w:rsidR="00B10ACF">
        <w:rPr>
          <w:rFonts w:cs="Segoe UI"/>
          <w:szCs w:val="22"/>
          <w:lang w:val="pl-PL" w:eastAsia="de-DE"/>
        </w:rPr>
        <w:t xml:space="preserve">) </w:t>
      </w:r>
      <w:r w:rsidRPr="009D3321">
        <w:rPr>
          <w:rFonts w:cs="Segoe UI"/>
          <w:szCs w:val="22"/>
          <w:lang w:val="pl-PL" w:eastAsia="de-DE"/>
        </w:rPr>
        <w:t xml:space="preserve">oraz Beauty Care </w:t>
      </w:r>
      <w:r w:rsidR="004A77F5">
        <w:rPr>
          <w:rFonts w:cs="Segoe UI"/>
          <w:szCs w:val="22"/>
          <w:lang w:val="pl-PL" w:eastAsia="de-DE"/>
        </w:rPr>
        <w:t xml:space="preserve">(kosmetyki) </w:t>
      </w:r>
      <w:r w:rsidRPr="009D3321">
        <w:rPr>
          <w:rFonts w:cs="Segoe UI"/>
          <w:szCs w:val="22"/>
          <w:lang w:val="pl-PL" w:eastAsia="de-DE"/>
        </w:rPr>
        <w:t>w</w:t>
      </w:r>
      <w:r w:rsidR="00465214">
        <w:rPr>
          <w:rFonts w:cs="Segoe UI"/>
          <w:szCs w:val="22"/>
          <w:lang w:val="pl-PL" w:eastAsia="de-DE"/>
        </w:rPr>
        <w:t xml:space="preserve"> </w:t>
      </w:r>
      <w:r w:rsidRPr="009D3321">
        <w:rPr>
          <w:rFonts w:cs="Segoe UI"/>
          <w:szCs w:val="22"/>
          <w:lang w:val="pl-PL" w:eastAsia="de-DE"/>
        </w:rPr>
        <w:t>sektor</w:t>
      </w:r>
      <w:r w:rsidR="00465214">
        <w:rPr>
          <w:rFonts w:cs="Segoe UI"/>
          <w:szCs w:val="22"/>
          <w:lang w:val="pl-PL" w:eastAsia="de-DE"/>
        </w:rPr>
        <w:t xml:space="preserve"> biznesowy </w:t>
      </w:r>
      <w:r w:rsidRPr="009D3321">
        <w:rPr>
          <w:rFonts w:cs="Segoe UI"/>
          <w:b/>
          <w:bCs/>
          <w:szCs w:val="22"/>
          <w:lang w:val="pl-PL" w:eastAsia="de-DE"/>
        </w:rPr>
        <w:t>Consumer Brands</w:t>
      </w:r>
      <w:r w:rsidR="001E796B">
        <w:rPr>
          <w:rFonts w:cs="Segoe UI"/>
          <w:b/>
          <w:bCs/>
          <w:szCs w:val="22"/>
          <w:lang w:val="pl-PL" w:eastAsia="de-DE"/>
        </w:rPr>
        <w:t xml:space="preserve"> (</w:t>
      </w:r>
      <w:r w:rsidR="001E796B" w:rsidRPr="001E796B">
        <w:rPr>
          <w:rFonts w:cs="Segoe UI"/>
          <w:b/>
          <w:bCs/>
          <w:szCs w:val="22"/>
          <w:lang w:val="pl-PL" w:eastAsia="de-DE"/>
        </w:rPr>
        <w:t>marki konsumenckie</w:t>
      </w:r>
      <w:r w:rsidR="001E796B">
        <w:rPr>
          <w:rFonts w:cs="Segoe UI"/>
          <w:b/>
          <w:bCs/>
          <w:szCs w:val="22"/>
          <w:lang w:val="pl-PL" w:eastAsia="de-DE"/>
        </w:rPr>
        <w:t>)</w:t>
      </w:r>
      <w:r w:rsidRPr="009D3321">
        <w:rPr>
          <w:rFonts w:cs="Segoe UI"/>
          <w:szCs w:val="22"/>
          <w:lang w:val="pl-PL" w:eastAsia="de-DE"/>
        </w:rPr>
        <w:t>, realizowana</w:t>
      </w:r>
      <w:r w:rsidR="00465214">
        <w:rPr>
          <w:rFonts w:cs="Segoe UI"/>
          <w:szCs w:val="22"/>
          <w:lang w:val="pl-PL" w:eastAsia="de-DE"/>
        </w:rPr>
        <w:t xml:space="preserve"> jest</w:t>
      </w:r>
      <w:r w:rsidRPr="009D3321">
        <w:rPr>
          <w:rFonts w:cs="Segoe UI"/>
          <w:szCs w:val="22"/>
          <w:lang w:val="pl-PL" w:eastAsia="de-DE"/>
        </w:rPr>
        <w:t xml:space="preserve"> w dwóch etapach</w:t>
      </w:r>
      <w:r w:rsidR="00465214">
        <w:rPr>
          <w:rFonts w:cs="Segoe UI"/>
          <w:szCs w:val="22"/>
          <w:lang w:val="pl-PL" w:eastAsia="de-DE"/>
        </w:rPr>
        <w:t xml:space="preserve"> i</w:t>
      </w:r>
      <w:r w:rsidRPr="009D3321">
        <w:rPr>
          <w:rFonts w:cs="Segoe UI"/>
          <w:szCs w:val="22"/>
          <w:lang w:val="pl-PL" w:eastAsia="de-DE"/>
        </w:rPr>
        <w:t xml:space="preserve"> pomyślnie kontynuowana </w:t>
      </w:r>
      <w:r w:rsidR="00465214">
        <w:rPr>
          <w:rFonts w:cs="Segoe UI"/>
          <w:szCs w:val="22"/>
          <w:lang w:val="pl-PL" w:eastAsia="de-DE"/>
        </w:rPr>
        <w:t xml:space="preserve">była </w:t>
      </w:r>
      <w:r w:rsidRPr="009D3321">
        <w:rPr>
          <w:rFonts w:cs="Segoe UI"/>
          <w:szCs w:val="22"/>
          <w:lang w:val="pl-PL" w:eastAsia="de-DE"/>
        </w:rPr>
        <w:t xml:space="preserve">w pierwszej połowie 2024 roku. Henkel osiągnął kolejne oszczędności w tym procesie. </w:t>
      </w:r>
      <w:r w:rsidR="00465214">
        <w:rPr>
          <w:rFonts w:cs="Segoe UI"/>
          <w:szCs w:val="22"/>
          <w:lang w:val="pl-PL" w:eastAsia="de-DE"/>
        </w:rPr>
        <w:t>Firma Henkel dąży do uzyskania</w:t>
      </w:r>
      <w:r w:rsidRPr="009D3321">
        <w:rPr>
          <w:rFonts w:cs="Segoe UI"/>
          <w:szCs w:val="22"/>
          <w:lang w:val="pl-PL" w:eastAsia="de-DE"/>
        </w:rPr>
        <w:t xml:space="preserve"> oszczędności na poziomie 525 milionów euro z obu etapów integracji. Te oszczędności mają zostać w pełni zrealizowane do końca 2026 roku.</w:t>
      </w:r>
    </w:p>
    <w:p w14:paraId="6F1F37E7" w14:textId="77777777" w:rsidR="00765289" w:rsidRDefault="00765289" w:rsidP="00765289">
      <w:pPr>
        <w:autoSpaceDE w:val="0"/>
        <w:autoSpaceDN w:val="0"/>
        <w:adjustRightInd w:val="0"/>
        <w:rPr>
          <w:rFonts w:cs="Segoe UI"/>
          <w:szCs w:val="22"/>
          <w:lang w:val="pl-PL" w:eastAsia="de-DE"/>
        </w:rPr>
      </w:pPr>
    </w:p>
    <w:p w14:paraId="1BB09022" w14:textId="590EC0C2" w:rsidR="00765289" w:rsidRPr="000E141E" w:rsidRDefault="00765289" w:rsidP="00765289">
      <w:pPr>
        <w:autoSpaceDE w:val="0"/>
        <w:autoSpaceDN w:val="0"/>
        <w:adjustRightInd w:val="0"/>
        <w:rPr>
          <w:rFonts w:cs="Segoe UI"/>
          <w:szCs w:val="22"/>
          <w:lang w:val="pl-PL" w:eastAsia="de-DE"/>
        </w:rPr>
      </w:pPr>
      <w:r w:rsidRPr="000E141E">
        <w:rPr>
          <w:rFonts w:cs="Segoe UI"/>
          <w:szCs w:val="22"/>
          <w:lang w:val="pl-PL" w:eastAsia="de-DE"/>
        </w:rPr>
        <w:t xml:space="preserve">W ramach drugiej fazy integracji, która koncentruje się na </w:t>
      </w:r>
      <w:r w:rsidR="00465214">
        <w:rPr>
          <w:rFonts w:cs="Segoe UI"/>
          <w:szCs w:val="22"/>
          <w:lang w:val="pl-PL" w:eastAsia="de-DE"/>
        </w:rPr>
        <w:t>udoskonaleniu</w:t>
      </w:r>
      <w:r w:rsidR="00465214" w:rsidRPr="000E141E">
        <w:rPr>
          <w:rFonts w:cs="Segoe UI"/>
          <w:szCs w:val="22"/>
          <w:lang w:val="pl-PL" w:eastAsia="de-DE"/>
        </w:rPr>
        <w:t xml:space="preserve"> </w:t>
      </w:r>
      <w:r w:rsidRPr="000E141E">
        <w:rPr>
          <w:rFonts w:cs="Segoe UI"/>
          <w:szCs w:val="22"/>
          <w:lang w:val="pl-PL" w:eastAsia="de-DE"/>
        </w:rPr>
        <w:t>łańcucha dostaw w</w:t>
      </w:r>
      <w:r w:rsidR="00192301">
        <w:rPr>
          <w:rFonts w:cs="Segoe UI"/>
          <w:szCs w:val="22"/>
          <w:lang w:val="pl-PL" w:eastAsia="de-DE"/>
        </w:rPr>
        <w:t xml:space="preserve"> segmencie biznesowym </w:t>
      </w:r>
      <w:r w:rsidRPr="000E141E">
        <w:rPr>
          <w:rFonts w:cs="Segoe UI"/>
          <w:szCs w:val="22"/>
          <w:lang w:val="pl-PL" w:eastAsia="de-DE"/>
        </w:rPr>
        <w:t>Consumer Brands</w:t>
      </w:r>
      <w:r w:rsidR="001E796B">
        <w:rPr>
          <w:rFonts w:cs="Segoe UI"/>
          <w:szCs w:val="22"/>
          <w:lang w:val="pl-PL" w:eastAsia="de-DE"/>
        </w:rPr>
        <w:t xml:space="preserve"> (</w:t>
      </w:r>
      <w:r w:rsidR="001E796B" w:rsidRPr="001E796B">
        <w:rPr>
          <w:rFonts w:cs="Segoe UI"/>
          <w:szCs w:val="22"/>
          <w:lang w:val="pl-PL" w:eastAsia="de-DE"/>
        </w:rPr>
        <w:t>marki konsumenckie</w:t>
      </w:r>
      <w:r w:rsidR="001E796B">
        <w:rPr>
          <w:rFonts w:cs="Segoe UI"/>
          <w:szCs w:val="22"/>
          <w:lang w:val="pl-PL" w:eastAsia="de-DE"/>
        </w:rPr>
        <w:t>)</w:t>
      </w:r>
      <w:r w:rsidRPr="000E141E">
        <w:rPr>
          <w:rFonts w:cs="Segoe UI"/>
          <w:szCs w:val="22"/>
          <w:lang w:val="pl-PL" w:eastAsia="de-DE"/>
        </w:rPr>
        <w:t xml:space="preserve">, wprowadzono tzw. zasadę 1-1-1 w blisko 30 krajach. </w:t>
      </w:r>
      <w:r w:rsidR="00465214" w:rsidRPr="00403BE0">
        <w:rPr>
          <w:rFonts w:cs="Segoe UI"/>
          <w:szCs w:val="22"/>
          <w:lang w:val="pl-PL" w:eastAsia="de-DE"/>
        </w:rPr>
        <w:t>Polega ona na lepszej integracji i uproszczeniu procesów logistycznych, zgodnie z zasadą „jedna twarz dla klienta”.</w:t>
      </w:r>
      <w:r w:rsidR="007B62DB">
        <w:rPr>
          <w:rFonts w:cs="Segoe UI"/>
          <w:szCs w:val="22"/>
          <w:lang w:val="pl-PL" w:eastAsia="de-DE"/>
        </w:rPr>
        <w:t xml:space="preserve"> </w:t>
      </w:r>
      <w:r w:rsidRPr="000E141E">
        <w:rPr>
          <w:rFonts w:cs="Segoe UI"/>
          <w:szCs w:val="22"/>
          <w:lang w:val="pl-PL" w:eastAsia="de-DE"/>
        </w:rPr>
        <w:t xml:space="preserve">Oznacza to: jedno zamówienie, jedna dostawa, jedna faktura. </w:t>
      </w:r>
      <w:r w:rsidR="00465214" w:rsidRPr="00403BE0">
        <w:rPr>
          <w:rFonts w:cs="Segoe UI"/>
          <w:szCs w:val="22"/>
          <w:lang w:val="pl-PL" w:eastAsia="de-DE"/>
        </w:rPr>
        <w:t>Dodatkowo, sieć produkcji i logistyki została dalej zoptymalizowana i skonsolidowana, na przykład w USA i krajach Europy Wschodniej w dziale Laundry &amp; Home Care</w:t>
      </w:r>
      <w:r w:rsidR="00B10ACF">
        <w:rPr>
          <w:rFonts w:cs="Segoe UI"/>
          <w:szCs w:val="22"/>
          <w:lang w:val="pl-PL" w:eastAsia="de-DE"/>
        </w:rPr>
        <w:t xml:space="preserve"> (</w:t>
      </w:r>
      <w:r w:rsidR="00B10ACF" w:rsidRPr="00B10ACF">
        <w:rPr>
          <w:rFonts w:cs="Segoe UI"/>
          <w:szCs w:val="22"/>
          <w:lang w:val="pl-PL" w:eastAsia="de-DE"/>
        </w:rPr>
        <w:t>środki piorące i środki czystości</w:t>
      </w:r>
      <w:r w:rsidR="00B10ACF">
        <w:rPr>
          <w:rFonts w:cs="Segoe UI"/>
          <w:szCs w:val="22"/>
          <w:lang w:val="pl-PL" w:eastAsia="de-DE"/>
        </w:rPr>
        <w:t>)</w:t>
      </w:r>
      <w:r w:rsidR="00465214" w:rsidRPr="00403BE0">
        <w:rPr>
          <w:rFonts w:cs="Segoe UI"/>
          <w:szCs w:val="22"/>
          <w:lang w:val="pl-PL" w:eastAsia="de-DE"/>
        </w:rPr>
        <w:t>.</w:t>
      </w:r>
      <w:r w:rsidRPr="000E141E">
        <w:rPr>
          <w:rFonts w:cs="Segoe UI"/>
          <w:szCs w:val="22"/>
          <w:lang w:val="pl-PL" w:eastAsia="de-DE"/>
        </w:rPr>
        <w:t xml:space="preserve"> Ogólnie rzecz biorąc, te działania już doprowadziły do ogólnego zmniejszenia złożoności o około 16 procent.</w:t>
      </w:r>
    </w:p>
    <w:p w14:paraId="5F961B87" w14:textId="77777777" w:rsidR="00765289" w:rsidRPr="000E141E" w:rsidRDefault="00765289" w:rsidP="00765289">
      <w:pPr>
        <w:autoSpaceDE w:val="0"/>
        <w:autoSpaceDN w:val="0"/>
        <w:adjustRightInd w:val="0"/>
        <w:rPr>
          <w:rFonts w:cs="Segoe UI"/>
          <w:szCs w:val="22"/>
          <w:lang w:val="pl-PL" w:eastAsia="de-DE"/>
        </w:rPr>
      </w:pPr>
    </w:p>
    <w:p w14:paraId="1CAAE635" w14:textId="294CB33C" w:rsidR="00765289" w:rsidRPr="000E141E" w:rsidRDefault="00765289" w:rsidP="00765289">
      <w:pPr>
        <w:autoSpaceDE w:val="0"/>
        <w:autoSpaceDN w:val="0"/>
        <w:adjustRightInd w:val="0"/>
        <w:rPr>
          <w:rFonts w:cs="Segoe UI"/>
          <w:szCs w:val="22"/>
          <w:lang w:val="pl-PL" w:eastAsia="de-DE"/>
        </w:rPr>
      </w:pPr>
      <w:r w:rsidRPr="000E141E">
        <w:rPr>
          <w:rFonts w:cs="Segoe UI"/>
          <w:szCs w:val="22"/>
          <w:lang w:val="pl-PL" w:eastAsia="de-DE"/>
        </w:rPr>
        <w:t>Henkel również bardziej skoncentrował swoje portfolio Consumer Brands</w:t>
      </w:r>
      <w:r w:rsidR="001E796B">
        <w:rPr>
          <w:rFonts w:cs="Segoe UI"/>
          <w:szCs w:val="22"/>
          <w:lang w:val="pl-PL" w:eastAsia="de-DE"/>
        </w:rPr>
        <w:t xml:space="preserve"> (</w:t>
      </w:r>
      <w:r w:rsidR="001E796B" w:rsidRPr="001E796B">
        <w:rPr>
          <w:rFonts w:cs="Segoe UI"/>
          <w:szCs w:val="22"/>
          <w:lang w:val="pl-PL" w:eastAsia="de-DE"/>
        </w:rPr>
        <w:t>marki konsumenckie</w:t>
      </w:r>
      <w:r w:rsidR="001E796B">
        <w:rPr>
          <w:rFonts w:cs="Segoe UI"/>
          <w:szCs w:val="22"/>
          <w:lang w:val="pl-PL" w:eastAsia="de-DE"/>
        </w:rPr>
        <w:t>)</w:t>
      </w:r>
      <w:r w:rsidRPr="000E141E">
        <w:rPr>
          <w:rFonts w:cs="Segoe UI"/>
          <w:szCs w:val="22"/>
          <w:lang w:val="pl-PL" w:eastAsia="de-DE"/>
        </w:rPr>
        <w:t xml:space="preserve">. </w:t>
      </w:r>
      <w:r w:rsidR="00A22940" w:rsidRPr="00A22940">
        <w:rPr>
          <w:rFonts w:cs="Segoe UI"/>
          <w:szCs w:val="22"/>
          <w:lang w:val="pl-PL" w:eastAsia="de-DE"/>
        </w:rPr>
        <w:t>Ostatnio uwaga była skierowana na segment Laundry &amp; Home Care</w:t>
      </w:r>
      <w:r w:rsidR="00B10ACF">
        <w:rPr>
          <w:rFonts w:cs="Segoe UI"/>
          <w:szCs w:val="22"/>
          <w:lang w:val="pl-PL" w:eastAsia="de-DE"/>
        </w:rPr>
        <w:t xml:space="preserve"> (</w:t>
      </w:r>
      <w:r w:rsidR="00B10ACF" w:rsidRPr="00B10ACF">
        <w:rPr>
          <w:rFonts w:cs="Segoe UI"/>
          <w:szCs w:val="22"/>
          <w:lang w:val="pl-PL" w:eastAsia="de-DE"/>
        </w:rPr>
        <w:t>środki piorące i środki czystości</w:t>
      </w:r>
      <w:r w:rsidR="00B10ACF">
        <w:rPr>
          <w:rFonts w:cs="Segoe UI"/>
          <w:szCs w:val="22"/>
          <w:lang w:val="pl-PL" w:eastAsia="de-DE"/>
        </w:rPr>
        <w:t>)</w:t>
      </w:r>
      <w:r w:rsidR="00A22940" w:rsidRPr="00A22940">
        <w:rPr>
          <w:rFonts w:cs="Segoe UI"/>
          <w:szCs w:val="22"/>
          <w:lang w:val="pl-PL" w:eastAsia="de-DE"/>
        </w:rPr>
        <w:t xml:space="preserve"> w Ameryce Północnej.</w:t>
      </w:r>
    </w:p>
    <w:p w14:paraId="2C016EFC" w14:textId="77777777" w:rsidR="00A22940" w:rsidRDefault="00A22940" w:rsidP="00765289">
      <w:pPr>
        <w:autoSpaceDE w:val="0"/>
        <w:autoSpaceDN w:val="0"/>
        <w:adjustRightInd w:val="0"/>
        <w:rPr>
          <w:rFonts w:cs="Segoe UI"/>
          <w:szCs w:val="22"/>
          <w:lang w:val="pl-PL" w:eastAsia="de-DE"/>
        </w:rPr>
      </w:pPr>
    </w:p>
    <w:p w14:paraId="4C6425EE" w14:textId="3D2C8BD4" w:rsidR="00765289" w:rsidRPr="000E141E" w:rsidRDefault="00753993" w:rsidP="00765289">
      <w:pPr>
        <w:autoSpaceDE w:val="0"/>
        <w:autoSpaceDN w:val="0"/>
        <w:adjustRightInd w:val="0"/>
        <w:rPr>
          <w:rFonts w:cs="Segoe UI"/>
          <w:szCs w:val="22"/>
          <w:lang w:val="pl-PL" w:eastAsia="de-DE"/>
        </w:rPr>
      </w:pPr>
      <w:r w:rsidRPr="00403BE0">
        <w:rPr>
          <w:rFonts w:cs="Segoe UI"/>
          <w:szCs w:val="22"/>
          <w:lang w:val="pl-PL" w:eastAsia="de-DE"/>
        </w:rPr>
        <w:t>Aby jeszcze bardziej wzmocnić swoją konkurencyjność, Henkel koncentruje się na silnych innowacjach w atrakcyjnych obszarach biznesowych</w:t>
      </w:r>
      <w:r>
        <w:rPr>
          <w:rFonts w:cs="Segoe UI"/>
          <w:szCs w:val="22"/>
          <w:lang w:val="pl-PL" w:eastAsia="de-DE"/>
        </w:rPr>
        <w:t>.</w:t>
      </w:r>
      <w:r w:rsidR="007B62DB">
        <w:rPr>
          <w:rFonts w:cs="Segoe UI"/>
          <w:szCs w:val="22"/>
          <w:lang w:val="pl-PL" w:eastAsia="de-DE"/>
        </w:rPr>
        <w:t xml:space="preserve"> </w:t>
      </w:r>
      <w:r w:rsidR="00765289" w:rsidRPr="000E141E">
        <w:rPr>
          <w:rFonts w:cs="Segoe UI"/>
          <w:szCs w:val="22"/>
          <w:lang w:val="pl-PL" w:eastAsia="de-DE"/>
        </w:rPr>
        <w:t xml:space="preserve">Te ponownie przyczyniły się do wzrostu w obu jednostkach biznesowych w pierwszej połowie 2024 roku. W </w:t>
      </w:r>
      <w:r w:rsidR="00765289" w:rsidRPr="000E141E">
        <w:rPr>
          <w:rFonts w:cs="Segoe UI"/>
          <w:b/>
          <w:bCs/>
          <w:szCs w:val="22"/>
          <w:lang w:val="pl-PL" w:eastAsia="de-DE"/>
        </w:rPr>
        <w:t>Adhesive Technologies</w:t>
      </w:r>
      <w:r w:rsidR="00765289" w:rsidRPr="000E141E">
        <w:rPr>
          <w:rFonts w:cs="Segoe UI"/>
          <w:szCs w:val="22"/>
          <w:lang w:val="pl-PL" w:eastAsia="de-DE"/>
        </w:rPr>
        <w:t xml:space="preserve"> </w:t>
      </w:r>
      <w:r w:rsidR="00C6780A" w:rsidRPr="00C6780A">
        <w:rPr>
          <w:rFonts w:cs="Segoe UI"/>
          <w:szCs w:val="22"/>
          <w:lang w:val="pl-PL" w:eastAsia="de-DE"/>
        </w:rPr>
        <w:t xml:space="preserve">(kleje budowlane i konsumenckie oraz kleje i technologie dla przemysłu) </w:t>
      </w:r>
      <w:r w:rsidR="00765289" w:rsidRPr="000E141E">
        <w:rPr>
          <w:rFonts w:cs="Segoe UI"/>
          <w:szCs w:val="22"/>
          <w:lang w:val="pl-PL" w:eastAsia="de-DE"/>
        </w:rPr>
        <w:t>Henkel odpowiada na trend w kierunku bardziej zintegrowanych komponentów motoryzacyjnych, co zwiększa zapotrzebowanie na innowacyjne rozwiązania klejące. Przykładem jest integracja komponentów elektronicznych, które przynoszą duże korzyści dla samochodów, niezależnie od rodzaju napędu. Jednocześnie jest to bardzo złożona dziedzina</w:t>
      </w:r>
      <w:r>
        <w:rPr>
          <w:rFonts w:cs="Segoe UI"/>
          <w:szCs w:val="22"/>
          <w:lang w:val="pl-PL" w:eastAsia="de-DE"/>
        </w:rPr>
        <w:t xml:space="preserve"> </w:t>
      </w:r>
      <w:r w:rsidRPr="00403BE0">
        <w:rPr>
          <w:rFonts w:cs="Segoe UI"/>
          <w:szCs w:val="22"/>
          <w:lang w:val="pl-PL" w:eastAsia="de-DE"/>
        </w:rPr>
        <w:t>z bardzo specyficznymi wymaganiami</w:t>
      </w:r>
      <w:r w:rsidR="00765289" w:rsidRPr="000E141E">
        <w:rPr>
          <w:rFonts w:cs="Segoe UI"/>
          <w:szCs w:val="22"/>
          <w:lang w:val="pl-PL" w:eastAsia="de-DE"/>
        </w:rPr>
        <w:t xml:space="preserve"> </w:t>
      </w:r>
      <w:r w:rsidRPr="00403BE0">
        <w:rPr>
          <w:rFonts w:cs="Segoe UI"/>
          <w:szCs w:val="22"/>
          <w:lang w:val="pl-PL" w:eastAsia="de-DE"/>
        </w:rPr>
        <w:t>dotyczącymi zarządzania termicznego stosowanych klejów.</w:t>
      </w:r>
      <w:r w:rsidR="007B62DB">
        <w:rPr>
          <w:rFonts w:cs="Segoe UI"/>
          <w:szCs w:val="22"/>
          <w:lang w:val="pl-PL" w:eastAsia="de-DE"/>
        </w:rPr>
        <w:t xml:space="preserve"> </w:t>
      </w:r>
      <w:r w:rsidR="00765289" w:rsidRPr="000E141E">
        <w:rPr>
          <w:rFonts w:cs="Segoe UI"/>
          <w:szCs w:val="22"/>
          <w:lang w:val="pl-PL" w:eastAsia="de-DE"/>
        </w:rPr>
        <w:t>Henkel jest jednym z nie</w:t>
      </w:r>
      <w:r>
        <w:rPr>
          <w:rFonts w:cs="Segoe UI"/>
          <w:szCs w:val="22"/>
          <w:lang w:val="pl-PL" w:eastAsia="de-DE"/>
        </w:rPr>
        <w:t>licznych</w:t>
      </w:r>
      <w:r w:rsidR="00765289" w:rsidRPr="000E141E">
        <w:rPr>
          <w:rFonts w:cs="Segoe UI"/>
          <w:szCs w:val="22"/>
          <w:lang w:val="pl-PL" w:eastAsia="de-DE"/>
        </w:rPr>
        <w:t xml:space="preserve"> graczy, którzy wcześnie </w:t>
      </w:r>
      <w:r>
        <w:rPr>
          <w:rFonts w:cs="Segoe UI"/>
          <w:szCs w:val="22"/>
          <w:lang w:val="pl-PL" w:eastAsia="de-DE"/>
        </w:rPr>
        <w:t>dostrzegli</w:t>
      </w:r>
      <w:r w:rsidRPr="000E141E">
        <w:rPr>
          <w:rFonts w:cs="Segoe UI"/>
          <w:szCs w:val="22"/>
          <w:lang w:val="pl-PL" w:eastAsia="de-DE"/>
        </w:rPr>
        <w:t xml:space="preserve"> </w:t>
      </w:r>
      <w:r w:rsidR="00765289" w:rsidRPr="000E141E">
        <w:rPr>
          <w:rFonts w:cs="Segoe UI"/>
          <w:szCs w:val="22"/>
          <w:lang w:val="pl-PL" w:eastAsia="de-DE"/>
        </w:rPr>
        <w:t>ten trend i współpracowali z</w:t>
      </w:r>
      <w:r w:rsidR="0042228F">
        <w:rPr>
          <w:rFonts w:cs="Segoe UI"/>
          <w:szCs w:val="22"/>
          <w:lang w:val="pl-PL" w:eastAsia="de-DE"/>
        </w:rPr>
        <w:t> </w:t>
      </w:r>
      <w:r w:rsidR="00765289" w:rsidRPr="000E141E">
        <w:rPr>
          <w:rFonts w:cs="Segoe UI"/>
          <w:szCs w:val="22"/>
          <w:lang w:val="pl-PL" w:eastAsia="de-DE"/>
        </w:rPr>
        <w:t>wiodącymi producentami OEM oraz kluczowymi dostawcami w tworzeniu innowacyjnych rozwiązań. Oczekuje się, że rynek tych zintegrowanych komponentów będzie rósł o ponad 20</w:t>
      </w:r>
      <w:r w:rsidR="00070ACD">
        <w:rPr>
          <w:rFonts w:cs="Segoe UI"/>
          <w:szCs w:val="22"/>
          <w:lang w:val="pl-PL" w:eastAsia="de-DE"/>
        </w:rPr>
        <w:t> </w:t>
      </w:r>
      <w:r w:rsidR="00765289" w:rsidRPr="000E141E">
        <w:rPr>
          <w:rFonts w:cs="Segoe UI"/>
          <w:szCs w:val="22"/>
          <w:lang w:val="pl-PL" w:eastAsia="de-DE"/>
        </w:rPr>
        <w:t xml:space="preserve">procent w ciągu najbliższych kilku lat. W jednostce biznesowej </w:t>
      </w:r>
      <w:r w:rsidR="00765289" w:rsidRPr="000E141E">
        <w:rPr>
          <w:rFonts w:cs="Segoe UI"/>
          <w:b/>
          <w:bCs/>
          <w:szCs w:val="22"/>
          <w:lang w:val="pl-PL" w:eastAsia="de-DE"/>
        </w:rPr>
        <w:t>Consumer Brands</w:t>
      </w:r>
      <w:r w:rsidR="001E796B">
        <w:rPr>
          <w:rFonts w:cs="Segoe UI"/>
          <w:b/>
          <w:bCs/>
          <w:szCs w:val="22"/>
          <w:lang w:val="pl-PL" w:eastAsia="de-DE"/>
        </w:rPr>
        <w:t xml:space="preserve"> (</w:t>
      </w:r>
      <w:r w:rsidR="001E796B" w:rsidRPr="001E796B">
        <w:rPr>
          <w:rFonts w:cs="Segoe UI"/>
          <w:b/>
          <w:bCs/>
          <w:szCs w:val="22"/>
          <w:lang w:val="pl-PL" w:eastAsia="de-DE"/>
        </w:rPr>
        <w:t>marki konsumenckie</w:t>
      </w:r>
      <w:r w:rsidR="001E796B">
        <w:rPr>
          <w:rFonts w:cs="Segoe UI"/>
          <w:b/>
          <w:bCs/>
          <w:szCs w:val="22"/>
          <w:lang w:val="pl-PL" w:eastAsia="de-DE"/>
        </w:rPr>
        <w:t>)</w:t>
      </w:r>
      <w:r w:rsidR="00765289" w:rsidRPr="000E141E">
        <w:rPr>
          <w:rFonts w:cs="Segoe UI"/>
          <w:szCs w:val="22"/>
          <w:lang w:val="pl-PL" w:eastAsia="de-DE"/>
        </w:rPr>
        <w:t xml:space="preserve">, bardzo silny organiczny wzrost sprzedaży o ponad 7 procent w segmencie Hair </w:t>
      </w:r>
      <w:r w:rsidR="00E558D1">
        <w:rPr>
          <w:rFonts w:cs="Segoe UI"/>
          <w:szCs w:val="22"/>
          <w:lang w:val="pl-PL" w:eastAsia="de-DE"/>
        </w:rPr>
        <w:t>(</w:t>
      </w:r>
      <w:r w:rsidR="00E558D1" w:rsidRPr="00E558D1">
        <w:rPr>
          <w:rFonts w:cs="Segoe UI"/>
          <w:szCs w:val="22"/>
          <w:lang w:val="pl-PL" w:eastAsia="de-DE"/>
        </w:rPr>
        <w:t>produkty do pielęgnacji włosów</w:t>
      </w:r>
      <w:r w:rsidR="00E558D1">
        <w:rPr>
          <w:rFonts w:cs="Segoe UI"/>
          <w:szCs w:val="22"/>
          <w:lang w:val="pl-PL" w:eastAsia="de-DE"/>
        </w:rPr>
        <w:t xml:space="preserve">) </w:t>
      </w:r>
      <w:r w:rsidR="00765289" w:rsidRPr="000E141E">
        <w:rPr>
          <w:rFonts w:cs="Segoe UI"/>
          <w:szCs w:val="22"/>
          <w:lang w:val="pl-PL" w:eastAsia="de-DE"/>
        </w:rPr>
        <w:t>był napędzany w</w:t>
      </w:r>
      <w:r w:rsidR="00070ACD">
        <w:rPr>
          <w:rFonts w:cs="Segoe UI"/>
          <w:szCs w:val="22"/>
          <w:lang w:val="pl-PL" w:eastAsia="de-DE"/>
        </w:rPr>
        <w:t> </w:t>
      </w:r>
      <w:r w:rsidR="00765289" w:rsidRPr="000E141E">
        <w:rPr>
          <w:rFonts w:cs="Segoe UI"/>
          <w:szCs w:val="22"/>
          <w:lang w:val="pl-PL" w:eastAsia="de-DE"/>
        </w:rPr>
        <w:t>szczególności przez markę</w:t>
      </w:r>
      <w:r w:rsidR="00127E9C">
        <w:rPr>
          <w:rFonts w:cs="Segoe UI"/>
          <w:szCs w:val="22"/>
          <w:lang w:val="pl-PL" w:eastAsia="de-DE"/>
        </w:rPr>
        <w:t xml:space="preserve"> </w:t>
      </w:r>
      <w:r w:rsidR="00765289" w:rsidRPr="000E141E">
        <w:rPr>
          <w:rFonts w:cs="Segoe UI"/>
          <w:szCs w:val="22"/>
          <w:lang w:val="pl-PL" w:eastAsia="de-DE"/>
        </w:rPr>
        <w:t>Schwarzkopf – zarówno w segmencie konsumenckim, jak i</w:t>
      </w:r>
      <w:r w:rsidR="00070ACD">
        <w:rPr>
          <w:rFonts w:cs="Segoe UI"/>
          <w:szCs w:val="22"/>
          <w:lang w:val="pl-PL" w:eastAsia="de-DE"/>
        </w:rPr>
        <w:t> </w:t>
      </w:r>
      <w:r w:rsidR="00765289" w:rsidRPr="000E141E">
        <w:rPr>
          <w:rFonts w:cs="Segoe UI"/>
          <w:szCs w:val="22"/>
          <w:lang w:val="pl-PL" w:eastAsia="de-DE"/>
        </w:rPr>
        <w:t>profesjonalnym. Ten obszar biznesowy odnotował już cztery kolejne kwartały pozytywnego rozwoju wolumenu. Jednocześnie udział w rynku wzrósł o 40 punktów bazowych zarówno w</w:t>
      </w:r>
      <w:r w:rsidR="00070ACD">
        <w:rPr>
          <w:rFonts w:cs="Segoe UI"/>
          <w:szCs w:val="22"/>
          <w:lang w:val="pl-PL" w:eastAsia="de-DE"/>
        </w:rPr>
        <w:t> </w:t>
      </w:r>
      <w:r w:rsidR="00765289" w:rsidRPr="000E141E">
        <w:rPr>
          <w:rFonts w:cs="Segoe UI"/>
          <w:szCs w:val="22"/>
          <w:lang w:val="pl-PL" w:eastAsia="de-DE"/>
        </w:rPr>
        <w:t>segmencie stylizacji włosów, jak i koloryzacji. Ponadto, ponowne wprowadzenie marki Gliss z nowymi formułami dla 100% mocniejszych włosów zaowocowało dwucyfrowym organicznym wzrostem sprzedaży tej marki w pierwszej połowie roku.</w:t>
      </w:r>
    </w:p>
    <w:p w14:paraId="390FF54D" w14:textId="77777777" w:rsidR="00765289" w:rsidRDefault="00765289" w:rsidP="00765289">
      <w:pPr>
        <w:autoSpaceDE w:val="0"/>
        <w:autoSpaceDN w:val="0"/>
        <w:adjustRightInd w:val="0"/>
        <w:rPr>
          <w:rFonts w:cs="Segoe UI"/>
          <w:szCs w:val="22"/>
          <w:lang w:val="pl-PL" w:eastAsia="de-DE"/>
        </w:rPr>
      </w:pPr>
    </w:p>
    <w:p w14:paraId="0D33B7A1" w14:textId="0CBA15B1" w:rsidR="00277946" w:rsidRPr="008D5D04" w:rsidRDefault="00765289" w:rsidP="008D5D04">
      <w:pPr>
        <w:autoSpaceDE w:val="0"/>
        <w:autoSpaceDN w:val="0"/>
        <w:adjustRightInd w:val="0"/>
        <w:rPr>
          <w:rFonts w:cs="Segoe UI"/>
          <w:szCs w:val="22"/>
          <w:lang w:val="pl-PL" w:eastAsia="de-DE"/>
        </w:rPr>
      </w:pPr>
      <w:r>
        <w:rPr>
          <w:rFonts w:cs="Segoe UI"/>
          <w:szCs w:val="22"/>
          <w:lang w:val="pl-PL" w:eastAsia="de-DE"/>
        </w:rPr>
        <w:t>-</w:t>
      </w:r>
      <w:r w:rsidR="007B62DB">
        <w:rPr>
          <w:rFonts w:cs="Segoe UI"/>
          <w:szCs w:val="22"/>
          <w:lang w:val="pl-PL" w:eastAsia="de-DE"/>
        </w:rPr>
        <w:t xml:space="preserve"> </w:t>
      </w:r>
      <w:r w:rsidR="00277946">
        <w:rPr>
          <w:rFonts w:cs="Segoe UI"/>
          <w:i/>
          <w:iCs/>
          <w:szCs w:val="22"/>
          <w:lang w:val="pl-PL" w:eastAsia="de-DE"/>
        </w:rPr>
        <w:t>J</w:t>
      </w:r>
      <w:r w:rsidRPr="000E141E">
        <w:rPr>
          <w:rFonts w:cs="Segoe UI"/>
          <w:i/>
          <w:iCs/>
          <w:szCs w:val="22"/>
          <w:lang w:val="pl-PL" w:eastAsia="de-DE"/>
        </w:rPr>
        <w:t xml:space="preserve">esteśmy bardzo zadowoleni z </w:t>
      </w:r>
      <w:r w:rsidR="00277946">
        <w:rPr>
          <w:rFonts w:cs="Segoe UI"/>
          <w:i/>
          <w:iCs/>
          <w:szCs w:val="22"/>
          <w:lang w:val="pl-PL" w:eastAsia="de-DE"/>
        </w:rPr>
        <w:t xml:space="preserve">osiągniętych </w:t>
      </w:r>
      <w:r w:rsidRPr="000E141E">
        <w:rPr>
          <w:rFonts w:cs="Segoe UI"/>
          <w:i/>
          <w:iCs/>
          <w:szCs w:val="22"/>
          <w:lang w:val="pl-PL" w:eastAsia="de-DE"/>
        </w:rPr>
        <w:t xml:space="preserve">wyników biznesowych </w:t>
      </w:r>
      <w:r w:rsidR="00277946" w:rsidRPr="000E141E">
        <w:rPr>
          <w:rFonts w:cs="Segoe UI"/>
          <w:i/>
          <w:iCs/>
          <w:szCs w:val="22"/>
          <w:lang w:val="pl-PL" w:eastAsia="de-DE"/>
        </w:rPr>
        <w:t>Henk</w:t>
      </w:r>
      <w:r w:rsidR="00277946">
        <w:rPr>
          <w:rFonts w:cs="Segoe UI"/>
          <w:i/>
          <w:iCs/>
          <w:szCs w:val="22"/>
          <w:lang w:val="pl-PL" w:eastAsia="de-DE"/>
        </w:rPr>
        <w:t>la</w:t>
      </w:r>
      <w:r w:rsidR="00277946" w:rsidRPr="000E141E">
        <w:rPr>
          <w:rFonts w:cs="Segoe UI"/>
          <w:i/>
          <w:iCs/>
          <w:szCs w:val="22"/>
          <w:lang w:val="pl-PL" w:eastAsia="de-DE"/>
        </w:rPr>
        <w:t xml:space="preserve"> </w:t>
      </w:r>
      <w:r w:rsidRPr="000E141E">
        <w:rPr>
          <w:rFonts w:cs="Segoe UI"/>
          <w:i/>
          <w:iCs/>
          <w:szCs w:val="22"/>
          <w:lang w:val="pl-PL" w:eastAsia="de-DE"/>
        </w:rPr>
        <w:t>w</w:t>
      </w:r>
      <w:r w:rsidR="00F51028">
        <w:rPr>
          <w:rFonts w:cs="Segoe UI"/>
          <w:i/>
          <w:iCs/>
          <w:szCs w:val="22"/>
          <w:lang w:val="pl-PL" w:eastAsia="de-DE"/>
        </w:rPr>
        <w:t> </w:t>
      </w:r>
      <w:r w:rsidRPr="000E141E">
        <w:rPr>
          <w:rFonts w:cs="Segoe UI"/>
          <w:i/>
          <w:iCs/>
          <w:szCs w:val="22"/>
          <w:lang w:val="pl-PL" w:eastAsia="de-DE"/>
        </w:rPr>
        <w:t xml:space="preserve">pierwszej połowie roku i dumni z postępów, jakie poczyniliśmy w realizacji </w:t>
      </w:r>
      <w:r w:rsidR="00277946" w:rsidRPr="000E141E">
        <w:rPr>
          <w:rFonts w:cs="Segoe UI"/>
          <w:i/>
          <w:iCs/>
          <w:szCs w:val="22"/>
          <w:lang w:val="pl-PL" w:eastAsia="de-DE"/>
        </w:rPr>
        <w:t>nasz</w:t>
      </w:r>
      <w:r w:rsidR="00277946">
        <w:rPr>
          <w:rFonts w:cs="Segoe UI"/>
          <w:i/>
          <w:iCs/>
          <w:szCs w:val="22"/>
          <w:lang w:val="pl-PL" w:eastAsia="de-DE"/>
        </w:rPr>
        <w:t>ego</w:t>
      </w:r>
      <w:r w:rsidR="00277946" w:rsidRPr="000E141E">
        <w:rPr>
          <w:rFonts w:cs="Segoe UI"/>
          <w:i/>
          <w:iCs/>
          <w:szCs w:val="22"/>
          <w:lang w:val="pl-PL" w:eastAsia="de-DE"/>
        </w:rPr>
        <w:t xml:space="preserve"> </w:t>
      </w:r>
      <w:r w:rsidR="00277946" w:rsidRPr="00403BE0">
        <w:rPr>
          <w:rFonts w:cs="Segoe UI"/>
          <w:b/>
          <w:bCs/>
          <w:i/>
          <w:iCs/>
          <w:szCs w:val="22"/>
          <w:lang w:val="pl-PL" w:eastAsia="de-DE"/>
        </w:rPr>
        <w:t>strategicznego planu rozwoju</w:t>
      </w:r>
      <w:r w:rsidR="007B62DB">
        <w:rPr>
          <w:rFonts w:cs="Segoe UI"/>
          <w:b/>
          <w:bCs/>
          <w:i/>
          <w:iCs/>
          <w:szCs w:val="22"/>
          <w:lang w:val="pl-PL" w:eastAsia="de-DE"/>
        </w:rPr>
        <w:t xml:space="preserve"> </w:t>
      </w:r>
      <w:r w:rsidRPr="000E141E">
        <w:rPr>
          <w:rFonts w:cs="Segoe UI"/>
          <w:szCs w:val="22"/>
          <w:lang w:val="pl-PL" w:eastAsia="de-DE"/>
        </w:rPr>
        <w:t xml:space="preserve">– powiedział Carsten Knobel. </w:t>
      </w:r>
      <w:r>
        <w:rPr>
          <w:rFonts w:cs="Segoe UI"/>
          <w:szCs w:val="22"/>
          <w:lang w:val="pl-PL" w:eastAsia="de-DE"/>
        </w:rPr>
        <w:t xml:space="preserve">- </w:t>
      </w:r>
      <w:r w:rsidRPr="000E141E">
        <w:rPr>
          <w:rFonts w:cs="Segoe UI"/>
          <w:i/>
          <w:iCs/>
          <w:szCs w:val="22"/>
          <w:lang w:val="pl-PL" w:eastAsia="de-DE"/>
        </w:rPr>
        <w:t xml:space="preserve">Dostarczamy to, do czego się zobowiązaliśmy i co zapowiedzieliśmy. I robimy wymierne postępy: w naszych biznesach, w sprzedaży i w wynikach. Zmieniamy </w:t>
      </w:r>
      <w:r w:rsidR="00277946">
        <w:rPr>
          <w:rFonts w:cs="Segoe UI"/>
          <w:i/>
          <w:iCs/>
          <w:szCs w:val="22"/>
          <w:lang w:val="pl-PL" w:eastAsia="de-DE"/>
        </w:rPr>
        <w:t xml:space="preserve">firmę </w:t>
      </w:r>
      <w:r w:rsidRPr="000E141E">
        <w:rPr>
          <w:rFonts w:cs="Segoe UI"/>
          <w:i/>
          <w:iCs/>
          <w:szCs w:val="22"/>
          <w:lang w:val="pl-PL" w:eastAsia="de-DE"/>
        </w:rPr>
        <w:t>Henkel poprzez odważne decyzje na rzecz sukcesu w przyszłości. I dzięki jasnej strategii, jesteśmy na właściwej drodze do dalszego zyskownego wzrostu</w:t>
      </w:r>
      <w:r w:rsidRPr="000E141E">
        <w:rPr>
          <w:rFonts w:cs="Segoe UI"/>
          <w:szCs w:val="22"/>
          <w:lang w:val="pl-PL" w:eastAsia="de-DE"/>
        </w:rPr>
        <w:t>.</w:t>
      </w:r>
      <w:r>
        <w:rPr>
          <w:rFonts w:cs="Segoe UI"/>
          <w:szCs w:val="22"/>
          <w:lang w:val="pl-PL" w:eastAsia="de-DE"/>
        </w:rPr>
        <w:t xml:space="preserve"> </w:t>
      </w:r>
    </w:p>
    <w:p w14:paraId="700EC88C" w14:textId="77777777" w:rsidR="00765289" w:rsidRPr="008D5D04" w:rsidRDefault="00765289" w:rsidP="00765289">
      <w:pPr>
        <w:rPr>
          <w:rFonts w:cs="Segoe UI"/>
          <w:b/>
          <w:bCs/>
          <w:szCs w:val="22"/>
          <w:lang w:val="pl-PL"/>
        </w:rPr>
      </w:pPr>
    </w:p>
    <w:p w14:paraId="0230864B" w14:textId="77777777" w:rsidR="00765289" w:rsidRPr="004A22C7" w:rsidRDefault="00765289" w:rsidP="00765289">
      <w:pPr>
        <w:rPr>
          <w:rFonts w:cs="Segoe UI"/>
          <w:szCs w:val="22"/>
          <w:lang w:val="pl-PL"/>
        </w:rPr>
      </w:pPr>
      <w:r w:rsidRPr="004A22C7">
        <w:rPr>
          <w:rFonts w:cs="Segoe UI"/>
          <w:szCs w:val="22"/>
          <w:lang w:val="pl-PL"/>
        </w:rPr>
        <w:t>***</w:t>
      </w:r>
    </w:p>
    <w:p w14:paraId="1A9CA039" w14:textId="77777777" w:rsidR="00765289" w:rsidRPr="004A22C7" w:rsidRDefault="00765289" w:rsidP="00765289">
      <w:pPr>
        <w:rPr>
          <w:rFonts w:cs="Segoe UI"/>
          <w:b/>
          <w:bCs/>
          <w:szCs w:val="22"/>
          <w:lang w:val="pl-PL"/>
        </w:rPr>
      </w:pPr>
    </w:p>
    <w:p w14:paraId="05BB6E4C" w14:textId="77777777" w:rsidR="00765289" w:rsidRPr="00305A0E" w:rsidRDefault="00765289" w:rsidP="00765289">
      <w:pPr>
        <w:rPr>
          <w:b/>
          <w:bCs/>
          <w:sz w:val="18"/>
          <w:lang w:val="pl-PL"/>
        </w:rPr>
      </w:pPr>
      <w:r w:rsidRPr="115B9FC8">
        <w:rPr>
          <w:b/>
          <w:bCs/>
          <w:sz w:val="18"/>
          <w:szCs w:val="18"/>
          <w:lang w:val="pl-PL"/>
        </w:rPr>
        <w:t>O firmie Henkel</w:t>
      </w:r>
    </w:p>
    <w:p w14:paraId="02831DF3" w14:textId="77777777" w:rsidR="00765289" w:rsidRDefault="00765289" w:rsidP="00765289">
      <w:pPr>
        <w:rPr>
          <w:rFonts w:eastAsia="Segoe UI" w:cs="Segoe UI"/>
          <w:sz w:val="18"/>
          <w:szCs w:val="18"/>
          <w:lang w:val="pl-PL"/>
        </w:rPr>
      </w:pPr>
      <w:r w:rsidRPr="115B9FC8">
        <w:rPr>
          <w:rFonts w:eastAsia="Segoe UI" w:cs="Segoe UI"/>
          <w:color w:val="000000" w:themeColor="text1"/>
          <w:sz w:val="18"/>
          <w:szCs w:val="18"/>
          <w:lang w:val="pl-PL"/>
        </w:rPr>
        <w:t xml:space="preserve">Dzięki wiodącym markom, innowacjom i technologiom spółka zajmuje czołowe pozycje rynkowe zarówno w sektorze przemysłowym, jak i dóbr konsumpcyjnych. Henkel Adhesive Technologies jest światowym liderem rynku </w:t>
      </w:r>
      <w:r w:rsidRPr="115B9FC8">
        <w:rPr>
          <w:rFonts w:eastAsia="Segoe UI" w:cs="Segoe UI"/>
          <w:color w:val="000000" w:themeColor="text1"/>
          <w:sz w:val="18"/>
          <w:szCs w:val="18"/>
          <w:lang w:val="pl-PL"/>
        </w:rPr>
        <w:lastRenderedPageBreak/>
        <w:t>klejów, uszczelniaczy i powłok funkcjonalnych. Dział Consumer Brands zajmuje wiodącą pozycję na wielu rynkach świata, zwłaszcza w obszarze produktów do pielęgnacji włosów oraz środków piorących i czystości. Trzy najsilniejsze marki to Loctite, Persil i Schwarzkopf. W 202</w:t>
      </w:r>
      <w:r>
        <w:rPr>
          <w:rFonts w:eastAsia="Segoe UI" w:cs="Segoe UI"/>
          <w:color w:val="000000" w:themeColor="text1"/>
          <w:sz w:val="18"/>
          <w:szCs w:val="18"/>
          <w:lang w:val="pl-PL"/>
        </w:rPr>
        <w:t>3</w:t>
      </w:r>
      <w:r w:rsidRPr="115B9FC8">
        <w:rPr>
          <w:rFonts w:eastAsia="Segoe UI" w:cs="Segoe UI"/>
          <w:color w:val="000000" w:themeColor="text1"/>
          <w:sz w:val="18"/>
          <w:szCs w:val="18"/>
          <w:lang w:val="pl-PL"/>
        </w:rPr>
        <w:t xml:space="preserve"> roku Henkel odnotował przychody ze sprzedaży na poziomie </w:t>
      </w:r>
      <w:r>
        <w:rPr>
          <w:rFonts w:eastAsia="Segoe UI" w:cs="Segoe UI"/>
          <w:color w:val="000000" w:themeColor="text1"/>
          <w:sz w:val="18"/>
          <w:szCs w:val="18"/>
          <w:lang w:val="pl-PL"/>
        </w:rPr>
        <w:t>prawie</w:t>
      </w:r>
      <w:r w:rsidRPr="115B9FC8">
        <w:rPr>
          <w:rFonts w:eastAsia="Segoe UI" w:cs="Segoe UI"/>
          <w:color w:val="000000" w:themeColor="text1"/>
          <w:sz w:val="18"/>
          <w:szCs w:val="18"/>
          <w:lang w:val="pl-PL"/>
        </w:rPr>
        <w:t xml:space="preserve"> 22 mld euro i skorygowany zysk operacyjny w wysokości około 2,</w:t>
      </w:r>
      <w:r>
        <w:rPr>
          <w:rFonts w:eastAsia="Segoe UI" w:cs="Segoe UI"/>
          <w:color w:val="000000" w:themeColor="text1"/>
          <w:sz w:val="18"/>
          <w:szCs w:val="18"/>
          <w:lang w:val="pl-PL"/>
        </w:rPr>
        <w:t xml:space="preserve">6 </w:t>
      </w:r>
      <w:r w:rsidRPr="115B9FC8">
        <w:rPr>
          <w:rFonts w:eastAsia="Segoe UI" w:cs="Segoe UI"/>
          <w:color w:val="000000" w:themeColor="text1"/>
          <w:sz w:val="18"/>
          <w:szCs w:val="18"/>
          <w:lang w:val="pl-PL"/>
        </w:rPr>
        <w:t xml:space="preserve">mld euro. Akcje uprzywilejowane spółki wchodzą w skład niemieckiego indeksu giełdowego DAX. Firma posiada jasną strategię zrównoważonego rozwoju z konkretnymi celami, a idea ta ma w Henklu długą tradycję. Firma założona w 1876 zatrudnia dziś około 50 tysięcy pracowników na całym świecie, tworzących zaangażowany i zróżnicowany zespół o silnej kulturze korporacyjnej, wspólnym systemie wartości i motcie: „Pioneers at heart for the good of generations”.  Więcej informacji na </w:t>
      </w:r>
      <w:r w:rsidRPr="115B9FC8">
        <w:rPr>
          <w:rStyle w:val="Hyperlink"/>
          <w:rFonts w:eastAsia="Segoe UI" w:cs="Segoe UI"/>
          <w:lang w:val="pl-PL"/>
        </w:rPr>
        <w:t xml:space="preserve">www.henkel.com </w:t>
      </w:r>
      <w:r w:rsidRPr="115B9FC8">
        <w:rPr>
          <w:rFonts w:eastAsia="Segoe UI" w:cs="Segoe UI"/>
          <w:color w:val="000000" w:themeColor="text1"/>
          <w:sz w:val="18"/>
          <w:szCs w:val="18"/>
          <w:lang w:val="pl-PL"/>
        </w:rPr>
        <w:t xml:space="preserve">oraz </w:t>
      </w:r>
      <w:r w:rsidRPr="115B9FC8">
        <w:rPr>
          <w:rStyle w:val="Hyperlink"/>
          <w:rFonts w:eastAsia="Segoe UI" w:cs="Segoe UI"/>
          <w:lang w:val="pl-PL"/>
        </w:rPr>
        <w:t>www.henkel.pl</w:t>
      </w:r>
      <w:r w:rsidRPr="115B9FC8">
        <w:rPr>
          <w:rFonts w:eastAsia="Segoe UI" w:cs="Segoe UI"/>
          <w:color w:val="000000" w:themeColor="text1"/>
          <w:sz w:val="18"/>
          <w:szCs w:val="18"/>
          <w:lang w:val="pl-PL"/>
        </w:rPr>
        <w:t>.</w:t>
      </w:r>
    </w:p>
    <w:p w14:paraId="7B209990" w14:textId="77777777" w:rsidR="00765289" w:rsidRPr="00673119" w:rsidRDefault="00765289" w:rsidP="00765289">
      <w:pPr>
        <w:rPr>
          <w:rStyle w:val="AboutandContactHeadline"/>
          <w:lang w:val="pl-PL"/>
        </w:rPr>
      </w:pPr>
    </w:p>
    <w:p w14:paraId="2CB0228D" w14:textId="77777777" w:rsidR="00765289" w:rsidRPr="00673119" w:rsidRDefault="00765289" w:rsidP="00765289">
      <w:pPr>
        <w:rPr>
          <w:sz w:val="18"/>
          <w:szCs w:val="20"/>
          <w:lang w:val="pl-PL"/>
        </w:rPr>
      </w:pPr>
      <w:r w:rsidRPr="00673119">
        <w:rPr>
          <w:rStyle w:val="AboutandContactHeadline"/>
          <w:lang w:val="pl-PL"/>
        </w:rPr>
        <w:t xml:space="preserve">Materiały graficzne są dostępne na stronie: </w:t>
      </w:r>
      <w:hyperlink r:id="rId7" w:history="1">
        <w:r w:rsidRPr="00673119">
          <w:rPr>
            <w:rStyle w:val="Hyperlink"/>
            <w:rFonts w:eastAsiaTheme="majorEastAsia"/>
            <w:b/>
            <w:bCs/>
            <w:szCs w:val="20"/>
            <w:lang w:val="pl-PL"/>
          </w:rPr>
          <w:t>http://www.henkel.com/press</w:t>
        </w:r>
      </w:hyperlink>
      <w:r w:rsidRPr="00673119">
        <w:rPr>
          <w:sz w:val="18"/>
          <w:szCs w:val="20"/>
          <w:lang w:val="pl-PL"/>
        </w:rPr>
        <w:t xml:space="preserve"> </w:t>
      </w:r>
    </w:p>
    <w:p w14:paraId="7C2A41BA" w14:textId="77777777" w:rsidR="00765289" w:rsidRDefault="00765289" w:rsidP="00765289">
      <w:pPr>
        <w:rPr>
          <w:sz w:val="18"/>
          <w:szCs w:val="20"/>
          <w:lang w:val="pl-PL"/>
        </w:rPr>
      </w:pPr>
    </w:p>
    <w:p w14:paraId="629621D4" w14:textId="77777777" w:rsidR="00473D09" w:rsidRPr="00473D09" w:rsidRDefault="00473D09" w:rsidP="00473D09">
      <w:pPr>
        <w:rPr>
          <w:sz w:val="14"/>
          <w:szCs w:val="14"/>
          <w:lang w:val="pl-PL"/>
        </w:rPr>
      </w:pPr>
      <w:r w:rsidRPr="00473D09">
        <w:rPr>
          <w:sz w:val="14"/>
          <w:szCs w:val="14"/>
          <w:lang w:val="pl-PL"/>
        </w:rPr>
        <w:t>Dokument ten zawiera stwierdzenia odnoszące się do przyszłego rozwoju działalności, wyników finansowych oraz innych wydarzeń lub rozwoju o przyszłym znaczeniu dla firmy Henkel, które mogą stanowić stwierdzenia dotyczące przyszłości. Stwierdzenia dotyczące przyszłości charakteryzują się użyciem słów takich jak oczekiwać, zamierzać, planować, przewidywać, wierzyć, szacować i podobnych terminów. Takie stwierdzenia opierają się na aktualnych szacunkach i założeniach dokonanych przez kierownictwo firmy Henkel AG &amp; Co. KGaA. Nie należy ich rozumieć jako gwarancji, że oczekiwania te okażą się trafne. Przyszłe wyniki i rezultaty osiągnięte przez Henkel AG &amp; Co. KGaA oraz jej spółki zależne zależą od szeregu ryzyk i niepewności i mogą zatem różnić się istotnie (zarówno pozytywnie, jak i negatywnie) od stwierdzeń dotyczących przyszłości. Wiele z tych czynników jest poza kontrolą firmy Henkel i nie może być dokładnie oszacowanych z wyprzedzeniem, takich jak przyszłe otoczenie gospodarcze oraz działania konkurentów i innych podmiotów zaangażowanych na rynku. Henkel nie planuje ani nie zobowiązuje się do aktualizacji stwierdzeń dotyczących przyszłości.</w:t>
      </w:r>
    </w:p>
    <w:p w14:paraId="349CBBED" w14:textId="77777777" w:rsidR="00473D09" w:rsidRPr="00473D09" w:rsidRDefault="00473D09" w:rsidP="00473D09">
      <w:pPr>
        <w:rPr>
          <w:sz w:val="14"/>
          <w:szCs w:val="14"/>
          <w:lang w:val="pl-PL"/>
        </w:rPr>
      </w:pPr>
    </w:p>
    <w:p w14:paraId="7BE23AE0" w14:textId="77777777" w:rsidR="00473D09" w:rsidRPr="00473D09" w:rsidRDefault="00473D09" w:rsidP="00473D09">
      <w:pPr>
        <w:rPr>
          <w:sz w:val="14"/>
          <w:szCs w:val="14"/>
          <w:lang w:val="pl-PL"/>
        </w:rPr>
      </w:pPr>
      <w:r w:rsidRPr="00473D09">
        <w:rPr>
          <w:sz w:val="14"/>
          <w:szCs w:val="14"/>
          <w:lang w:val="pl-PL"/>
        </w:rPr>
        <w:t>Dokument ten zawiera uzupełniające wskaźniki finansowe, które nie są jasno określone w obowiązujących ramkach sprawozdawczości finansowej i które są lub mogą być alternatywnymi miarami wyników. Te uzupełniające wskaźniki finansowe nie powinny być traktowane w izolacji ani jako alternatywy dla miar aktywów netto i pozycji finansowej firmy Henkel lub wyników operacyjnych przedstawionych zgodnie z obowiązującymi ramkami sprawozdawczości finansowej w jej skonsolidowanych sprawozdaniach finansowych. Inne firmy, które raportują lub opisują alternatywne miary wyników o podobnych tytułach, mogą obliczać je inaczej.</w:t>
      </w:r>
    </w:p>
    <w:p w14:paraId="30F9A407" w14:textId="77777777" w:rsidR="00473D09" w:rsidRPr="00473D09" w:rsidRDefault="00473D09" w:rsidP="00473D09">
      <w:pPr>
        <w:rPr>
          <w:sz w:val="14"/>
          <w:szCs w:val="14"/>
          <w:lang w:val="pl-PL"/>
        </w:rPr>
      </w:pPr>
    </w:p>
    <w:p w14:paraId="4E5C4C6B" w14:textId="741675BC" w:rsidR="00473D09" w:rsidRPr="00473D09" w:rsidRDefault="00473D09" w:rsidP="00473D09">
      <w:pPr>
        <w:rPr>
          <w:sz w:val="14"/>
          <w:szCs w:val="14"/>
          <w:lang w:val="pl-PL"/>
        </w:rPr>
      </w:pPr>
      <w:r w:rsidRPr="00473D09">
        <w:rPr>
          <w:sz w:val="14"/>
          <w:szCs w:val="14"/>
          <w:lang w:val="pl-PL"/>
        </w:rPr>
        <w:t>Dokument ten został wydany wyłącznie w celach informacyjnych i nie jest przeznaczony jako porada inwestycyjna ani oferta sprzedaży, ani zaproszenie do złożenia oferty zakupu jakichkolwiek papierów wartościowych.</w:t>
      </w:r>
    </w:p>
    <w:p w14:paraId="7C2879D9" w14:textId="77777777" w:rsidR="00765289" w:rsidRPr="00673119" w:rsidRDefault="00765289" w:rsidP="00765289">
      <w:pPr>
        <w:rPr>
          <w:sz w:val="18"/>
          <w:szCs w:val="20"/>
          <w:lang w:val="pl-PL"/>
        </w:rPr>
      </w:pPr>
    </w:p>
    <w:p w14:paraId="37D76EA5" w14:textId="77777777" w:rsidR="00765289" w:rsidRDefault="00765289" w:rsidP="00765289">
      <w:pPr>
        <w:rPr>
          <w:b/>
          <w:sz w:val="18"/>
          <w:lang w:val="pl-PL"/>
        </w:rPr>
      </w:pPr>
      <w:r w:rsidRPr="00673119">
        <w:rPr>
          <w:b/>
          <w:sz w:val="18"/>
          <w:lang w:val="pl-PL"/>
        </w:rPr>
        <w:t>Kontakt dla mediów:</w:t>
      </w:r>
    </w:p>
    <w:p w14:paraId="3FDC0BD5" w14:textId="77777777" w:rsidR="00277946" w:rsidRPr="007B62DB" w:rsidRDefault="00277946" w:rsidP="00277946">
      <w:pPr>
        <w:rPr>
          <w:sz w:val="18"/>
          <w:lang w:val="pl-PL"/>
        </w:rPr>
      </w:pPr>
      <w:r w:rsidRPr="007B62DB">
        <w:rPr>
          <w:sz w:val="18"/>
          <w:lang w:val="pl-PL"/>
        </w:rPr>
        <w:t>Dorota Strosznajder</w:t>
      </w:r>
      <w:r w:rsidRPr="007B62DB">
        <w:rPr>
          <w:sz w:val="18"/>
          <w:lang w:val="pl-PL"/>
        </w:rPr>
        <w:tab/>
      </w:r>
      <w:r w:rsidRPr="007B62DB">
        <w:rPr>
          <w:sz w:val="18"/>
          <w:lang w:val="pl-PL"/>
        </w:rPr>
        <w:tab/>
      </w:r>
      <w:r w:rsidRPr="007B62DB">
        <w:rPr>
          <w:sz w:val="18"/>
          <w:lang w:val="pl-PL"/>
        </w:rPr>
        <w:tab/>
        <w:t xml:space="preserve"> </w:t>
      </w:r>
    </w:p>
    <w:p w14:paraId="77BECC02" w14:textId="77777777" w:rsidR="00277946" w:rsidRPr="007B62DB" w:rsidRDefault="00277946" w:rsidP="00277946">
      <w:pPr>
        <w:rPr>
          <w:sz w:val="18"/>
          <w:lang w:val="pl-PL"/>
        </w:rPr>
      </w:pPr>
      <w:r w:rsidRPr="007B62DB">
        <w:rPr>
          <w:sz w:val="18"/>
          <w:lang w:val="pl-PL"/>
        </w:rPr>
        <w:t>Henkel Polska Sp. z o.o.</w:t>
      </w:r>
      <w:r w:rsidRPr="007B62DB">
        <w:rPr>
          <w:sz w:val="18"/>
          <w:lang w:val="pl-PL"/>
        </w:rPr>
        <w:tab/>
      </w:r>
      <w:r w:rsidRPr="007B62DB">
        <w:rPr>
          <w:sz w:val="18"/>
          <w:lang w:val="pl-PL"/>
        </w:rPr>
        <w:tab/>
      </w:r>
      <w:r w:rsidRPr="007B62DB">
        <w:rPr>
          <w:sz w:val="18"/>
          <w:lang w:val="pl-PL"/>
        </w:rPr>
        <w:tab/>
      </w:r>
    </w:p>
    <w:p w14:paraId="6DA55C90" w14:textId="77777777" w:rsidR="00277946" w:rsidRPr="00827E65" w:rsidRDefault="00277946" w:rsidP="00277946">
      <w:pPr>
        <w:rPr>
          <w:sz w:val="18"/>
        </w:rPr>
      </w:pPr>
      <w:r w:rsidRPr="00827E65">
        <w:rPr>
          <w:sz w:val="18"/>
        </w:rPr>
        <w:t>tel.: (022) 565 66 65</w:t>
      </w:r>
      <w:r w:rsidRPr="00827E65">
        <w:rPr>
          <w:sz w:val="18"/>
        </w:rPr>
        <w:tab/>
      </w:r>
      <w:r w:rsidRPr="00827E65">
        <w:rPr>
          <w:sz w:val="18"/>
        </w:rPr>
        <w:tab/>
      </w:r>
      <w:r w:rsidRPr="00827E65">
        <w:rPr>
          <w:sz w:val="18"/>
        </w:rPr>
        <w:tab/>
      </w:r>
    </w:p>
    <w:p w14:paraId="7BDCF99E" w14:textId="77777777" w:rsidR="00277946" w:rsidRPr="00827E65" w:rsidRDefault="00D816E2" w:rsidP="00277946">
      <w:pPr>
        <w:rPr>
          <w:rStyle w:val="AboutandContactBody"/>
          <w:rFonts w:eastAsiaTheme="majorEastAsia"/>
        </w:rPr>
      </w:pPr>
      <w:hyperlink r:id="rId8" w:history="1">
        <w:r w:rsidR="00277946" w:rsidRPr="00827E65">
          <w:rPr>
            <w:rStyle w:val="Hyperlink"/>
          </w:rPr>
          <w:t>dorota.strosznajder@henkel.com</w:t>
        </w:r>
      </w:hyperlink>
      <w:r w:rsidR="00277946" w:rsidRPr="00827E65">
        <w:rPr>
          <w:sz w:val="18"/>
        </w:rPr>
        <w:t xml:space="preserve"> </w:t>
      </w:r>
      <w:r w:rsidR="00277946" w:rsidRPr="00827E65">
        <w:rPr>
          <w:sz w:val="18"/>
        </w:rPr>
        <w:tab/>
      </w:r>
      <w:r w:rsidR="00277946" w:rsidRPr="00827E65">
        <w:rPr>
          <w:rStyle w:val="Hyperlink"/>
        </w:rPr>
        <w:t xml:space="preserve"> </w:t>
      </w:r>
    </w:p>
    <w:p w14:paraId="1324D72E" w14:textId="77777777" w:rsidR="00277946" w:rsidRPr="007B62DB" w:rsidRDefault="00277946" w:rsidP="00765289">
      <w:pPr>
        <w:rPr>
          <w:b/>
          <w:sz w:val="18"/>
        </w:rPr>
      </w:pPr>
    </w:p>
    <w:p w14:paraId="5EBC90AC" w14:textId="77777777" w:rsidR="00765289" w:rsidRPr="007B62DB" w:rsidRDefault="00765289" w:rsidP="00765289">
      <w:pPr>
        <w:rPr>
          <w:sz w:val="18"/>
        </w:rPr>
      </w:pPr>
      <w:bookmarkStart w:id="1" w:name="_Hlk118882618"/>
      <w:r w:rsidRPr="007B62DB">
        <w:rPr>
          <w:sz w:val="18"/>
        </w:rPr>
        <w:t>Katarzyna Grobel</w:t>
      </w:r>
    </w:p>
    <w:p w14:paraId="0307036F" w14:textId="77777777" w:rsidR="00765289" w:rsidRPr="007B62DB" w:rsidRDefault="00765289" w:rsidP="00765289">
      <w:pPr>
        <w:rPr>
          <w:rStyle w:val="AboutandContactBody"/>
        </w:rPr>
      </w:pPr>
      <w:r w:rsidRPr="007B62DB">
        <w:rPr>
          <w:sz w:val="18"/>
        </w:rPr>
        <w:t>Garden of Words</w:t>
      </w:r>
      <w:r w:rsidRPr="007B62DB">
        <w:rPr>
          <w:sz w:val="18"/>
        </w:rPr>
        <w:tab/>
      </w:r>
      <w:r w:rsidRPr="007B62DB">
        <w:rPr>
          <w:sz w:val="18"/>
        </w:rPr>
        <w:tab/>
      </w:r>
      <w:r w:rsidRPr="007B62DB">
        <w:rPr>
          <w:sz w:val="18"/>
        </w:rPr>
        <w:tab/>
      </w:r>
      <w:bookmarkEnd w:id="1"/>
    </w:p>
    <w:p w14:paraId="3F1B70D9" w14:textId="77777777" w:rsidR="00765289" w:rsidRDefault="00765289" w:rsidP="00765289">
      <w:pPr>
        <w:rPr>
          <w:rStyle w:val="AboutandContactBody"/>
        </w:rPr>
      </w:pPr>
      <w:r>
        <w:rPr>
          <w:rStyle w:val="AboutandContactBody"/>
        </w:rPr>
        <w:t xml:space="preserve">tel: </w:t>
      </w:r>
      <w:r w:rsidRPr="00E02E10">
        <w:rPr>
          <w:rStyle w:val="AboutandContactBody"/>
        </w:rPr>
        <w:t>+48 533 336</w:t>
      </w:r>
      <w:r>
        <w:rPr>
          <w:rStyle w:val="AboutandContactBody"/>
        </w:rPr>
        <w:t> </w:t>
      </w:r>
      <w:r w:rsidRPr="00E02E10">
        <w:rPr>
          <w:rStyle w:val="AboutandContactBody"/>
        </w:rPr>
        <w:t>550</w:t>
      </w:r>
    </w:p>
    <w:p w14:paraId="1AC4FF2A" w14:textId="77777777" w:rsidR="00765289" w:rsidRPr="001E51B6" w:rsidRDefault="00765289" w:rsidP="00765289">
      <w:pPr>
        <w:rPr>
          <w:rStyle w:val="AboutandContactBody"/>
        </w:rPr>
      </w:pPr>
      <w:r>
        <w:rPr>
          <w:rStyle w:val="AboutandContactBody"/>
        </w:rPr>
        <w:t>k.grobel@gardenofwords.pl</w:t>
      </w:r>
    </w:p>
    <w:p w14:paraId="127DBFEF" w14:textId="77777777" w:rsidR="00765289" w:rsidRDefault="00765289" w:rsidP="00765289">
      <w:pPr>
        <w:rPr>
          <w:rStyle w:val="AboutandContactBody"/>
        </w:rPr>
      </w:pPr>
    </w:p>
    <w:p w14:paraId="7D38E6D9" w14:textId="77777777" w:rsidR="00765289" w:rsidRPr="00B80AD4" w:rsidRDefault="00765289" w:rsidP="00765289">
      <w:pPr>
        <w:rPr>
          <w:rStyle w:val="AboutandContactBody"/>
        </w:rPr>
      </w:pPr>
      <w:r w:rsidRPr="00B80AD4">
        <w:rPr>
          <w:rStyle w:val="AboutandContactBody"/>
        </w:rPr>
        <w:t>Henkel AG &amp; Co. KGaA</w:t>
      </w:r>
    </w:p>
    <w:p w14:paraId="0AFD076D" w14:textId="77777777" w:rsidR="00765289" w:rsidRPr="00B80AD4" w:rsidRDefault="00765289" w:rsidP="00765289">
      <w:pPr>
        <w:rPr>
          <w:rStyle w:val="AboutandContactBody"/>
          <w:rFonts w:cs="Segoe UI"/>
        </w:rPr>
      </w:pPr>
    </w:p>
    <w:p w14:paraId="74F74AA5" w14:textId="77777777" w:rsidR="00F41FF4" w:rsidRDefault="00F41FF4"/>
    <w:sectPr w:rsidR="00F41FF4" w:rsidSect="00765289">
      <w:headerReference w:type="even" r:id="rId9"/>
      <w:footerReference w:type="default" r:id="rId10"/>
      <w:headerReference w:type="first" r:id="rId11"/>
      <w:footerReference w:type="first" r:id="rId12"/>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C7A2B" w14:textId="77777777" w:rsidR="00B25D27" w:rsidRDefault="00B25D27">
      <w:pPr>
        <w:spacing w:line="240" w:lineRule="auto"/>
      </w:pPr>
      <w:r>
        <w:separator/>
      </w:r>
    </w:p>
  </w:endnote>
  <w:endnote w:type="continuationSeparator" w:id="0">
    <w:p w14:paraId="7B602209" w14:textId="77777777" w:rsidR="00B25D27" w:rsidRDefault="00B25D27">
      <w:pPr>
        <w:spacing w:line="240" w:lineRule="auto"/>
      </w:pPr>
      <w:r>
        <w:continuationSeparator/>
      </w:r>
    </w:p>
  </w:endnote>
  <w:endnote w:type="continuationNotice" w:id="1">
    <w:p w14:paraId="47D7C6D8" w14:textId="77777777" w:rsidR="00B25D27" w:rsidRDefault="00B25D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1358" w14:textId="77777777" w:rsidR="00765289" w:rsidRPr="00112A28" w:rsidRDefault="00765289"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D816E2">
      <w:fldChar w:fldCharType="begin"/>
    </w:r>
    <w:r w:rsidR="00D816E2">
      <w:instrText xml:space="preserve"> NUMPAGES  \* Arabic  \* MERGEFORMAT </w:instrText>
    </w:r>
    <w:r w:rsidR="00D816E2">
      <w:fldChar w:fldCharType="separate"/>
    </w:r>
    <w:r>
      <w:t>2</w:t>
    </w:r>
    <w:r w:rsidR="00D816E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D110" w14:textId="77777777" w:rsidR="00765289" w:rsidRPr="00992A11" w:rsidRDefault="00765289" w:rsidP="00992A11">
    <w:pPr>
      <w:pStyle w:val="Footer"/>
    </w:pPr>
    <w:bookmarkStart w:id="2" w:name="_Hlk505758583"/>
    <w:r w:rsidRPr="00992A11">
      <w:drawing>
        <wp:anchor distT="0" distB="0" distL="114300" distR="114300" simplePos="0" relativeHeight="251658242" behindDoc="0" locked="0" layoutInCell="1" allowOverlap="1" wp14:anchorId="17D50F69" wp14:editId="63BCE072">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Pr="00992A11">
      <w:t xml:space="preserve">Page </w:t>
    </w:r>
    <w:r w:rsidRPr="00992A11">
      <w:fldChar w:fldCharType="begin"/>
    </w:r>
    <w:r w:rsidRPr="00992A11">
      <w:instrText xml:space="preserve"> PAGE  \* Arabic  \* MERGEFORMAT </w:instrText>
    </w:r>
    <w:r w:rsidRPr="00992A11">
      <w:fldChar w:fldCharType="separate"/>
    </w:r>
    <w:r w:rsidRPr="00992A11">
      <w:t>1</w:t>
    </w:r>
    <w:r w:rsidRPr="00992A11">
      <w:fldChar w:fldCharType="end"/>
    </w:r>
    <w:r w:rsidRPr="00992A11">
      <w:t>/</w:t>
    </w:r>
    <w:r w:rsidR="00D816E2">
      <w:fldChar w:fldCharType="begin"/>
    </w:r>
    <w:r w:rsidR="00D816E2">
      <w:instrText xml:space="preserve"> NUMPAGES  \* Arabic  \* MERGEFORMAT </w:instrText>
    </w:r>
    <w:r w:rsidR="00D816E2">
      <w:fldChar w:fldCharType="separate"/>
    </w:r>
    <w:r w:rsidRPr="00992A11">
      <w:t>1</w:t>
    </w:r>
    <w:r w:rsidR="00D816E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0599A" w14:textId="77777777" w:rsidR="00B25D27" w:rsidRDefault="00B25D27">
      <w:pPr>
        <w:spacing w:line="240" w:lineRule="auto"/>
      </w:pPr>
      <w:r>
        <w:separator/>
      </w:r>
    </w:p>
  </w:footnote>
  <w:footnote w:type="continuationSeparator" w:id="0">
    <w:p w14:paraId="6931F854" w14:textId="77777777" w:rsidR="00B25D27" w:rsidRDefault="00B25D27">
      <w:pPr>
        <w:spacing w:line="240" w:lineRule="auto"/>
      </w:pPr>
      <w:r>
        <w:continuationSeparator/>
      </w:r>
    </w:p>
  </w:footnote>
  <w:footnote w:type="continuationNotice" w:id="1">
    <w:p w14:paraId="3FE40A5E" w14:textId="77777777" w:rsidR="00B25D27" w:rsidRDefault="00B25D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85FD" w14:textId="77777777" w:rsidR="00765289" w:rsidRDefault="00765289"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4ADD7" w14:textId="77777777" w:rsidR="00765289" w:rsidRPr="00EB46D9" w:rsidRDefault="00765289" w:rsidP="00EB46D9">
    <w:pPr>
      <w:pStyle w:val="Header"/>
    </w:pPr>
    <w:r w:rsidRPr="00EB46D9">
      <w:rPr>
        <w:noProof/>
      </w:rPr>
      <w:drawing>
        <wp:anchor distT="0" distB="0" distL="114300" distR="114300" simplePos="0" relativeHeight="251658241" behindDoc="0" locked="1" layoutInCell="1" allowOverlap="1" wp14:anchorId="320C2A62" wp14:editId="17C2C094">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2562B27A" wp14:editId="5665BB73">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F3A1E0"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Pr>
        <w:noProof/>
      </w:rPr>
      <w:t>Informacja prasowa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59490CC3"/>
    <w:multiLevelType w:val="multilevel"/>
    <w:tmpl w:val="7A9C28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852597">
    <w:abstractNumId w:val="1"/>
  </w:num>
  <w:num w:numId="2" w16cid:durableId="1572081013">
    <w:abstractNumId w:val="0"/>
  </w:num>
  <w:num w:numId="3" w16cid:durableId="571816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89"/>
    <w:rsid w:val="00070ACD"/>
    <w:rsid w:val="000759F6"/>
    <w:rsid w:val="000A29F4"/>
    <w:rsid w:val="000A5FA6"/>
    <w:rsid w:val="000C0C51"/>
    <w:rsid w:val="00126D57"/>
    <w:rsid w:val="00127E9C"/>
    <w:rsid w:val="00174E24"/>
    <w:rsid w:val="00192301"/>
    <w:rsid w:val="001A2C7A"/>
    <w:rsid w:val="001C2AF7"/>
    <w:rsid w:val="001E30F9"/>
    <w:rsid w:val="001E796B"/>
    <w:rsid w:val="00277946"/>
    <w:rsid w:val="002F375D"/>
    <w:rsid w:val="00302FA9"/>
    <w:rsid w:val="00305593"/>
    <w:rsid w:val="00340688"/>
    <w:rsid w:val="00341F9B"/>
    <w:rsid w:val="003B3B55"/>
    <w:rsid w:val="003C40C9"/>
    <w:rsid w:val="003E6276"/>
    <w:rsid w:val="003F643C"/>
    <w:rsid w:val="00403BE0"/>
    <w:rsid w:val="0042228F"/>
    <w:rsid w:val="00465214"/>
    <w:rsid w:val="00473D09"/>
    <w:rsid w:val="004A77F5"/>
    <w:rsid w:val="0050123C"/>
    <w:rsid w:val="00515981"/>
    <w:rsid w:val="00531A43"/>
    <w:rsid w:val="00561E67"/>
    <w:rsid w:val="00580E3B"/>
    <w:rsid w:val="006026E4"/>
    <w:rsid w:val="00612939"/>
    <w:rsid w:val="00642D0D"/>
    <w:rsid w:val="0064453F"/>
    <w:rsid w:val="00696F4F"/>
    <w:rsid w:val="006970C4"/>
    <w:rsid w:val="006B7C6C"/>
    <w:rsid w:val="00726A5B"/>
    <w:rsid w:val="00737E36"/>
    <w:rsid w:val="007460BD"/>
    <w:rsid w:val="00753993"/>
    <w:rsid w:val="007557C2"/>
    <w:rsid w:val="00765289"/>
    <w:rsid w:val="007B3AB7"/>
    <w:rsid w:val="007B62DB"/>
    <w:rsid w:val="007D0841"/>
    <w:rsid w:val="007D7501"/>
    <w:rsid w:val="008012E1"/>
    <w:rsid w:val="008432F5"/>
    <w:rsid w:val="0085781B"/>
    <w:rsid w:val="00875BA0"/>
    <w:rsid w:val="008C7D11"/>
    <w:rsid w:val="008D5BBD"/>
    <w:rsid w:val="008D5D04"/>
    <w:rsid w:val="009171EB"/>
    <w:rsid w:val="00970518"/>
    <w:rsid w:val="00977ED7"/>
    <w:rsid w:val="00986FAF"/>
    <w:rsid w:val="00993AFA"/>
    <w:rsid w:val="009E5221"/>
    <w:rsid w:val="00A22940"/>
    <w:rsid w:val="00A40858"/>
    <w:rsid w:val="00A73AC5"/>
    <w:rsid w:val="00AA7CCB"/>
    <w:rsid w:val="00B053E3"/>
    <w:rsid w:val="00B072DC"/>
    <w:rsid w:val="00B10ACF"/>
    <w:rsid w:val="00B25D27"/>
    <w:rsid w:val="00B40717"/>
    <w:rsid w:val="00B46D0D"/>
    <w:rsid w:val="00BA3DFD"/>
    <w:rsid w:val="00BA6539"/>
    <w:rsid w:val="00C13A3D"/>
    <w:rsid w:val="00C6780A"/>
    <w:rsid w:val="00C741BE"/>
    <w:rsid w:val="00D16387"/>
    <w:rsid w:val="00D816E2"/>
    <w:rsid w:val="00DA66F0"/>
    <w:rsid w:val="00DD6CCA"/>
    <w:rsid w:val="00DE271C"/>
    <w:rsid w:val="00E433CA"/>
    <w:rsid w:val="00E5017A"/>
    <w:rsid w:val="00E558D1"/>
    <w:rsid w:val="00F41FF4"/>
    <w:rsid w:val="00F51028"/>
    <w:rsid w:val="00FA196C"/>
    <w:rsid w:val="00FF591F"/>
  </w:rsids>
  <m:mathPr>
    <m:mathFont m:val="Cambria Math"/>
    <m:brkBin m:val="before"/>
    <m:brkBinSub m:val="--"/>
    <m:smallFrac m:val="0"/>
    <m:dispDef/>
    <m:lMargin m:val="0"/>
    <m:rMargin m:val="0"/>
    <m:defJc m:val="centerGroup"/>
    <m:wrapIndent m:val="1440"/>
    <m:intLim m:val="subSup"/>
    <m:naryLim m:val="undOvr"/>
  </m:mathPr>
  <w:themeFontLang w:val="pl-PL"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8C54"/>
  <w15:chartTrackingRefBased/>
  <w15:docId w15:val="{247568BE-EF1F-4C73-B9C2-605C262B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89"/>
    <w:pPr>
      <w:spacing w:after="0" w:line="276" w:lineRule="auto"/>
      <w:jc w:val="both"/>
    </w:pPr>
    <w:rPr>
      <w:rFonts w:ascii="Segoe UI" w:eastAsia="Times New Roman" w:hAnsi="Segoe UI" w:cs="Times New Roman"/>
      <w:kern w:val="0"/>
      <w:szCs w:val="24"/>
      <w:lang w:val="en-US"/>
      <w14:ligatures w14:val="none"/>
    </w:rPr>
  </w:style>
  <w:style w:type="paragraph" w:styleId="Heading1">
    <w:name w:val="heading 1"/>
    <w:basedOn w:val="Normal"/>
    <w:next w:val="Normal"/>
    <w:link w:val="Heading1Char"/>
    <w:uiPriority w:val="9"/>
    <w:qFormat/>
    <w:rsid w:val="00765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2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2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2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2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289"/>
    <w:rPr>
      <w:rFonts w:eastAsiaTheme="majorEastAsia" w:cstheme="majorBidi"/>
      <w:color w:val="272727" w:themeColor="text1" w:themeTint="D8"/>
    </w:rPr>
  </w:style>
  <w:style w:type="paragraph" w:styleId="Title">
    <w:name w:val="Title"/>
    <w:basedOn w:val="Normal"/>
    <w:next w:val="Normal"/>
    <w:link w:val="TitleChar"/>
    <w:uiPriority w:val="10"/>
    <w:qFormat/>
    <w:rsid w:val="00765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289"/>
    <w:pPr>
      <w:spacing w:before="160"/>
      <w:jc w:val="center"/>
    </w:pPr>
    <w:rPr>
      <w:i/>
      <w:iCs/>
      <w:color w:val="404040" w:themeColor="text1" w:themeTint="BF"/>
    </w:rPr>
  </w:style>
  <w:style w:type="character" w:customStyle="1" w:styleId="QuoteChar">
    <w:name w:val="Quote Char"/>
    <w:basedOn w:val="DefaultParagraphFont"/>
    <w:link w:val="Quote"/>
    <w:uiPriority w:val="29"/>
    <w:rsid w:val="00765289"/>
    <w:rPr>
      <w:i/>
      <w:iCs/>
      <w:color w:val="404040" w:themeColor="text1" w:themeTint="BF"/>
    </w:rPr>
  </w:style>
  <w:style w:type="paragraph" w:styleId="ListParagraph">
    <w:name w:val="List Paragraph"/>
    <w:basedOn w:val="Normal"/>
    <w:uiPriority w:val="34"/>
    <w:qFormat/>
    <w:rsid w:val="00765289"/>
    <w:pPr>
      <w:ind w:left="720"/>
      <w:contextualSpacing/>
    </w:pPr>
  </w:style>
  <w:style w:type="character" w:styleId="IntenseEmphasis">
    <w:name w:val="Intense Emphasis"/>
    <w:basedOn w:val="DefaultParagraphFont"/>
    <w:uiPriority w:val="21"/>
    <w:qFormat/>
    <w:rsid w:val="00765289"/>
    <w:rPr>
      <w:i/>
      <w:iCs/>
      <w:color w:val="0F4761" w:themeColor="accent1" w:themeShade="BF"/>
    </w:rPr>
  </w:style>
  <w:style w:type="paragraph" w:styleId="IntenseQuote">
    <w:name w:val="Intense Quote"/>
    <w:basedOn w:val="Normal"/>
    <w:next w:val="Normal"/>
    <w:link w:val="IntenseQuoteChar"/>
    <w:uiPriority w:val="30"/>
    <w:qFormat/>
    <w:rsid w:val="00765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289"/>
    <w:rPr>
      <w:i/>
      <w:iCs/>
      <w:color w:val="0F4761" w:themeColor="accent1" w:themeShade="BF"/>
    </w:rPr>
  </w:style>
  <w:style w:type="character" w:styleId="IntenseReference">
    <w:name w:val="Intense Reference"/>
    <w:basedOn w:val="DefaultParagraphFont"/>
    <w:uiPriority w:val="32"/>
    <w:qFormat/>
    <w:rsid w:val="00765289"/>
    <w:rPr>
      <w:b/>
      <w:bCs/>
      <w:smallCaps/>
      <w:color w:val="0F4761" w:themeColor="accent1" w:themeShade="BF"/>
      <w:spacing w:val="5"/>
    </w:rPr>
  </w:style>
  <w:style w:type="paragraph" w:styleId="Header">
    <w:name w:val="header"/>
    <w:basedOn w:val="Normal"/>
    <w:link w:val="HeaderChar"/>
    <w:rsid w:val="00765289"/>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rsid w:val="00765289"/>
    <w:rPr>
      <w:rFonts w:ascii="Segoe UI" w:eastAsia="Times New Roman" w:hAnsi="Segoe UI" w:cs="Segoe UI"/>
      <w:b/>
      <w:bCs/>
      <w:color w:val="3E3C3C"/>
      <w:kern w:val="0"/>
      <w:sz w:val="40"/>
      <w:szCs w:val="40"/>
      <w:lang w:val="en-US"/>
      <w14:ligatures w14:val="none"/>
    </w:rPr>
  </w:style>
  <w:style w:type="paragraph" w:styleId="Footer">
    <w:name w:val="footer"/>
    <w:basedOn w:val="Normal"/>
    <w:link w:val="FooterChar"/>
    <w:uiPriority w:val="99"/>
    <w:rsid w:val="00765289"/>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rsid w:val="00765289"/>
    <w:rPr>
      <w:rFonts w:ascii="Segoe UI" w:eastAsia="Times New Roman" w:hAnsi="Segoe UI" w:cs="Times New Roman"/>
      <w:bCs/>
      <w:noProof/>
      <w:kern w:val="0"/>
      <w:sz w:val="12"/>
      <w:szCs w:val="24"/>
      <w:lang w:val="en-US"/>
      <w14:ligatures w14:val="none"/>
    </w:rPr>
  </w:style>
  <w:style w:type="character" w:styleId="Hyperlink">
    <w:name w:val="Hyperlink"/>
    <w:rsid w:val="00765289"/>
    <w:rPr>
      <w:rFonts w:ascii="Segoe UI" w:hAnsi="Segoe UI"/>
      <w:color w:val="0000FF"/>
      <w:sz w:val="18"/>
      <w:szCs w:val="18"/>
      <w:u w:val="single"/>
    </w:rPr>
  </w:style>
  <w:style w:type="character" w:customStyle="1" w:styleId="Headline">
    <w:name w:val="Headline"/>
    <w:basedOn w:val="DefaultParagraphFont"/>
    <w:rsid w:val="00765289"/>
    <w:rPr>
      <w:b/>
      <w:bCs/>
      <w:sz w:val="32"/>
    </w:rPr>
  </w:style>
  <w:style w:type="paragraph" w:customStyle="1" w:styleId="MonthDayYear">
    <w:name w:val="Month Day Year"/>
    <w:basedOn w:val="Normal"/>
    <w:rsid w:val="00765289"/>
    <w:pPr>
      <w:spacing w:before="120"/>
      <w:ind w:right="-1"/>
      <w:jc w:val="right"/>
    </w:pPr>
    <w:rPr>
      <w:szCs w:val="20"/>
    </w:rPr>
  </w:style>
  <w:style w:type="character" w:customStyle="1" w:styleId="AboutandContactBody">
    <w:name w:val="About and Contact Body"/>
    <w:basedOn w:val="DefaultParagraphFont"/>
    <w:rsid w:val="00765289"/>
    <w:rPr>
      <w:rFonts w:ascii="Segoe UI" w:hAnsi="Segoe UI"/>
      <w:sz w:val="18"/>
    </w:rPr>
  </w:style>
  <w:style w:type="character" w:customStyle="1" w:styleId="AboutandContactHeadline">
    <w:name w:val="About and Contact Headline"/>
    <w:basedOn w:val="DefaultParagraphFont"/>
    <w:rsid w:val="00765289"/>
    <w:rPr>
      <w:rFonts w:ascii="Segoe UI" w:hAnsi="Segoe UI"/>
      <w:b/>
      <w:bCs/>
      <w:sz w:val="18"/>
    </w:rPr>
  </w:style>
  <w:style w:type="paragraph" w:customStyle="1" w:styleId="Domylne">
    <w:name w:val="Domyślne"/>
    <w:rsid w:val="00765289"/>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bdr w:val="nil"/>
      <w:lang w:eastAsia="pl-PL"/>
      <w14:ligatures w14:val="none"/>
    </w:rPr>
  </w:style>
  <w:style w:type="paragraph" w:customStyle="1" w:styleId="He01FlietextAufzhlung2Ebene">
    <w:name w:val="_He_01_Fließtext Aufzählung 2. Ebene"/>
    <w:next w:val="Normal"/>
    <w:qFormat/>
    <w:rsid w:val="00765289"/>
    <w:pPr>
      <w:numPr>
        <w:numId w:val="2"/>
      </w:numPr>
      <w:spacing w:line="240" w:lineRule="auto"/>
    </w:pPr>
    <w:rPr>
      <w:rFonts w:ascii="Segoe UI" w:hAnsi="Segoe UI"/>
      <w:kern w:val="0"/>
      <w:lang w:val="de-DE"/>
      <w14:ligatures w14:val="none"/>
    </w:rPr>
  </w:style>
  <w:style w:type="paragraph" w:styleId="Revision">
    <w:name w:val="Revision"/>
    <w:hidden/>
    <w:uiPriority w:val="99"/>
    <w:semiHidden/>
    <w:rsid w:val="00E433CA"/>
    <w:pPr>
      <w:spacing w:after="0" w:line="240" w:lineRule="auto"/>
    </w:pPr>
    <w:rPr>
      <w:rFonts w:ascii="Segoe UI" w:eastAsia="Times New Roman" w:hAnsi="Segoe UI" w:cs="Times New Roman"/>
      <w:kern w:val="0"/>
      <w:szCs w:val="24"/>
      <w:lang w:val="en-US"/>
      <w14:ligatures w14:val="none"/>
    </w:rPr>
  </w:style>
  <w:style w:type="character" w:styleId="Strong">
    <w:name w:val="Strong"/>
    <w:basedOn w:val="DefaultParagraphFont"/>
    <w:uiPriority w:val="22"/>
    <w:qFormat/>
    <w:rsid w:val="00E433CA"/>
    <w:rPr>
      <w:b/>
      <w:bCs/>
    </w:rPr>
  </w:style>
  <w:style w:type="character" w:styleId="CommentReference">
    <w:name w:val="annotation reference"/>
    <w:basedOn w:val="DefaultParagraphFont"/>
    <w:uiPriority w:val="99"/>
    <w:semiHidden/>
    <w:unhideWhenUsed/>
    <w:rsid w:val="00465214"/>
    <w:rPr>
      <w:sz w:val="16"/>
      <w:szCs w:val="16"/>
    </w:rPr>
  </w:style>
  <w:style w:type="paragraph" w:styleId="CommentText">
    <w:name w:val="annotation text"/>
    <w:basedOn w:val="Normal"/>
    <w:link w:val="CommentTextChar"/>
    <w:uiPriority w:val="99"/>
    <w:unhideWhenUsed/>
    <w:rsid w:val="00465214"/>
    <w:pPr>
      <w:spacing w:line="240" w:lineRule="auto"/>
    </w:pPr>
    <w:rPr>
      <w:sz w:val="20"/>
      <w:szCs w:val="20"/>
    </w:rPr>
  </w:style>
  <w:style w:type="character" w:customStyle="1" w:styleId="CommentTextChar">
    <w:name w:val="Comment Text Char"/>
    <w:basedOn w:val="DefaultParagraphFont"/>
    <w:link w:val="CommentText"/>
    <w:uiPriority w:val="99"/>
    <w:rsid w:val="00465214"/>
    <w:rPr>
      <w:rFonts w:ascii="Segoe UI" w:eastAsia="Times New Roman" w:hAnsi="Segoe U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65214"/>
    <w:rPr>
      <w:b/>
      <w:bCs/>
    </w:rPr>
  </w:style>
  <w:style w:type="character" w:customStyle="1" w:styleId="CommentSubjectChar">
    <w:name w:val="Comment Subject Char"/>
    <w:basedOn w:val="CommentTextChar"/>
    <w:link w:val="CommentSubject"/>
    <w:uiPriority w:val="99"/>
    <w:semiHidden/>
    <w:rsid w:val="00465214"/>
    <w:rPr>
      <w:rFonts w:ascii="Segoe UI" w:eastAsia="Times New Roman" w:hAnsi="Segoe UI"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86378">
      <w:bodyDiv w:val="1"/>
      <w:marLeft w:val="0"/>
      <w:marRight w:val="0"/>
      <w:marTop w:val="0"/>
      <w:marBottom w:val="0"/>
      <w:divBdr>
        <w:top w:val="none" w:sz="0" w:space="0" w:color="auto"/>
        <w:left w:val="none" w:sz="0" w:space="0" w:color="auto"/>
        <w:bottom w:val="none" w:sz="0" w:space="0" w:color="auto"/>
        <w:right w:val="none" w:sz="0" w:space="0" w:color="auto"/>
      </w:divBdr>
    </w:div>
    <w:div w:id="853808584">
      <w:bodyDiv w:val="1"/>
      <w:marLeft w:val="0"/>
      <w:marRight w:val="0"/>
      <w:marTop w:val="0"/>
      <w:marBottom w:val="0"/>
      <w:divBdr>
        <w:top w:val="none" w:sz="0" w:space="0" w:color="auto"/>
        <w:left w:val="none" w:sz="0" w:space="0" w:color="auto"/>
        <w:bottom w:val="none" w:sz="0" w:space="0" w:color="auto"/>
        <w:right w:val="none" w:sz="0" w:space="0" w:color="auto"/>
      </w:divBdr>
    </w:div>
    <w:div w:id="1272053941">
      <w:bodyDiv w:val="1"/>
      <w:marLeft w:val="0"/>
      <w:marRight w:val="0"/>
      <w:marTop w:val="0"/>
      <w:marBottom w:val="0"/>
      <w:divBdr>
        <w:top w:val="none" w:sz="0" w:space="0" w:color="auto"/>
        <w:left w:val="none" w:sz="0" w:space="0" w:color="auto"/>
        <w:bottom w:val="none" w:sz="0" w:space="0" w:color="auto"/>
        <w:right w:val="none" w:sz="0" w:space="0" w:color="auto"/>
      </w:divBdr>
    </w:div>
    <w:div w:id="1364207471">
      <w:bodyDiv w:val="1"/>
      <w:marLeft w:val="0"/>
      <w:marRight w:val="0"/>
      <w:marTop w:val="0"/>
      <w:marBottom w:val="0"/>
      <w:divBdr>
        <w:top w:val="none" w:sz="0" w:space="0" w:color="auto"/>
        <w:left w:val="none" w:sz="0" w:space="0" w:color="auto"/>
        <w:bottom w:val="none" w:sz="0" w:space="0" w:color="auto"/>
        <w:right w:val="none" w:sz="0" w:space="0" w:color="auto"/>
      </w:divBdr>
    </w:div>
    <w:div w:id="17898103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ta.strosznajder@henke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nkel.com/pres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2990</Words>
  <Characters>17941</Characters>
  <Application>Microsoft Office Word</Application>
  <DocSecurity>4</DocSecurity>
  <Lines>149</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Bełza</dc:creator>
  <cp:keywords/>
  <dc:description/>
  <cp:lastModifiedBy>Daria Kuznik</cp:lastModifiedBy>
  <cp:revision>2</cp:revision>
  <cp:lastPrinted>2024-08-14T08:58:00Z</cp:lastPrinted>
  <dcterms:created xsi:type="dcterms:W3CDTF">2024-08-14T08:59:00Z</dcterms:created>
  <dcterms:modified xsi:type="dcterms:W3CDTF">2024-08-14T08:59:00Z</dcterms:modified>
</cp:coreProperties>
</file>