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B298" w14:textId="77777777" w:rsidR="00DC2E63" w:rsidRPr="008E501D" w:rsidRDefault="00DC2E6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251A4A63" w14:textId="77777777" w:rsidR="00DC2E63" w:rsidRPr="008E501D" w:rsidRDefault="00211314">
      <w:pPr>
        <w:spacing w:line="200" w:lineRule="atLeast"/>
        <w:ind w:left="8043"/>
        <w:rPr>
          <w:rFonts w:ascii="Times New Roman" w:eastAsia="Times New Roman" w:hAnsi="Times New Roman" w:cs="Times New Roman"/>
          <w:sz w:val="20"/>
          <w:szCs w:val="20"/>
        </w:rPr>
      </w:pPr>
      <w:r w:rsidRPr="008E501D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1F59780B" wp14:editId="465EF777">
            <wp:extent cx="1044033" cy="5989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33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7148" w14:textId="77777777" w:rsidR="00DC2E63" w:rsidRPr="008E501D" w:rsidRDefault="00DC2E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AD5A3" w14:textId="77777777" w:rsidR="00DC2E63" w:rsidRPr="008E501D" w:rsidRDefault="00DC2E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029912" w14:textId="77777777" w:rsidR="00DC2E63" w:rsidRPr="008E501D" w:rsidRDefault="00DC2E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B70CA0" w14:textId="77777777" w:rsidR="00DC2E63" w:rsidRPr="008E501D" w:rsidRDefault="00211314" w:rsidP="008E501D">
      <w:pPr>
        <w:spacing w:before="163"/>
        <w:ind w:right="29"/>
        <w:jc w:val="right"/>
        <w:rPr>
          <w:rFonts w:ascii="Segoe UI" w:eastAsia="Segoe UI" w:hAnsi="Segoe UI" w:cs="Segoe UI"/>
          <w:sz w:val="40"/>
          <w:szCs w:val="40"/>
        </w:rPr>
      </w:pPr>
      <w:proofErr w:type="spellStart"/>
      <w:r w:rsidRPr="008E501D">
        <w:rPr>
          <w:rFonts w:ascii="Segoe UI"/>
          <w:b/>
          <w:color w:val="3D3B3B"/>
          <w:sz w:val="40"/>
        </w:rPr>
        <w:t>Пресреліз</w:t>
      </w:r>
      <w:proofErr w:type="spellEnd"/>
    </w:p>
    <w:p w14:paraId="4D6C1BBC" w14:textId="77777777" w:rsidR="00DC2E63" w:rsidRPr="008E501D" w:rsidRDefault="00211314" w:rsidP="008E501D">
      <w:pPr>
        <w:pStyle w:val="BodyText"/>
        <w:spacing w:before="122"/>
        <w:ind w:left="0" w:right="29"/>
        <w:jc w:val="right"/>
      </w:pPr>
      <w:r w:rsidRPr="008E501D">
        <w:t>3 травня 2024 р.</w:t>
      </w:r>
    </w:p>
    <w:p w14:paraId="4770CB52" w14:textId="77777777" w:rsidR="00DC2E63" w:rsidRPr="008E501D" w:rsidRDefault="00DC2E63" w:rsidP="008E501D">
      <w:pPr>
        <w:ind w:right="29"/>
        <w:rPr>
          <w:rFonts w:ascii="Segoe UI" w:eastAsia="Segoe UI" w:hAnsi="Segoe UI" w:cs="Segoe UI"/>
          <w:sz w:val="20"/>
          <w:szCs w:val="20"/>
        </w:rPr>
      </w:pPr>
    </w:p>
    <w:p w14:paraId="4D34E254" w14:textId="77777777" w:rsidR="00DC2E63" w:rsidRPr="008E501D" w:rsidRDefault="00DC2E63" w:rsidP="008E501D">
      <w:pPr>
        <w:spacing w:before="4"/>
        <w:ind w:right="29"/>
        <w:rPr>
          <w:rFonts w:ascii="Segoe UI" w:eastAsia="Segoe UI" w:hAnsi="Segoe UI" w:cs="Segoe UI"/>
        </w:rPr>
      </w:pPr>
    </w:p>
    <w:p w14:paraId="00DB8CAE" w14:textId="77777777" w:rsidR="00DC2E63" w:rsidRPr="008E501D" w:rsidRDefault="00211314" w:rsidP="008E501D">
      <w:pPr>
        <w:pStyle w:val="BodyText"/>
        <w:spacing w:before="40"/>
        <w:ind w:left="0" w:right="29"/>
        <w:jc w:val="both"/>
      </w:pPr>
      <w:r w:rsidRPr="008E501D">
        <w:t>Дуже хороший початок фінансового року</w:t>
      </w:r>
    </w:p>
    <w:p w14:paraId="01B0B2BA" w14:textId="77777777" w:rsidR="00DC2E63" w:rsidRPr="008E501D" w:rsidRDefault="00DC2E63" w:rsidP="008E501D">
      <w:pPr>
        <w:spacing w:before="4"/>
        <w:ind w:right="29"/>
        <w:rPr>
          <w:rFonts w:ascii="Segoe UI" w:eastAsia="Segoe UI" w:hAnsi="Segoe UI" w:cs="Segoe UI"/>
          <w:sz w:val="30"/>
          <w:szCs w:val="30"/>
        </w:rPr>
      </w:pPr>
    </w:p>
    <w:p w14:paraId="72C52FEF" w14:textId="77777777" w:rsidR="00DC2E63" w:rsidRPr="008E501D" w:rsidRDefault="00211314" w:rsidP="008E501D">
      <w:pPr>
        <w:ind w:right="29"/>
        <w:jc w:val="both"/>
        <w:rPr>
          <w:rFonts w:ascii="Segoe UI" w:eastAsia="Segoe UI" w:hAnsi="Segoe UI" w:cs="Segoe UI"/>
          <w:sz w:val="32"/>
          <w:szCs w:val="32"/>
        </w:rPr>
      </w:pPr>
      <w:r w:rsidRPr="008E501D">
        <w:rPr>
          <w:rFonts w:ascii="Segoe UI"/>
          <w:b/>
          <w:sz w:val="32"/>
        </w:rPr>
        <w:t>«</w:t>
      </w:r>
      <w:proofErr w:type="spellStart"/>
      <w:r w:rsidRPr="008E501D">
        <w:rPr>
          <w:rFonts w:ascii="Segoe UI"/>
          <w:b/>
          <w:sz w:val="32"/>
        </w:rPr>
        <w:t>Хенкель</w:t>
      </w:r>
      <w:proofErr w:type="spellEnd"/>
      <w:r w:rsidRPr="008E501D">
        <w:rPr>
          <w:rFonts w:ascii="Segoe UI"/>
          <w:b/>
          <w:sz w:val="32"/>
        </w:rPr>
        <w:t>»</w:t>
      </w:r>
      <w:r w:rsidRPr="008E501D">
        <w:rPr>
          <w:rFonts w:ascii="Segoe UI"/>
          <w:b/>
          <w:sz w:val="32"/>
        </w:rPr>
        <w:t xml:space="preserve"> </w:t>
      </w:r>
      <w:r w:rsidRPr="008E501D">
        <w:rPr>
          <w:rFonts w:ascii="Segoe UI"/>
          <w:b/>
          <w:sz w:val="32"/>
        </w:rPr>
        <w:t>підвищує</w:t>
      </w:r>
      <w:r w:rsidRPr="008E501D">
        <w:rPr>
          <w:rFonts w:ascii="Segoe UI"/>
          <w:b/>
          <w:sz w:val="32"/>
        </w:rPr>
        <w:t xml:space="preserve"> </w:t>
      </w:r>
      <w:r w:rsidRPr="008E501D">
        <w:rPr>
          <w:rFonts w:ascii="Segoe UI"/>
          <w:b/>
          <w:sz w:val="32"/>
        </w:rPr>
        <w:t>свій</w:t>
      </w:r>
      <w:r w:rsidRPr="008E501D">
        <w:rPr>
          <w:rFonts w:ascii="Segoe UI"/>
          <w:b/>
          <w:sz w:val="32"/>
        </w:rPr>
        <w:t xml:space="preserve"> </w:t>
      </w:r>
      <w:r w:rsidRPr="008E501D">
        <w:rPr>
          <w:rFonts w:ascii="Segoe UI"/>
          <w:b/>
          <w:sz w:val="32"/>
        </w:rPr>
        <w:t>прогноз</w:t>
      </w:r>
      <w:r w:rsidRPr="008E501D">
        <w:rPr>
          <w:rFonts w:ascii="Segoe UI"/>
          <w:b/>
          <w:sz w:val="32"/>
        </w:rPr>
        <w:t xml:space="preserve"> </w:t>
      </w:r>
      <w:r w:rsidRPr="008E501D">
        <w:rPr>
          <w:rFonts w:ascii="Segoe UI"/>
          <w:b/>
          <w:sz w:val="32"/>
        </w:rPr>
        <w:t>продажів</w:t>
      </w:r>
      <w:r w:rsidRPr="008E501D">
        <w:rPr>
          <w:rFonts w:ascii="Segoe UI"/>
          <w:b/>
          <w:sz w:val="32"/>
        </w:rPr>
        <w:t xml:space="preserve"> </w:t>
      </w:r>
      <w:r w:rsidRPr="008E501D">
        <w:rPr>
          <w:rFonts w:ascii="Segoe UI"/>
          <w:b/>
          <w:sz w:val="32"/>
        </w:rPr>
        <w:t>і</w:t>
      </w:r>
      <w:r w:rsidRPr="008E501D">
        <w:rPr>
          <w:rFonts w:ascii="Segoe UI"/>
          <w:b/>
          <w:sz w:val="32"/>
        </w:rPr>
        <w:t xml:space="preserve"> </w:t>
      </w:r>
      <w:r w:rsidRPr="008E501D">
        <w:rPr>
          <w:rFonts w:ascii="Segoe UI"/>
          <w:b/>
          <w:sz w:val="32"/>
        </w:rPr>
        <w:t>прибутку</w:t>
      </w:r>
      <w:r w:rsidRPr="008E501D">
        <w:rPr>
          <w:rFonts w:ascii="Segoe UI"/>
          <w:b/>
          <w:sz w:val="32"/>
        </w:rPr>
        <w:t xml:space="preserve"> </w:t>
      </w:r>
      <w:r w:rsidRPr="008E501D">
        <w:rPr>
          <w:rFonts w:ascii="Segoe UI"/>
          <w:b/>
          <w:sz w:val="32"/>
        </w:rPr>
        <w:t>на</w:t>
      </w:r>
      <w:r w:rsidRPr="008E501D">
        <w:rPr>
          <w:rFonts w:ascii="Segoe UI"/>
          <w:b/>
          <w:sz w:val="32"/>
        </w:rPr>
        <w:t xml:space="preserve"> </w:t>
      </w:r>
      <w:r w:rsidRPr="008E501D">
        <w:rPr>
          <w:rFonts w:cstheme="minorHAnsi"/>
          <w:b/>
          <w:sz w:val="32"/>
        </w:rPr>
        <w:t>2024</w:t>
      </w:r>
      <w:r w:rsidRPr="008E501D">
        <w:rPr>
          <w:rFonts w:ascii="Segoe UI"/>
          <w:b/>
          <w:sz w:val="32"/>
        </w:rPr>
        <w:t xml:space="preserve"> </w:t>
      </w:r>
      <w:r w:rsidRPr="008E501D">
        <w:rPr>
          <w:rFonts w:ascii="Segoe UI"/>
          <w:b/>
          <w:sz w:val="32"/>
        </w:rPr>
        <w:t>рік</w:t>
      </w:r>
    </w:p>
    <w:p w14:paraId="11CCC92A" w14:textId="77777777" w:rsidR="00DC2E63" w:rsidRPr="008E501D" w:rsidRDefault="00DC2E63" w:rsidP="008E501D">
      <w:pPr>
        <w:spacing w:before="1"/>
        <w:ind w:right="29"/>
        <w:rPr>
          <w:rFonts w:ascii="Segoe UI" w:eastAsia="Segoe UI" w:hAnsi="Segoe UI" w:cs="Segoe UI"/>
          <w:b/>
          <w:bCs/>
          <w:sz w:val="30"/>
          <w:szCs w:val="30"/>
        </w:rPr>
      </w:pPr>
    </w:p>
    <w:p w14:paraId="784E199C" w14:textId="2E2A855E" w:rsidR="00DC2E63" w:rsidRPr="008E501D" w:rsidRDefault="00211314" w:rsidP="008E501D">
      <w:pPr>
        <w:pStyle w:val="BodyText"/>
        <w:spacing w:line="276" w:lineRule="auto"/>
        <w:ind w:left="0" w:right="29"/>
        <w:jc w:val="both"/>
      </w:pPr>
      <w:r w:rsidRPr="008E501D">
        <w:t xml:space="preserve">Дюссельдорф </w:t>
      </w:r>
      <w:r w:rsidR="00A97E2C" w:rsidRPr="008E501D">
        <w:t>–</w:t>
      </w:r>
      <w:r w:rsidRPr="008E501D">
        <w:t xml:space="preserve"> Беручи до уваги дуже хороші результати діяльності компанії в поточному році </w:t>
      </w:r>
      <w:r w:rsidR="001A0DE1">
        <w:t xml:space="preserve">й </w:t>
      </w:r>
      <w:r w:rsidRPr="008E501D">
        <w:t xml:space="preserve">очікування на решту року, Правління компанії Henkel AG &amp; </w:t>
      </w:r>
      <w:proofErr w:type="spellStart"/>
      <w:r w:rsidRPr="008E501D">
        <w:t>Co</w:t>
      </w:r>
      <w:proofErr w:type="spellEnd"/>
      <w:r w:rsidRPr="008E501D">
        <w:t xml:space="preserve">. </w:t>
      </w:r>
      <w:proofErr w:type="spellStart"/>
      <w:r w:rsidRPr="008E501D">
        <w:t>KGaA</w:t>
      </w:r>
      <w:proofErr w:type="spellEnd"/>
      <w:r w:rsidRPr="008E501D">
        <w:t xml:space="preserve"> сьогодні ухвалило рішення підвищити свій прогноз на поточний фінансовий рік, який було опубліковано на початку березня.</w:t>
      </w:r>
    </w:p>
    <w:p w14:paraId="67396F34" w14:textId="77777777" w:rsidR="00DC2E63" w:rsidRPr="008E501D" w:rsidRDefault="00DC2E63" w:rsidP="008E501D">
      <w:pPr>
        <w:spacing w:before="3"/>
        <w:ind w:right="29"/>
        <w:rPr>
          <w:rFonts w:ascii="Segoe UI" w:eastAsia="Segoe UI" w:hAnsi="Segoe UI" w:cs="Segoe UI"/>
          <w:sz w:val="25"/>
          <w:szCs w:val="25"/>
        </w:rPr>
      </w:pPr>
    </w:p>
    <w:p w14:paraId="216C0FB5" w14:textId="77777777" w:rsidR="00DC2E63" w:rsidRPr="008E501D" w:rsidRDefault="00211314" w:rsidP="008E501D">
      <w:pPr>
        <w:pStyle w:val="BodyText"/>
        <w:ind w:left="0" w:right="29"/>
        <w:jc w:val="both"/>
      </w:pPr>
      <w:r w:rsidRPr="008E501D">
        <w:t>Було підвищено очікування як щодо продажів, так і щодо прибутків компанії «</w:t>
      </w:r>
      <w:proofErr w:type="spellStart"/>
      <w:r w:rsidRPr="008E501D">
        <w:t>Хенкель</w:t>
      </w:r>
      <w:proofErr w:type="spellEnd"/>
      <w:r w:rsidRPr="008E501D">
        <w:t>»:</w:t>
      </w:r>
    </w:p>
    <w:p w14:paraId="49A36939" w14:textId="77777777" w:rsidR="00DC2E63" w:rsidRPr="008E501D" w:rsidRDefault="00DC2E63" w:rsidP="008E501D">
      <w:pPr>
        <w:spacing w:before="9"/>
        <w:ind w:right="29"/>
        <w:rPr>
          <w:rFonts w:ascii="Segoe UI" w:eastAsia="Segoe UI" w:hAnsi="Segoe UI" w:cs="Segoe UI"/>
          <w:sz w:val="28"/>
          <w:szCs w:val="28"/>
        </w:rPr>
      </w:pPr>
    </w:p>
    <w:p w14:paraId="1D087AB6" w14:textId="77777777" w:rsidR="00DC2E63" w:rsidRPr="008E501D" w:rsidRDefault="00211314" w:rsidP="008E501D">
      <w:pPr>
        <w:numPr>
          <w:ilvl w:val="0"/>
          <w:numId w:val="1"/>
        </w:numPr>
        <w:tabs>
          <w:tab w:val="left" w:pos="832"/>
        </w:tabs>
        <w:ind w:right="29"/>
        <w:rPr>
          <w:rFonts w:ascii="Segoe UI" w:eastAsia="Segoe UI" w:hAnsi="Segoe UI" w:cs="Segoe UI"/>
        </w:rPr>
      </w:pPr>
      <w:r w:rsidRPr="008E501D">
        <w:rPr>
          <w:rFonts w:ascii="Segoe UI"/>
          <w:b/>
        </w:rPr>
        <w:t>Зростання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продажів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в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органічному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вираженні</w:t>
      </w:r>
      <w:r w:rsidRPr="008E501D">
        <w:rPr>
          <w:rFonts w:ascii="Segoe UI"/>
          <w:b/>
        </w:rPr>
        <w:t xml:space="preserve">: </w:t>
      </w:r>
      <w:r w:rsidRPr="008E501D">
        <w:rPr>
          <w:rFonts w:ascii="Segoe UI"/>
        </w:rPr>
        <w:t>від</w:t>
      </w:r>
      <w:r w:rsidRPr="008E501D">
        <w:rPr>
          <w:rFonts w:ascii="Segoe UI"/>
        </w:rPr>
        <w:t xml:space="preserve"> 2,5 </w:t>
      </w:r>
      <w:r w:rsidRPr="008E501D">
        <w:rPr>
          <w:rFonts w:ascii="Segoe UI"/>
        </w:rPr>
        <w:t>до</w:t>
      </w:r>
      <w:r w:rsidRPr="008E501D">
        <w:rPr>
          <w:rFonts w:ascii="Segoe UI"/>
        </w:rPr>
        <w:t xml:space="preserve"> 4,5 </w:t>
      </w:r>
      <w:r w:rsidRPr="008E501D">
        <w:rPr>
          <w:rFonts w:ascii="Segoe UI"/>
        </w:rPr>
        <w:t>відсотка</w:t>
      </w:r>
      <w:r w:rsidRPr="008E501D">
        <w:rPr>
          <w:rFonts w:ascii="Segoe UI"/>
        </w:rPr>
        <w:t xml:space="preserve"> (</w:t>
      </w:r>
      <w:r w:rsidRPr="008E501D">
        <w:rPr>
          <w:rFonts w:ascii="Segoe UI"/>
        </w:rPr>
        <w:t>попередній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прогноз</w:t>
      </w:r>
      <w:r w:rsidRPr="008E501D">
        <w:rPr>
          <w:rFonts w:ascii="Segoe UI"/>
        </w:rPr>
        <w:t xml:space="preserve">: </w:t>
      </w:r>
      <w:r w:rsidRPr="008E501D">
        <w:rPr>
          <w:rFonts w:ascii="Segoe UI"/>
        </w:rPr>
        <w:t>від</w:t>
      </w:r>
      <w:r w:rsidRPr="008E501D">
        <w:rPr>
          <w:rFonts w:ascii="Segoe UI"/>
        </w:rPr>
        <w:t xml:space="preserve"> 2,0 </w:t>
      </w:r>
      <w:r w:rsidRPr="008E501D">
        <w:rPr>
          <w:rFonts w:ascii="Segoe UI"/>
        </w:rPr>
        <w:t>до</w:t>
      </w:r>
      <w:r w:rsidRPr="008E501D">
        <w:rPr>
          <w:rFonts w:ascii="Segoe UI"/>
        </w:rPr>
        <w:t xml:space="preserve"> 4,0 </w:t>
      </w:r>
      <w:r w:rsidRPr="008E501D">
        <w:rPr>
          <w:rFonts w:ascii="Segoe UI"/>
        </w:rPr>
        <w:t>відсотка</w:t>
      </w:r>
      <w:r w:rsidRPr="008E501D">
        <w:rPr>
          <w:rFonts w:ascii="Segoe UI"/>
        </w:rPr>
        <w:t>)</w:t>
      </w:r>
    </w:p>
    <w:p w14:paraId="69586B23" w14:textId="77777777" w:rsidR="00DC2E63" w:rsidRPr="008E501D" w:rsidRDefault="00211314" w:rsidP="008E501D">
      <w:pPr>
        <w:pStyle w:val="BodyText"/>
        <w:numPr>
          <w:ilvl w:val="1"/>
          <w:numId w:val="1"/>
        </w:numPr>
        <w:tabs>
          <w:tab w:val="left" w:pos="1541"/>
        </w:tabs>
        <w:spacing w:before="120"/>
        <w:ind w:right="29"/>
      </w:pPr>
      <w:r w:rsidRPr="008E501D">
        <w:t>«Клейові технології»: від 2,0 до 4,0 відсотка (без змін)</w:t>
      </w:r>
    </w:p>
    <w:p w14:paraId="00130173" w14:textId="77777777" w:rsidR="00DC2E63" w:rsidRPr="008E501D" w:rsidRDefault="00211314" w:rsidP="008E501D">
      <w:pPr>
        <w:pStyle w:val="BodyText"/>
        <w:numPr>
          <w:ilvl w:val="1"/>
          <w:numId w:val="1"/>
        </w:numPr>
        <w:tabs>
          <w:tab w:val="left" w:pos="1541"/>
        </w:tabs>
        <w:spacing w:before="44"/>
        <w:ind w:right="29"/>
      </w:pPr>
      <w:r w:rsidRPr="008E501D">
        <w:t>«Споживчі бренди»: від 3,0 до 5,0 відсотка (попередній прогноз: від 2,0 до 4,0</w:t>
      </w:r>
      <w:r w:rsidR="008E501D">
        <w:t> </w:t>
      </w:r>
      <w:r w:rsidRPr="008E501D">
        <w:t>відсотка)</w:t>
      </w:r>
    </w:p>
    <w:p w14:paraId="742B432F" w14:textId="77777777" w:rsidR="00DC2E63" w:rsidRPr="008E501D" w:rsidRDefault="00211314" w:rsidP="008E501D">
      <w:pPr>
        <w:numPr>
          <w:ilvl w:val="0"/>
          <w:numId w:val="1"/>
        </w:numPr>
        <w:tabs>
          <w:tab w:val="left" w:pos="832"/>
        </w:tabs>
        <w:spacing w:before="163"/>
        <w:ind w:right="29"/>
        <w:rPr>
          <w:rFonts w:ascii="Segoe UI" w:eastAsia="Segoe UI" w:hAnsi="Segoe UI" w:cs="Segoe UI"/>
        </w:rPr>
      </w:pPr>
      <w:r w:rsidRPr="008E501D">
        <w:rPr>
          <w:rFonts w:ascii="Segoe UI"/>
          <w:b/>
        </w:rPr>
        <w:t>Скоригована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рентабельність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продажів</w:t>
      </w:r>
      <w:r w:rsidRPr="008E501D">
        <w:rPr>
          <w:rFonts w:ascii="Segoe UI"/>
          <w:b/>
        </w:rPr>
        <w:t xml:space="preserve">: </w:t>
      </w:r>
      <w:r w:rsidRPr="008E501D">
        <w:rPr>
          <w:rFonts w:ascii="Segoe UI"/>
        </w:rPr>
        <w:t>від</w:t>
      </w:r>
      <w:r w:rsidRPr="008E501D">
        <w:rPr>
          <w:rFonts w:ascii="Segoe UI"/>
        </w:rPr>
        <w:t xml:space="preserve"> 13,0 </w:t>
      </w:r>
      <w:r w:rsidRPr="008E501D">
        <w:rPr>
          <w:rFonts w:ascii="Segoe UI"/>
        </w:rPr>
        <w:t>до</w:t>
      </w:r>
      <w:r w:rsidRPr="008E501D">
        <w:rPr>
          <w:rFonts w:ascii="Segoe UI"/>
        </w:rPr>
        <w:t xml:space="preserve"> 14,0 </w:t>
      </w:r>
      <w:r w:rsidRPr="008E501D">
        <w:rPr>
          <w:rFonts w:ascii="Segoe UI"/>
        </w:rPr>
        <w:t>відсотка</w:t>
      </w:r>
      <w:r w:rsidRPr="008E501D">
        <w:rPr>
          <w:rFonts w:ascii="Segoe UI"/>
        </w:rPr>
        <w:t xml:space="preserve"> (</w:t>
      </w:r>
      <w:r w:rsidRPr="008E501D">
        <w:rPr>
          <w:rFonts w:ascii="Segoe UI"/>
        </w:rPr>
        <w:t>попередній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прогноз</w:t>
      </w:r>
      <w:r w:rsidRPr="008E501D">
        <w:rPr>
          <w:rFonts w:ascii="Segoe UI"/>
        </w:rPr>
        <w:t xml:space="preserve">: </w:t>
      </w:r>
      <w:r w:rsidRPr="008E501D">
        <w:rPr>
          <w:rFonts w:ascii="Segoe UI"/>
        </w:rPr>
        <w:t>від</w:t>
      </w:r>
      <w:r w:rsidRPr="008E501D">
        <w:rPr>
          <w:rFonts w:ascii="Segoe UI"/>
        </w:rPr>
        <w:t xml:space="preserve"> 12,0 </w:t>
      </w:r>
      <w:r w:rsidRPr="008E501D">
        <w:rPr>
          <w:rFonts w:ascii="Segoe UI"/>
        </w:rPr>
        <w:t>до</w:t>
      </w:r>
      <w:r w:rsidRPr="008E501D">
        <w:rPr>
          <w:rFonts w:ascii="Segoe UI"/>
        </w:rPr>
        <w:t xml:space="preserve"> 13,5 </w:t>
      </w:r>
      <w:r w:rsidRPr="008E501D">
        <w:rPr>
          <w:rFonts w:ascii="Segoe UI"/>
        </w:rPr>
        <w:t>відсотка</w:t>
      </w:r>
      <w:r w:rsidRPr="008E501D">
        <w:rPr>
          <w:rFonts w:ascii="Segoe UI"/>
        </w:rPr>
        <w:t>)</w:t>
      </w:r>
    </w:p>
    <w:p w14:paraId="3ABD5AF0" w14:textId="77777777" w:rsidR="00DC2E63" w:rsidRPr="008E501D" w:rsidRDefault="00211314" w:rsidP="008E501D">
      <w:pPr>
        <w:pStyle w:val="BodyText"/>
        <w:numPr>
          <w:ilvl w:val="1"/>
          <w:numId w:val="1"/>
        </w:numPr>
        <w:tabs>
          <w:tab w:val="left" w:pos="1541"/>
        </w:tabs>
        <w:spacing w:before="120"/>
        <w:ind w:right="29"/>
      </w:pPr>
      <w:r w:rsidRPr="008E501D">
        <w:t>«Клейові технології»: від 16,0 до 17,0 відсотка (попередній прогноз: від 15,0 до 16,5 відсотка)</w:t>
      </w:r>
    </w:p>
    <w:p w14:paraId="0D5669DB" w14:textId="77777777" w:rsidR="00DC2E63" w:rsidRPr="008E501D" w:rsidRDefault="00211314" w:rsidP="008E501D">
      <w:pPr>
        <w:pStyle w:val="BodyText"/>
        <w:numPr>
          <w:ilvl w:val="1"/>
          <w:numId w:val="1"/>
        </w:numPr>
        <w:tabs>
          <w:tab w:val="left" w:pos="1541"/>
        </w:tabs>
        <w:spacing w:before="43"/>
        <w:ind w:right="29"/>
      </w:pPr>
      <w:r w:rsidRPr="008E501D">
        <w:t>«Споживчі бренди»: від 12,0 до 13,0 відсотка (попередній прогноз: від 11,0 до 12,5 відсотка)</w:t>
      </w:r>
    </w:p>
    <w:p w14:paraId="4727A0AB" w14:textId="77777777" w:rsidR="00DC2E63" w:rsidRPr="008E501D" w:rsidRDefault="00211314" w:rsidP="008E501D">
      <w:pPr>
        <w:numPr>
          <w:ilvl w:val="0"/>
          <w:numId w:val="1"/>
        </w:numPr>
        <w:tabs>
          <w:tab w:val="left" w:pos="832"/>
        </w:tabs>
        <w:spacing w:before="164"/>
        <w:ind w:right="29"/>
        <w:rPr>
          <w:rFonts w:ascii="Segoe UI" w:eastAsia="Segoe UI" w:hAnsi="Segoe UI" w:cs="Segoe UI"/>
        </w:rPr>
      </w:pPr>
      <w:r w:rsidRPr="008E501D">
        <w:rPr>
          <w:rFonts w:ascii="Segoe UI"/>
          <w:b/>
        </w:rPr>
        <w:t>Скоригований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прибуток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на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привілейовану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акцію</w:t>
      </w:r>
      <w:r w:rsidRPr="008E501D">
        <w:rPr>
          <w:rFonts w:ascii="Segoe UI"/>
          <w:b/>
        </w:rPr>
        <w:t xml:space="preserve"> (EPS): </w:t>
      </w:r>
      <w:r w:rsidRPr="008E501D">
        <w:rPr>
          <w:rFonts w:ascii="Segoe UI"/>
        </w:rPr>
        <w:t>зростання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в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діапазоні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від</w:t>
      </w:r>
      <w:r w:rsidRPr="008E501D">
        <w:rPr>
          <w:rFonts w:ascii="Segoe UI"/>
        </w:rPr>
        <w:t xml:space="preserve"> +15,0 </w:t>
      </w:r>
      <w:r w:rsidRPr="008E501D">
        <w:rPr>
          <w:rFonts w:ascii="Segoe UI"/>
        </w:rPr>
        <w:t>до</w:t>
      </w:r>
      <w:r w:rsidRPr="008E501D">
        <w:rPr>
          <w:rFonts w:ascii="Segoe UI"/>
        </w:rPr>
        <w:t xml:space="preserve"> +25,0 </w:t>
      </w:r>
      <w:r w:rsidRPr="008E501D">
        <w:rPr>
          <w:rFonts w:ascii="Segoe UI"/>
        </w:rPr>
        <w:t>відсотків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при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постійному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обмінному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курсі</w:t>
      </w:r>
      <w:r w:rsidRPr="008E501D">
        <w:rPr>
          <w:rFonts w:ascii="Segoe UI"/>
        </w:rPr>
        <w:t xml:space="preserve"> (</w:t>
      </w:r>
      <w:r w:rsidRPr="008E501D">
        <w:rPr>
          <w:rFonts w:ascii="Segoe UI"/>
        </w:rPr>
        <w:t>попередній</w:t>
      </w:r>
      <w:r w:rsidRPr="008E501D">
        <w:rPr>
          <w:rFonts w:ascii="Segoe UI"/>
        </w:rPr>
        <w:t xml:space="preserve"> </w:t>
      </w:r>
      <w:r w:rsidRPr="008E501D">
        <w:rPr>
          <w:rFonts w:ascii="Segoe UI"/>
        </w:rPr>
        <w:t>прогноз</w:t>
      </w:r>
      <w:r w:rsidRPr="008E501D">
        <w:rPr>
          <w:rFonts w:ascii="Segoe UI"/>
        </w:rPr>
        <w:t xml:space="preserve">: </w:t>
      </w:r>
      <w:r w:rsidRPr="008E501D">
        <w:rPr>
          <w:rFonts w:ascii="Segoe UI"/>
        </w:rPr>
        <w:t>від</w:t>
      </w:r>
      <w:r w:rsidRPr="008E501D">
        <w:rPr>
          <w:rFonts w:ascii="Segoe UI"/>
        </w:rPr>
        <w:t xml:space="preserve"> +5,0 </w:t>
      </w:r>
      <w:r w:rsidRPr="008E501D">
        <w:rPr>
          <w:rFonts w:ascii="Segoe UI"/>
        </w:rPr>
        <w:t>до</w:t>
      </w:r>
      <w:r w:rsidRPr="008E501D">
        <w:rPr>
          <w:rFonts w:ascii="Segoe UI"/>
        </w:rPr>
        <w:t xml:space="preserve"> +20,0 </w:t>
      </w:r>
      <w:r w:rsidRPr="008E501D">
        <w:rPr>
          <w:rFonts w:ascii="Segoe UI"/>
        </w:rPr>
        <w:t>відсотків</w:t>
      </w:r>
      <w:r w:rsidRPr="008E501D">
        <w:rPr>
          <w:rFonts w:ascii="Segoe UI"/>
        </w:rPr>
        <w:t>)</w:t>
      </w:r>
    </w:p>
    <w:p w14:paraId="564B9D1B" w14:textId="77777777" w:rsidR="00DC2E63" w:rsidRPr="008E501D" w:rsidRDefault="00DC2E63" w:rsidP="008E501D">
      <w:pPr>
        <w:pStyle w:val="BodyText"/>
        <w:ind w:left="831" w:right="29"/>
      </w:pPr>
    </w:p>
    <w:p w14:paraId="2DD6FE9C" w14:textId="77777777" w:rsidR="00DC2E63" w:rsidRPr="008E501D" w:rsidRDefault="00DC2E63" w:rsidP="008E501D">
      <w:pPr>
        <w:spacing w:before="13"/>
        <w:ind w:right="29"/>
        <w:rPr>
          <w:rFonts w:ascii="Segoe UI" w:eastAsia="Segoe UI" w:hAnsi="Segoe UI" w:cs="Segoe UI"/>
          <w:sz w:val="30"/>
          <w:szCs w:val="30"/>
        </w:rPr>
      </w:pPr>
    </w:p>
    <w:p w14:paraId="2BF26C6F" w14:textId="1482DDBC" w:rsidR="00DC2E63" w:rsidRPr="008E501D" w:rsidRDefault="00211314" w:rsidP="008E501D">
      <w:pPr>
        <w:pStyle w:val="BodyText"/>
        <w:spacing w:line="276" w:lineRule="auto"/>
        <w:ind w:left="0" w:right="29"/>
        <w:jc w:val="both"/>
      </w:pPr>
      <w:r w:rsidRPr="008E501D">
        <w:t>«</w:t>
      </w:r>
      <w:r w:rsidR="00DF09C0">
        <w:t xml:space="preserve">Вельми </w:t>
      </w:r>
      <w:r w:rsidRPr="008E501D">
        <w:t xml:space="preserve">вдалий початок року </w:t>
      </w:r>
      <w:r w:rsidR="001A0DE1">
        <w:t xml:space="preserve">та </w:t>
      </w:r>
      <w:r w:rsidRPr="008E501D">
        <w:t>сьогоднішнє підвищення річного прог</w:t>
      </w:r>
      <w:r w:rsidRPr="00CA4D24">
        <w:t>нозу дуже чіт</w:t>
      </w:r>
      <w:r w:rsidRPr="008E501D">
        <w:t xml:space="preserve">ко демонструють, що з нашою програмою зростання ми перебуваємо на правильному шляху. Ми завжди наголошували на тому, що прагнемо досягати результату. І це саме те, що ми робимо. Зміни, розпочаті в обох бізнес-підрозділах, демонструють </w:t>
      </w:r>
      <w:r w:rsidR="00661134">
        <w:t xml:space="preserve">гарні </w:t>
      </w:r>
      <w:r w:rsidRPr="008E501D">
        <w:t xml:space="preserve">результати», – зазначив </w:t>
      </w:r>
      <w:proofErr w:type="spellStart"/>
      <w:r w:rsidRPr="008E501D">
        <w:t>Карстен</w:t>
      </w:r>
      <w:proofErr w:type="spellEnd"/>
      <w:r w:rsidRPr="008E501D">
        <w:t xml:space="preserve"> </w:t>
      </w:r>
      <w:proofErr w:type="spellStart"/>
      <w:r w:rsidRPr="008E501D">
        <w:t>Кнобель</w:t>
      </w:r>
      <w:proofErr w:type="spellEnd"/>
      <w:r w:rsidRPr="008E501D">
        <w:t xml:space="preserve">, </w:t>
      </w:r>
      <w:r w:rsidR="00FC026D" w:rsidRPr="00304AA0">
        <w:rPr>
          <w:rFonts w:cs="Segoe UI"/>
        </w:rPr>
        <w:t xml:space="preserve">(Carsten  </w:t>
      </w:r>
      <w:proofErr w:type="spellStart"/>
      <w:r w:rsidR="00FC026D" w:rsidRPr="00304AA0">
        <w:rPr>
          <w:rFonts w:cs="Segoe UI"/>
        </w:rPr>
        <w:t>Knobel</w:t>
      </w:r>
      <w:proofErr w:type="spellEnd"/>
      <w:r w:rsidR="00FC026D" w:rsidRPr="00304AA0">
        <w:rPr>
          <w:rFonts w:cs="Segoe UI"/>
        </w:rPr>
        <w:t>)</w:t>
      </w:r>
      <w:r w:rsidR="00FC026D" w:rsidRPr="00D62F23">
        <w:rPr>
          <w:rFonts w:cs="Segoe UI"/>
        </w:rPr>
        <w:t xml:space="preserve"> </w:t>
      </w:r>
      <w:r w:rsidR="00FC026D" w:rsidRPr="00304AA0">
        <w:rPr>
          <w:rFonts w:cs="Segoe UI"/>
        </w:rPr>
        <w:t>голова правління Ради директорів компанії «</w:t>
      </w:r>
      <w:proofErr w:type="spellStart"/>
      <w:r w:rsidR="00FC026D" w:rsidRPr="00304AA0">
        <w:rPr>
          <w:rFonts w:cs="Segoe UI"/>
        </w:rPr>
        <w:t>Хенкель</w:t>
      </w:r>
      <w:proofErr w:type="spellEnd"/>
      <w:r w:rsidR="00FC026D" w:rsidRPr="00304AA0">
        <w:rPr>
          <w:rFonts w:cs="Segoe UI"/>
        </w:rPr>
        <w:t>»</w:t>
      </w:r>
    </w:p>
    <w:p w14:paraId="0E3695ED" w14:textId="77777777" w:rsidR="00DC2E63" w:rsidRPr="008E501D" w:rsidRDefault="00DC2E63" w:rsidP="008E501D">
      <w:pPr>
        <w:spacing w:before="3"/>
        <w:ind w:right="29"/>
        <w:rPr>
          <w:rFonts w:ascii="Segoe UI" w:eastAsia="Segoe UI" w:hAnsi="Segoe UI" w:cs="Segoe UI"/>
          <w:sz w:val="25"/>
          <w:szCs w:val="25"/>
        </w:rPr>
      </w:pPr>
    </w:p>
    <w:p w14:paraId="5F225008" w14:textId="77777777" w:rsidR="00DC2E63" w:rsidRPr="008E501D" w:rsidRDefault="00640C19" w:rsidP="008E501D">
      <w:pPr>
        <w:pStyle w:val="BodyText"/>
        <w:spacing w:line="276" w:lineRule="auto"/>
        <w:ind w:left="0" w:right="29"/>
        <w:jc w:val="both"/>
      </w:pPr>
      <w:r w:rsidRPr="008E501D">
        <w:rPr>
          <w:noProof/>
          <w:lang w:val="ru-RU"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44487648" wp14:editId="2AEE9122">
            <wp:simplePos x="0" y="0"/>
            <wp:positionH relativeFrom="page">
              <wp:posOffset>936625</wp:posOffset>
            </wp:positionH>
            <wp:positionV relativeFrom="paragraph">
              <wp:posOffset>1129030</wp:posOffset>
            </wp:positionV>
            <wp:extent cx="5419725" cy="547370"/>
            <wp:effectExtent l="0" t="0" r="0" b="0"/>
            <wp:wrapNone/>
            <wp:docPr id="5" name="38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1314" w:rsidRPr="008E501D">
        <w:t>Підвищені очікування на 2024 рік мають підтримку з боку обох бізнес-підрозділів. У бізнес-підрозділі «Клейові технології» позитивний вплив на показники прибутку має загальне зміцнення бізнесу та зростання валової рентабельності в умовах постійних викликів на ринку, а також відновлення попиту в бізнес-напрямі «Електроніка».</w:t>
      </w:r>
    </w:p>
    <w:p w14:paraId="42651FD1" w14:textId="77777777" w:rsidR="00DC2E63" w:rsidRPr="008E501D" w:rsidRDefault="00DC2E63" w:rsidP="008E501D">
      <w:pPr>
        <w:spacing w:line="276" w:lineRule="auto"/>
        <w:ind w:right="29"/>
        <w:jc w:val="both"/>
        <w:sectPr w:rsidR="00DC2E63" w:rsidRPr="008E501D" w:rsidSect="002357FB">
          <w:footerReference w:type="default" r:id="rId10"/>
          <w:type w:val="continuous"/>
          <w:pgSz w:w="11910" w:h="16840" w:code="9"/>
          <w:pgMar w:top="851" w:right="851" w:bottom="1134" w:left="1418" w:header="720" w:footer="873" w:gutter="0"/>
          <w:cols w:space="720"/>
        </w:sectPr>
      </w:pPr>
    </w:p>
    <w:p w14:paraId="3C8277C2" w14:textId="77777777" w:rsidR="00DC2E63" w:rsidRPr="008E501D" w:rsidRDefault="00DC2E63" w:rsidP="008E501D">
      <w:pPr>
        <w:spacing w:before="11"/>
        <w:rPr>
          <w:rFonts w:ascii="Segoe UI" w:eastAsia="Segoe UI" w:hAnsi="Segoe UI" w:cs="Segoe UI"/>
        </w:rPr>
      </w:pPr>
    </w:p>
    <w:p w14:paraId="7439175A" w14:textId="222C7D4D" w:rsidR="00DC2E63" w:rsidRPr="008E501D" w:rsidRDefault="00211314" w:rsidP="008E501D">
      <w:pPr>
        <w:pStyle w:val="BodyText"/>
        <w:spacing w:before="40" w:line="276" w:lineRule="auto"/>
        <w:ind w:left="0"/>
        <w:jc w:val="both"/>
      </w:pPr>
      <w:r w:rsidRPr="008E501D">
        <w:t xml:space="preserve">У бізнес-підрозділі «Споживчі бренди» на продажі, валову рентабельність </w:t>
      </w:r>
      <w:r w:rsidR="00661134">
        <w:t xml:space="preserve">і </w:t>
      </w:r>
      <w:r w:rsidRPr="008E501D">
        <w:t>прибутки позитивно впливає реалізація стратегічних заходів та ініціатив. Цей розвиток підтримується дуже високими показниками в бізнес-напрямі «Засоби для волосся», постійним впровадженням портфельних заходів та активним розвитком основних брендів та інновацій. Водночас «</w:t>
      </w:r>
      <w:proofErr w:type="spellStart"/>
      <w:r w:rsidRPr="008E501D">
        <w:t>Хенкель</w:t>
      </w:r>
      <w:proofErr w:type="spellEnd"/>
      <w:r w:rsidRPr="008E501D">
        <w:t>» продовжує інвестувати в інновації та, зокрема, в маркетинг на високому рівні, щоб стимулювати подальше зростання.</w:t>
      </w:r>
    </w:p>
    <w:p w14:paraId="4D41DBA5" w14:textId="77777777" w:rsidR="00DC2E63" w:rsidRPr="008E501D" w:rsidRDefault="00DC2E63" w:rsidP="008E501D">
      <w:pPr>
        <w:spacing w:before="4"/>
        <w:rPr>
          <w:rFonts w:ascii="Segoe UI" w:eastAsia="Segoe UI" w:hAnsi="Segoe UI" w:cs="Segoe UI"/>
          <w:sz w:val="25"/>
          <w:szCs w:val="25"/>
        </w:rPr>
      </w:pPr>
    </w:p>
    <w:p w14:paraId="72941DD5" w14:textId="529AB0DB" w:rsidR="00DC2E63" w:rsidRPr="008E501D" w:rsidRDefault="00211314" w:rsidP="008E501D">
      <w:pPr>
        <w:pStyle w:val="BodyText"/>
        <w:spacing w:line="276" w:lineRule="auto"/>
        <w:ind w:left="0"/>
        <w:jc w:val="both"/>
      </w:pPr>
      <w:r w:rsidRPr="008E501D">
        <w:t>Компанія «</w:t>
      </w:r>
      <w:proofErr w:type="spellStart"/>
      <w:r w:rsidRPr="008E501D">
        <w:t>Хенкель</w:t>
      </w:r>
      <w:proofErr w:type="spellEnd"/>
      <w:r w:rsidRPr="008E501D">
        <w:t>» також оновила свої очікування щодо впливу придбань/</w:t>
      </w:r>
      <w:proofErr w:type="spellStart"/>
      <w:r w:rsidRPr="008E501D">
        <w:t>відчужень</w:t>
      </w:r>
      <w:proofErr w:type="spellEnd"/>
      <w:r w:rsidRPr="008E501D">
        <w:t xml:space="preserve"> активів, а також курсів валют на продажі. Останні угоди про придбання </w:t>
      </w:r>
      <w:proofErr w:type="spellStart"/>
      <w:r w:rsidRPr="008E501D">
        <w:t>Seal</w:t>
      </w:r>
      <w:proofErr w:type="spellEnd"/>
      <w:r w:rsidRPr="008E501D">
        <w:t xml:space="preserve"> </w:t>
      </w:r>
      <w:proofErr w:type="spellStart"/>
      <w:r w:rsidRPr="008E501D">
        <w:t>for</w:t>
      </w:r>
      <w:proofErr w:type="spellEnd"/>
      <w:r w:rsidRPr="008E501D">
        <w:t xml:space="preserve"> </w:t>
      </w:r>
      <w:proofErr w:type="spellStart"/>
      <w:r w:rsidRPr="008E501D">
        <w:t>Life</w:t>
      </w:r>
      <w:proofErr w:type="spellEnd"/>
      <w:r w:rsidRPr="008E501D">
        <w:t xml:space="preserve"> </w:t>
      </w:r>
      <w:proofErr w:type="spellStart"/>
      <w:r w:rsidRPr="008E501D">
        <w:t>Industries</w:t>
      </w:r>
      <w:proofErr w:type="spellEnd"/>
      <w:r w:rsidRPr="008E501D">
        <w:t xml:space="preserve"> </w:t>
      </w:r>
      <w:r w:rsidR="00DF09C0">
        <w:t xml:space="preserve">і </w:t>
      </w:r>
      <w:proofErr w:type="spellStart"/>
      <w:r w:rsidRPr="008E501D">
        <w:t>Vidal</w:t>
      </w:r>
      <w:proofErr w:type="spellEnd"/>
      <w:r w:rsidRPr="008E501D">
        <w:t xml:space="preserve"> </w:t>
      </w:r>
      <w:proofErr w:type="spellStart"/>
      <w:r w:rsidRPr="008E501D">
        <w:t>Sassoon</w:t>
      </w:r>
      <w:proofErr w:type="spellEnd"/>
      <w:r w:rsidRPr="008E501D">
        <w:t xml:space="preserve"> </w:t>
      </w:r>
      <w:r w:rsidR="00DF09C0">
        <w:t xml:space="preserve">у </w:t>
      </w:r>
      <w:r w:rsidRPr="008E501D">
        <w:t xml:space="preserve">Китаї були закриті швидше, ніж очікувалося, що сприяло більш ранньому зростанню продажів </w:t>
      </w:r>
      <w:r w:rsidR="00DF09C0">
        <w:t xml:space="preserve">і </w:t>
      </w:r>
      <w:r w:rsidRPr="008E501D">
        <w:t>прибутків.</w:t>
      </w:r>
    </w:p>
    <w:p w14:paraId="37496CDD" w14:textId="77777777" w:rsidR="00DC2E63" w:rsidRPr="008E501D" w:rsidRDefault="00DC2E63" w:rsidP="008E501D">
      <w:pPr>
        <w:spacing w:before="4"/>
        <w:rPr>
          <w:rFonts w:ascii="Segoe UI" w:eastAsia="Segoe UI" w:hAnsi="Segoe UI" w:cs="Segoe UI"/>
          <w:sz w:val="25"/>
          <w:szCs w:val="25"/>
        </w:rPr>
      </w:pPr>
    </w:p>
    <w:p w14:paraId="16E23720" w14:textId="77777777" w:rsidR="00DC2E63" w:rsidRPr="008E501D" w:rsidRDefault="00211314" w:rsidP="008E501D">
      <w:pPr>
        <w:pStyle w:val="BodyText"/>
        <w:numPr>
          <w:ilvl w:val="0"/>
          <w:numId w:val="1"/>
        </w:numPr>
        <w:tabs>
          <w:tab w:val="left" w:pos="832"/>
        </w:tabs>
        <w:spacing w:line="276" w:lineRule="auto"/>
        <w:ind w:hanging="360"/>
      </w:pPr>
      <w:r w:rsidRPr="008E501D">
        <w:t>Придбання/продаж активів: нейтральний вплив на номінальне зростання продажів (попередній прогноз: негативний вплив у низькому однозначному відсотковому діапазоні)</w:t>
      </w:r>
      <w:r w:rsidR="00661134">
        <w:t>.</w:t>
      </w:r>
    </w:p>
    <w:p w14:paraId="7F697C1F" w14:textId="77777777" w:rsidR="00DC2E63" w:rsidRPr="008E501D" w:rsidRDefault="00211314" w:rsidP="008E501D">
      <w:pPr>
        <w:pStyle w:val="BodyText"/>
        <w:numPr>
          <w:ilvl w:val="0"/>
          <w:numId w:val="1"/>
        </w:numPr>
        <w:tabs>
          <w:tab w:val="left" w:pos="832"/>
        </w:tabs>
        <w:spacing w:before="119" w:line="275" w:lineRule="auto"/>
        <w:ind w:hanging="360"/>
      </w:pPr>
      <w:r w:rsidRPr="008E501D">
        <w:t>Перерахунок продажів в іноземній валюті: негативний вплив у відсотковому діапазоні від низьких до середніх однозначних значень</w:t>
      </w:r>
    </w:p>
    <w:p w14:paraId="0CCBA5A1" w14:textId="77777777" w:rsidR="00DC2E63" w:rsidRPr="008E501D" w:rsidRDefault="00DF09C0" w:rsidP="008E501D">
      <w:pPr>
        <w:pStyle w:val="BodyText"/>
        <w:spacing w:before="1"/>
        <w:ind w:firstLine="720"/>
      </w:pPr>
      <w:r>
        <w:t>(</w:t>
      </w:r>
      <w:r w:rsidR="00211314" w:rsidRPr="008E501D">
        <w:t>попередній прогноз: негативний вплив у середньому однозначному відсотковому діапазоні)</w:t>
      </w:r>
      <w:r w:rsidR="00661134">
        <w:t>.</w:t>
      </w:r>
    </w:p>
    <w:p w14:paraId="7B9DC868" w14:textId="77777777" w:rsidR="00DC2E63" w:rsidRPr="008E501D" w:rsidRDefault="00DC2E63" w:rsidP="008E501D">
      <w:pPr>
        <w:rPr>
          <w:rFonts w:ascii="Segoe UI" w:eastAsia="Segoe UI" w:hAnsi="Segoe UI" w:cs="Segoe UI"/>
          <w:sz w:val="24"/>
          <w:szCs w:val="24"/>
        </w:rPr>
      </w:pPr>
    </w:p>
    <w:p w14:paraId="6F1E4373" w14:textId="77777777" w:rsidR="00DC2E63" w:rsidRPr="008E501D" w:rsidRDefault="00211314" w:rsidP="008E501D">
      <w:pPr>
        <w:pStyle w:val="BodyText"/>
        <w:ind w:left="0"/>
        <w:jc w:val="both"/>
      </w:pPr>
      <w:r w:rsidRPr="008E501D">
        <w:t>Незмінними на 2024 рік залишаються такі очікування:</w:t>
      </w:r>
    </w:p>
    <w:p w14:paraId="770E94C6" w14:textId="77777777" w:rsidR="00DC2E63" w:rsidRPr="008E501D" w:rsidRDefault="00DC2E63" w:rsidP="008E501D">
      <w:pPr>
        <w:spacing w:before="3"/>
        <w:rPr>
          <w:rFonts w:ascii="Segoe UI" w:eastAsia="Segoe UI" w:hAnsi="Segoe UI" w:cs="Segoe UI"/>
          <w:sz w:val="28"/>
          <w:szCs w:val="28"/>
        </w:rPr>
      </w:pPr>
    </w:p>
    <w:p w14:paraId="056E75D5" w14:textId="77777777" w:rsidR="00DC2E63" w:rsidRPr="008E501D" w:rsidRDefault="00211314" w:rsidP="008E501D">
      <w:pPr>
        <w:pStyle w:val="BodyText"/>
        <w:numPr>
          <w:ilvl w:val="0"/>
          <w:numId w:val="1"/>
        </w:numPr>
        <w:tabs>
          <w:tab w:val="left" w:pos="832"/>
        </w:tabs>
        <w:ind w:hanging="360"/>
        <w:rPr>
          <w:sz w:val="14"/>
          <w:szCs w:val="14"/>
        </w:rPr>
      </w:pPr>
      <w:r w:rsidRPr="008E501D">
        <w:t>Ціни на прямі матеріали: рівномірна динаміка</w:t>
      </w:r>
      <w:r w:rsidRPr="006B2B91">
        <w:rPr>
          <w:sz w:val="14"/>
          <w:vertAlign w:val="superscript"/>
        </w:rPr>
        <w:t>1</w:t>
      </w:r>
      <w:r w:rsidR="006B2B91" w:rsidRPr="006B2B91">
        <w:rPr>
          <w:sz w:val="14"/>
        </w:rPr>
        <w:t>.</w:t>
      </w:r>
    </w:p>
    <w:p w14:paraId="79AB1044" w14:textId="77777777" w:rsidR="00DC2E63" w:rsidRPr="008E501D" w:rsidRDefault="00211314" w:rsidP="008E501D">
      <w:pPr>
        <w:pStyle w:val="BodyText"/>
        <w:numPr>
          <w:ilvl w:val="0"/>
          <w:numId w:val="1"/>
        </w:numPr>
        <w:tabs>
          <w:tab w:val="left" w:pos="832"/>
        </w:tabs>
        <w:spacing w:before="164"/>
        <w:ind w:hanging="360"/>
      </w:pPr>
      <w:r w:rsidRPr="008E501D">
        <w:t xml:space="preserve">Витрати на реструктуризацію </w:t>
      </w:r>
      <w:r w:rsidR="006B2B91">
        <w:t xml:space="preserve">– </w:t>
      </w:r>
      <w:r w:rsidRPr="008E501D">
        <w:t>від 250 до 300 млн євро</w:t>
      </w:r>
      <w:r w:rsidR="006B2B91">
        <w:t>.</w:t>
      </w:r>
    </w:p>
    <w:p w14:paraId="329C0122" w14:textId="220EEE78" w:rsidR="00DC2E63" w:rsidRPr="008E501D" w:rsidRDefault="00211314" w:rsidP="008E501D">
      <w:pPr>
        <w:pStyle w:val="BodyText"/>
        <w:numPr>
          <w:ilvl w:val="0"/>
          <w:numId w:val="1"/>
        </w:numPr>
        <w:tabs>
          <w:tab w:val="left" w:pos="832"/>
        </w:tabs>
        <w:spacing w:before="163" w:line="276" w:lineRule="auto"/>
        <w:ind w:hanging="360"/>
      </w:pPr>
      <w:r w:rsidRPr="008E501D">
        <w:t>Відтік коштів за інвестиціями в основні фонди та нематеріальні активи розмір</w:t>
      </w:r>
      <w:r w:rsidR="006B2B91">
        <w:t xml:space="preserve">ом </w:t>
      </w:r>
      <w:r w:rsidRPr="008E501D">
        <w:t>від 650 до 750 мільйонів євро.</w:t>
      </w:r>
    </w:p>
    <w:p w14:paraId="25E435B8" w14:textId="77777777" w:rsidR="00DC2E63" w:rsidRPr="008E501D" w:rsidRDefault="00211314" w:rsidP="008E501D">
      <w:pPr>
        <w:spacing w:before="119"/>
        <w:ind w:left="471"/>
        <w:rPr>
          <w:rFonts w:ascii="Segoe UI" w:eastAsia="Segoe UI" w:hAnsi="Segoe UI" w:cs="Segoe UI"/>
          <w:sz w:val="16"/>
          <w:szCs w:val="16"/>
        </w:rPr>
      </w:pPr>
      <w:r w:rsidRPr="006B2B91">
        <w:rPr>
          <w:rFonts w:ascii="Segoe UI"/>
          <w:sz w:val="10"/>
          <w:vertAlign w:val="superscript"/>
        </w:rPr>
        <w:t xml:space="preserve">1 </w:t>
      </w:r>
      <w:r w:rsidRPr="008E501D">
        <w:rPr>
          <w:rFonts w:ascii="Segoe UI"/>
          <w:sz w:val="16"/>
        </w:rPr>
        <w:t>Порівняно</w:t>
      </w:r>
      <w:r w:rsidRPr="008E501D">
        <w:rPr>
          <w:rFonts w:ascii="Segoe UI"/>
          <w:sz w:val="16"/>
        </w:rPr>
        <w:t xml:space="preserve"> </w:t>
      </w:r>
      <w:r w:rsidRPr="008E501D">
        <w:rPr>
          <w:rFonts w:ascii="Segoe UI"/>
          <w:sz w:val="16"/>
        </w:rPr>
        <w:t>з</w:t>
      </w:r>
      <w:r w:rsidRPr="008E501D">
        <w:rPr>
          <w:rFonts w:ascii="Segoe UI"/>
          <w:sz w:val="16"/>
        </w:rPr>
        <w:t xml:space="preserve"> </w:t>
      </w:r>
      <w:r w:rsidRPr="008E501D">
        <w:rPr>
          <w:rFonts w:ascii="Segoe UI"/>
          <w:sz w:val="16"/>
        </w:rPr>
        <w:t>середнім</w:t>
      </w:r>
      <w:r w:rsidRPr="008E501D">
        <w:rPr>
          <w:rFonts w:ascii="Segoe UI"/>
          <w:sz w:val="16"/>
        </w:rPr>
        <w:t xml:space="preserve"> </w:t>
      </w:r>
      <w:r w:rsidRPr="008E501D">
        <w:rPr>
          <w:rFonts w:ascii="Segoe UI"/>
          <w:sz w:val="16"/>
        </w:rPr>
        <w:t>показником</w:t>
      </w:r>
      <w:r w:rsidRPr="008E501D">
        <w:rPr>
          <w:rFonts w:ascii="Segoe UI"/>
          <w:sz w:val="16"/>
        </w:rPr>
        <w:t xml:space="preserve"> </w:t>
      </w:r>
      <w:r w:rsidRPr="008E501D">
        <w:rPr>
          <w:rFonts w:ascii="Segoe UI"/>
          <w:sz w:val="16"/>
        </w:rPr>
        <w:t>попереднього</w:t>
      </w:r>
      <w:r w:rsidRPr="008E501D">
        <w:rPr>
          <w:rFonts w:ascii="Segoe UI"/>
          <w:sz w:val="16"/>
        </w:rPr>
        <w:t xml:space="preserve"> </w:t>
      </w:r>
      <w:r w:rsidRPr="008E501D">
        <w:rPr>
          <w:rFonts w:ascii="Segoe UI"/>
          <w:sz w:val="16"/>
        </w:rPr>
        <w:t>року</w:t>
      </w:r>
    </w:p>
    <w:p w14:paraId="3EED8872" w14:textId="77777777" w:rsidR="00DC2E63" w:rsidRPr="008E501D" w:rsidRDefault="00DC2E63" w:rsidP="008E501D">
      <w:pPr>
        <w:rPr>
          <w:rFonts w:ascii="Segoe UI" w:eastAsia="Segoe UI" w:hAnsi="Segoe UI" w:cs="Segoe UI"/>
          <w:sz w:val="16"/>
          <w:szCs w:val="16"/>
        </w:rPr>
      </w:pPr>
    </w:p>
    <w:p w14:paraId="39984486" w14:textId="77777777" w:rsidR="00DC2E63" w:rsidRPr="008E501D" w:rsidRDefault="00DC2E63" w:rsidP="008E501D">
      <w:pPr>
        <w:rPr>
          <w:rFonts w:ascii="Segoe UI" w:eastAsia="Segoe UI" w:hAnsi="Segoe UI" w:cs="Segoe UI"/>
          <w:sz w:val="16"/>
          <w:szCs w:val="16"/>
        </w:rPr>
      </w:pPr>
    </w:p>
    <w:p w14:paraId="21898A9E" w14:textId="77777777" w:rsidR="00DC2E63" w:rsidRPr="008E501D" w:rsidRDefault="00211314" w:rsidP="008E501D">
      <w:pPr>
        <w:jc w:val="both"/>
        <w:rPr>
          <w:rFonts w:ascii="Segoe UI" w:eastAsia="Segoe UI" w:hAnsi="Segoe UI" w:cs="Segoe UI"/>
        </w:rPr>
      </w:pPr>
      <w:r w:rsidRPr="008E501D">
        <w:rPr>
          <w:rFonts w:ascii="Segoe UI"/>
          <w:b/>
        </w:rPr>
        <w:t>Органічний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розвиток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продажів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у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першому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кварталі</w:t>
      </w:r>
      <w:r w:rsidRPr="008E501D">
        <w:rPr>
          <w:rFonts w:ascii="Segoe UI"/>
          <w:b/>
        </w:rPr>
        <w:t xml:space="preserve"> </w:t>
      </w:r>
      <w:r w:rsidRPr="008E501D">
        <w:rPr>
          <w:rFonts w:cstheme="minorHAnsi"/>
          <w:b/>
        </w:rPr>
        <w:t>2024</w:t>
      </w:r>
      <w:r w:rsidRPr="008E501D">
        <w:rPr>
          <w:rFonts w:ascii="Segoe UI"/>
          <w:b/>
        </w:rPr>
        <w:t xml:space="preserve"> </w:t>
      </w:r>
      <w:r w:rsidRPr="008E501D">
        <w:rPr>
          <w:rFonts w:ascii="Segoe UI"/>
          <w:b/>
        </w:rPr>
        <w:t>року</w:t>
      </w:r>
    </w:p>
    <w:p w14:paraId="3497A33F" w14:textId="0ADF19ED" w:rsidR="00DC2E63" w:rsidRPr="008E501D" w:rsidRDefault="00211314" w:rsidP="008E501D">
      <w:pPr>
        <w:pStyle w:val="BodyText"/>
        <w:spacing w:before="163" w:line="276" w:lineRule="auto"/>
        <w:ind w:left="0"/>
        <w:jc w:val="both"/>
      </w:pPr>
      <w:r w:rsidRPr="008E501D">
        <w:t>За попередніми даними у першому кварталі 2024 року продажі компанії «</w:t>
      </w:r>
      <w:proofErr w:type="spellStart"/>
      <w:r w:rsidRPr="008E501D">
        <w:t>Хенкель</w:t>
      </w:r>
      <w:proofErr w:type="spellEnd"/>
      <w:r w:rsidRPr="008E501D">
        <w:t xml:space="preserve">» в складі Групи сягнули </w:t>
      </w:r>
      <w:r w:rsidR="006B2B91">
        <w:t>при</w:t>
      </w:r>
      <w:r w:rsidRPr="008E501D">
        <w:t>близ</w:t>
      </w:r>
      <w:r w:rsidR="006B2B91">
        <w:t xml:space="preserve">но </w:t>
      </w:r>
      <w:r w:rsidRPr="008E501D">
        <w:t xml:space="preserve">5,3 млрд євро, досягнувши значного органічного зростання продажів на 3,0 відсотка. У бізнес-підрозділі «Клейові технології» рівень продажів </w:t>
      </w:r>
      <w:r w:rsidR="006B2B91">
        <w:t xml:space="preserve">становив </w:t>
      </w:r>
      <w:r w:rsidRPr="008E501D">
        <w:t>близько 2,7</w:t>
      </w:r>
      <w:r w:rsidR="008E501D">
        <w:t> </w:t>
      </w:r>
      <w:r w:rsidRPr="008E501D">
        <w:t>млрд євро, а позитивне органічне зростання продажів становило 1,3 відсотка. Бізнес-підрозділ «Споживчі бренди» продемонстрував рівень продажі</w:t>
      </w:r>
      <w:r w:rsidR="006B2B91">
        <w:t>в</w:t>
      </w:r>
      <w:r w:rsidRPr="008E501D">
        <w:t xml:space="preserve"> розмір</w:t>
      </w:r>
      <w:r w:rsidR="006B2B91">
        <w:t xml:space="preserve">ом </w:t>
      </w:r>
      <w:r w:rsidRPr="008E501D">
        <w:t>2,6 млрд євро та дуже сильне органічне зростання продажів на 5,2 відсотка.</w:t>
      </w:r>
    </w:p>
    <w:p w14:paraId="385E652E" w14:textId="77777777" w:rsidR="00DC2E63" w:rsidRPr="008E501D" w:rsidRDefault="00DC2E63" w:rsidP="008E501D">
      <w:pPr>
        <w:spacing w:before="4"/>
        <w:rPr>
          <w:rFonts w:ascii="Segoe UI" w:eastAsia="Segoe UI" w:hAnsi="Segoe UI" w:cs="Segoe UI"/>
          <w:sz w:val="25"/>
          <w:szCs w:val="25"/>
        </w:rPr>
      </w:pPr>
    </w:p>
    <w:p w14:paraId="185C5F85" w14:textId="77777777" w:rsidR="00DC2E63" w:rsidRPr="008E501D" w:rsidRDefault="00211314" w:rsidP="008E501D">
      <w:pPr>
        <w:pStyle w:val="BodyText"/>
        <w:ind w:left="0"/>
        <w:jc w:val="both"/>
      </w:pPr>
      <w:r w:rsidRPr="008E501D">
        <w:t>Детальнішу інформацію про динаміку продажів у першому кварталі компанія «</w:t>
      </w:r>
      <w:proofErr w:type="spellStart"/>
      <w:r w:rsidRPr="008E501D">
        <w:t>Хенкель</w:t>
      </w:r>
      <w:proofErr w:type="spellEnd"/>
      <w:r w:rsidRPr="008E501D">
        <w:t>» повідомить 8 травня.</w:t>
      </w:r>
    </w:p>
    <w:p w14:paraId="2AC92192" w14:textId="77777777" w:rsidR="00DC2E63" w:rsidRPr="008E501D" w:rsidRDefault="00DC2E63" w:rsidP="008E501D">
      <w:pPr>
        <w:jc w:val="both"/>
        <w:sectPr w:rsidR="00DC2E63" w:rsidRPr="008E501D" w:rsidSect="002357FB">
          <w:footerReference w:type="default" r:id="rId11"/>
          <w:pgSz w:w="11910" w:h="16840" w:code="9"/>
          <w:pgMar w:top="1134" w:right="851" w:bottom="1134" w:left="1418" w:header="0" w:footer="873" w:gutter="0"/>
          <w:pgNumType w:start="2"/>
          <w:cols w:space="720"/>
        </w:sectPr>
      </w:pPr>
    </w:p>
    <w:p w14:paraId="0119B6FC" w14:textId="77777777" w:rsidR="00DC2E63" w:rsidRPr="008E501D" w:rsidRDefault="00DC2E63" w:rsidP="008E501D">
      <w:pPr>
        <w:rPr>
          <w:rFonts w:ascii="Segoe UI" w:eastAsia="Segoe UI" w:hAnsi="Segoe UI" w:cs="Segoe UI"/>
        </w:rPr>
      </w:pPr>
    </w:p>
    <w:p w14:paraId="528D85F6" w14:textId="77777777" w:rsidR="00DC2E63" w:rsidRPr="008E501D" w:rsidRDefault="00DC2E63" w:rsidP="008E501D">
      <w:pPr>
        <w:rPr>
          <w:rFonts w:ascii="Segoe UI" w:eastAsia="Segoe UI" w:hAnsi="Segoe UI" w:cs="Segoe UI"/>
          <w:sz w:val="16"/>
          <w:szCs w:val="16"/>
        </w:rPr>
      </w:pPr>
    </w:p>
    <w:p w14:paraId="1A5912DA" w14:textId="4ACE199A" w:rsidR="00DC2E63" w:rsidRPr="008E501D" w:rsidRDefault="00211314" w:rsidP="008E501D">
      <w:pPr>
        <w:spacing w:before="63"/>
        <w:rPr>
          <w:rFonts w:ascii="Segoe UI" w:eastAsia="Segoe UI" w:hAnsi="Segoe UI" w:cs="Segoe UI"/>
          <w:sz w:val="14"/>
          <w:szCs w:val="14"/>
        </w:rPr>
      </w:pPr>
      <w:r w:rsidRPr="008E501D">
        <w:rPr>
          <w:rFonts w:ascii="Segoe UI" w:hAnsi="Segoe UI"/>
          <w:sz w:val="14"/>
          <w:szCs w:val="14"/>
        </w:rPr>
        <w:t>Цей документ містить заяви, що стосуються майбутнього розвитку бізнесу, фінансових показників та інших подій, що матимуть значення для компанії «</w:t>
      </w:r>
      <w:proofErr w:type="spellStart"/>
      <w:r w:rsidRPr="008E501D">
        <w:rPr>
          <w:rFonts w:ascii="Segoe UI" w:hAnsi="Segoe UI"/>
          <w:sz w:val="14"/>
          <w:szCs w:val="14"/>
        </w:rPr>
        <w:t>Хенкель</w:t>
      </w:r>
      <w:proofErr w:type="spellEnd"/>
      <w:r w:rsidRPr="008E501D">
        <w:rPr>
          <w:rFonts w:ascii="Segoe UI" w:hAnsi="Segoe UI"/>
          <w:sz w:val="14"/>
          <w:szCs w:val="14"/>
        </w:rPr>
        <w:t xml:space="preserve">» </w:t>
      </w:r>
      <w:r w:rsidR="006B2B91">
        <w:rPr>
          <w:rFonts w:ascii="Segoe UI" w:hAnsi="Segoe UI"/>
          <w:sz w:val="14"/>
          <w:szCs w:val="14"/>
        </w:rPr>
        <w:t xml:space="preserve">у </w:t>
      </w:r>
      <w:r w:rsidRPr="008E501D">
        <w:rPr>
          <w:rFonts w:ascii="Segoe UI" w:hAnsi="Segoe UI"/>
          <w:sz w:val="14"/>
          <w:szCs w:val="14"/>
        </w:rPr>
        <w:t xml:space="preserve">майбутньому, які можуть бути прогнозними заявами. Прогнозні заяви характеризуються використанням таких слів, як «очікувати», «мати намір», «планувати», «передбачати», «вважати», «припускати» </w:t>
      </w:r>
      <w:r w:rsidR="006B2B91">
        <w:rPr>
          <w:rFonts w:ascii="Segoe UI" w:hAnsi="Segoe UI"/>
          <w:sz w:val="14"/>
          <w:szCs w:val="14"/>
        </w:rPr>
        <w:t xml:space="preserve">й </w:t>
      </w:r>
      <w:r w:rsidRPr="008E501D">
        <w:rPr>
          <w:rFonts w:ascii="Segoe UI" w:hAnsi="Segoe UI"/>
          <w:sz w:val="14"/>
          <w:szCs w:val="14"/>
        </w:rPr>
        <w:t xml:space="preserve">інших подібних слів. Ці заяви засновані на поточних оцінках </w:t>
      </w:r>
      <w:r w:rsidR="006B2B91">
        <w:rPr>
          <w:rFonts w:ascii="Segoe UI" w:hAnsi="Segoe UI"/>
          <w:sz w:val="14"/>
          <w:szCs w:val="14"/>
        </w:rPr>
        <w:t xml:space="preserve">і </w:t>
      </w:r>
      <w:r w:rsidRPr="008E501D">
        <w:rPr>
          <w:rFonts w:ascii="Segoe UI" w:hAnsi="Segoe UI"/>
          <w:sz w:val="14"/>
          <w:szCs w:val="14"/>
        </w:rPr>
        <w:t xml:space="preserve">припущеннях, зроблених керівництвом компанії Henkel AG &amp; </w:t>
      </w:r>
      <w:proofErr w:type="spellStart"/>
      <w:r w:rsidRPr="008E501D">
        <w:rPr>
          <w:rFonts w:ascii="Segoe UI" w:hAnsi="Segoe UI"/>
          <w:sz w:val="14"/>
          <w:szCs w:val="14"/>
        </w:rPr>
        <w:t>Co</w:t>
      </w:r>
      <w:proofErr w:type="spellEnd"/>
      <w:r w:rsidRPr="008E501D">
        <w:rPr>
          <w:rFonts w:ascii="Segoe UI" w:hAnsi="Segoe UI"/>
          <w:sz w:val="14"/>
          <w:szCs w:val="14"/>
        </w:rPr>
        <w:t xml:space="preserve">. </w:t>
      </w:r>
      <w:proofErr w:type="spellStart"/>
      <w:r w:rsidRPr="008E501D">
        <w:rPr>
          <w:rFonts w:ascii="Segoe UI" w:hAnsi="Segoe UI"/>
          <w:sz w:val="14"/>
          <w:szCs w:val="14"/>
        </w:rPr>
        <w:t>KGaA</w:t>
      </w:r>
      <w:proofErr w:type="spellEnd"/>
      <w:r w:rsidRPr="008E501D">
        <w:rPr>
          <w:rFonts w:ascii="Segoe UI" w:hAnsi="Segoe UI"/>
          <w:sz w:val="14"/>
          <w:szCs w:val="14"/>
        </w:rPr>
        <w:t>. Такі заяви не слід розцінювати як будь-які гарантії</w:t>
      </w:r>
      <w:r w:rsidR="006B2B91">
        <w:rPr>
          <w:rFonts w:ascii="Segoe UI" w:hAnsi="Segoe UI"/>
          <w:sz w:val="14"/>
          <w:szCs w:val="14"/>
        </w:rPr>
        <w:t xml:space="preserve"> та</w:t>
      </w:r>
      <w:r w:rsidRPr="008E501D">
        <w:rPr>
          <w:rFonts w:ascii="Segoe UI" w:hAnsi="Segoe UI"/>
          <w:sz w:val="14"/>
          <w:szCs w:val="14"/>
        </w:rPr>
        <w:t xml:space="preserve"> не слід очікувати, що вони виявляться точними. Майбутні показники діяльності компанії Henkel AG &amp; </w:t>
      </w:r>
      <w:proofErr w:type="spellStart"/>
      <w:r w:rsidRPr="008E501D">
        <w:rPr>
          <w:rFonts w:ascii="Segoe UI" w:hAnsi="Segoe UI"/>
          <w:sz w:val="14"/>
          <w:szCs w:val="14"/>
        </w:rPr>
        <w:t>Co</w:t>
      </w:r>
      <w:proofErr w:type="spellEnd"/>
      <w:r w:rsidRPr="008E501D">
        <w:rPr>
          <w:rFonts w:ascii="Segoe UI" w:hAnsi="Segoe UI"/>
          <w:sz w:val="14"/>
          <w:szCs w:val="14"/>
        </w:rPr>
        <w:t xml:space="preserve">. </w:t>
      </w:r>
      <w:proofErr w:type="spellStart"/>
      <w:r w:rsidRPr="008E501D">
        <w:rPr>
          <w:rFonts w:ascii="Segoe UI" w:hAnsi="Segoe UI"/>
          <w:sz w:val="14"/>
          <w:szCs w:val="14"/>
        </w:rPr>
        <w:t>KGaA</w:t>
      </w:r>
      <w:proofErr w:type="spellEnd"/>
      <w:r w:rsidRPr="008E501D">
        <w:rPr>
          <w:rFonts w:ascii="Segoe UI" w:hAnsi="Segoe UI"/>
          <w:sz w:val="14"/>
          <w:szCs w:val="14"/>
        </w:rPr>
        <w:t xml:space="preserve"> </w:t>
      </w:r>
      <w:r w:rsidR="006B2B91">
        <w:rPr>
          <w:rFonts w:ascii="Segoe UI" w:hAnsi="Segoe UI"/>
          <w:sz w:val="14"/>
          <w:szCs w:val="14"/>
        </w:rPr>
        <w:t xml:space="preserve">та </w:t>
      </w:r>
      <w:r w:rsidRPr="008E501D">
        <w:rPr>
          <w:rFonts w:ascii="Segoe UI" w:hAnsi="Segoe UI"/>
          <w:sz w:val="14"/>
          <w:szCs w:val="14"/>
        </w:rPr>
        <w:t xml:space="preserve">дочірніх компаній залежать від низки ризиків і </w:t>
      </w:r>
      <w:proofErr w:type="spellStart"/>
      <w:r w:rsidRPr="008E501D">
        <w:rPr>
          <w:rFonts w:ascii="Segoe UI" w:hAnsi="Segoe UI"/>
          <w:sz w:val="14"/>
          <w:szCs w:val="14"/>
        </w:rPr>
        <w:t>невизначеностей</w:t>
      </w:r>
      <w:proofErr w:type="spellEnd"/>
      <w:r w:rsidRPr="008E501D">
        <w:rPr>
          <w:rFonts w:ascii="Segoe UI" w:hAnsi="Segoe UI"/>
          <w:sz w:val="14"/>
          <w:szCs w:val="14"/>
        </w:rPr>
        <w:t xml:space="preserve"> й у зв'язку з цим можуть суттєво відрізнятися (як у позитивний, так і в негативний бік) від даних, наведених у прогнозних заявах. Багато з цих факторів не залежать від компанії «</w:t>
      </w:r>
      <w:proofErr w:type="spellStart"/>
      <w:r w:rsidRPr="008E501D">
        <w:rPr>
          <w:rFonts w:ascii="Segoe UI" w:hAnsi="Segoe UI"/>
          <w:sz w:val="14"/>
          <w:szCs w:val="14"/>
        </w:rPr>
        <w:t>Хенкель</w:t>
      </w:r>
      <w:proofErr w:type="spellEnd"/>
      <w:r w:rsidRPr="008E501D">
        <w:rPr>
          <w:rFonts w:ascii="Segoe UI" w:hAnsi="Segoe UI"/>
          <w:sz w:val="14"/>
          <w:szCs w:val="14"/>
        </w:rPr>
        <w:t>» і не піддаються точн</w:t>
      </w:r>
      <w:r w:rsidR="006B2B91">
        <w:rPr>
          <w:rFonts w:ascii="Segoe UI" w:hAnsi="Segoe UI"/>
          <w:sz w:val="14"/>
          <w:szCs w:val="14"/>
        </w:rPr>
        <w:t xml:space="preserve">ому </w:t>
      </w:r>
      <w:r w:rsidRPr="008E501D">
        <w:rPr>
          <w:rFonts w:ascii="Segoe UI" w:hAnsi="Segoe UI"/>
          <w:sz w:val="14"/>
          <w:szCs w:val="14"/>
        </w:rPr>
        <w:t>попередн</w:t>
      </w:r>
      <w:r w:rsidR="006B2B91">
        <w:rPr>
          <w:rFonts w:ascii="Segoe UI" w:hAnsi="Segoe UI"/>
          <w:sz w:val="14"/>
          <w:szCs w:val="14"/>
        </w:rPr>
        <w:t xml:space="preserve">ьому </w:t>
      </w:r>
      <w:r w:rsidRPr="008E501D">
        <w:rPr>
          <w:rFonts w:ascii="Segoe UI" w:hAnsi="Segoe UI"/>
          <w:sz w:val="14"/>
          <w:szCs w:val="14"/>
        </w:rPr>
        <w:t>оцін</w:t>
      </w:r>
      <w:r w:rsidR="006B2B91">
        <w:rPr>
          <w:rFonts w:ascii="Segoe UI" w:hAnsi="Segoe UI"/>
          <w:sz w:val="14"/>
          <w:szCs w:val="14"/>
        </w:rPr>
        <w:t xml:space="preserve">юванню. </w:t>
      </w:r>
      <w:r w:rsidRPr="008E501D">
        <w:rPr>
          <w:rFonts w:ascii="Segoe UI" w:hAnsi="Segoe UI"/>
          <w:sz w:val="14"/>
          <w:szCs w:val="14"/>
        </w:rPr>
        <w:t xml:space="preserve">Серед цих факторів – майбутня економічна ситуація </w:t>
      </w:r>
      <w:r w:rsidR="006B2B91">
        <w:rPr>
          <w:rFonts w:ascii="Segoe UI" w:hAnsi="Segoe UI"/>
          <w:sz w:val="14"/>
          <w:szCs w:val="14"/>
        </w:rPr>
        <w:t xml:space="preserve">та </w:t>
      </w:r>
      <w:r w:rsidRPr="008E501D">
        <w:rPr>
          <w:rFonts w:ascii="Segoe UI" w:hAnsi="Segoe UI"/>
          <w:sz w:val="14"/>
          <w:szCs w:val="14"/>
        </w:rPr>
        <w:t xml:space="preserve">дії конкурентів </w:t>
      </w:r>
      <w:r w:rsidR="006B2B91">
        <w:rPr>
          <w:rFonts w:ascii="Segoe UI" w:hAnsi="Segoe UI"/>
          <w:sz w:val="14"/>
          <w:szCs w:val="14"/>
        </w:rPr>
        <w:t xml:space="preserve">й </w:t>
      </w:r>
      <w:r w:rsidRPr="008E501D">
        <w:rPr>
          <w:rFonts w:ascii="Segoe UI" w:hAnsi="Segoe UI"/>
          <w:sz w:val="14"/>
          <w:szCs w:val="14"/>
        </w:rPr>
        <w:t>інших гравців на ринках. «</w:t>
      </w:r>
      <w:proofErr w:type="spellStart"/>
      <w:r w:rsidRPr="008E501D">
        <w:rPr>
          <w:rFonts w:ascii="Segoe UI" w:hAnsi="Segoe UI"/>
          <w:sz w:val="14"/>
          <w:szCs w:val="14"/>
        </w:rPr>
        <w:t>Хенкель</w:t>
      </w:r>
      <w:proofErr w:type="spellEnd"/>
      <w:r w:rsidRPr="008E501D">
        <w:rPr>
          <w:rFonts w:ascii="Segoe UI" w:hAnsi="Segoe UI"/>
          <w:sz w:val="14"/>
          <w:szCs w:val="14"/>
        </w:rPr>
        <w:t>» не планує і не зобов'язується оновлювати прогнозні заяви в цьому документі.</w:t>
      </w:r>
    </w:p>
    <w:p w14:paraId="6634E406" w14:textId="77777777" w:rsidR="00DC2E63" w:rsidRPr="008E501D" w:rsidRDefault="00DC2E63" w:rsidP="008E501D">
      <w:pPr>
        <w:spacing w:before="12"/>
        <w:rPr>
          <w:rFonts w:ascii="Segoe UI" w:eastAsia="Segoe UI" w:hAnsi="Segoe UI" w:cs="Segoe UI"/>
          <w:sz w:val="11"/>
          <w:szCs w:val="11"/>
        </w:rPr>
      </w:pPr>
    </w:p>
    <w:p w14:paraId="161CA82D" w14:textId="5698B71B" w:rsidR="00DC2E63" w:rsidRPr="008E501D" w:rsidRDefault="00211314" w:rsidP="008E501D">
      <w:pPr>
        <w:rPr>
          <w:rFonts w:ascii="Segoe UI" w:eastAsia="Segoe UI" w:hAnsi="Segoe UI" w:cs="Segoe UI"/>
          <w:sz w:val="14"/>
          <w:szCs w:val="14"/>
        </w:rPr>
      </w:pPr>
      <w:r w:rsidRPr="008E501D">
        <w:rPr>
          <w:rFonts w:ascii="Segoe UI" w:hAnsi="Segoe UI"/>
          <w:sz w:val="14"/>
          <w:szCs w:val="14"/>
        </w:rPr>
        <w:t>Цей документ включає додаткові фінансові показники, які не мають чітких визначень у відповідних межах фінансової звітності і які є або можуть виступати в ролі альтернативних показників діяльності. Ці додаткові фінансові показники не слід розглядати окремо або як альтернатив</w:t>
      </w:r>
      <w:r w:rsidR="00661134">
        <w:rPr>
          <w:rFonts w:ascii="Segoe UI" w:hAnsi="Segoe UI"/>
          <w:sz w:val="14"/>
          <w:szCs w:val="14"/>
        </w:rPr>
        <w:t>у</w:t>
      </w:r>
      <w:r w:rsidRPr="008E501D">
        <w:rPr>
          <w:rFonts w:ascii="Segoe UI" w:hAnsi="Segoe UI"/>
          <w:sz w:val="14"/>
          <w:szCs w:val="14"/>
        </w:rPr>
        <w:t xml:space="preserve"> показникам чистих активів і фінансової позиції або результатів діяльності «</w:t>
      </w:r>
      <w:proofErr w:type="spellStart"/>
      <w:r w:rsidRPr="008E501D">
        <w:rPr>
          <w:rFonts w:ascii="Segoe UI" w:hAnsi="Segoe UI"/>
          <w:sz w:val="14"/>
          <w:szCs w:val="14"/>
        </w:rPr>
        <w:t>Хенкель</w:t>
      </w:r>
      <w:proofErr w:type="spellEnd"/>
      <w:r w:rsidRPr="008E501D">
        <w:rPr>
          <w:rFonts w:ascii="Segoe UI" w:hAnsi="Segoe UI"/>
          <w:sz w:val="14"/>
          <w:szCs w:val="14"/>
        </w:rPr>
        <w:t xml:space="preserve">», наданим відповідно до чинної форми фінансової звітності в документах </w:t>
      </w:r>
      <w:proofErr w:type="spellStart"/>
      <w:r w:rsidRPr="008E501D">
        <w:rPr>
          <w:rFonts w:ascii="Segoe UI" w:hAnsi="Segoe UI"/>
          <w:sz w:val="14"/>
          <w:szCs w:val="14"/>
        </w:rPr>
        <w:t>Хенкель</w:t>
      </w:r>
      <w:proofErr w:type="spellEnd"/>
      <w:r w:rsidRPr="008E501D">
        <w:rPr>
          <w:rFonts w:ascii="Segoe UI" w:hAnsi="Segoe UI"/>
          <w:sz w:val="14"/>
          <w:szCs w:val="14"/>
        </w:rPr>
        <w:t>» з консолідованою фінансовою звітністю. Інші компанії, які публікують або описують аналогічно позначені альтернативні показники своєї діяльності, можуть розраховувати їх іншим способом.</w:t>
      </w:r>
    </w:p>
    <w:p w14:paraId="646C92B3" w14:textId="77777777" w:rsidR="00DC2E63" w:rsidRPr="008E501D" w:rsidRDefault="00DC2E63" w:rsidP="008E501D">
      <w:pPr>
        <w:spacing w:before="12"/>
        <w:rPr>
          <w:rFonts w:ascii="Segoe UI" w:eastAsia="Segoe UI" w:hAnsi="Segoe UI" w:cs="Segoe UI"/>
          <w:sz w:val="11"/>
          <w:szCs w:val="11"/>
        </w:rPr>
      </w:pPr>
    </w:p>
    <w:p w14:paraId="3444BA64" w14:textId="3A043E10" w:rsidR="00DC2E63" w:rsidRPr="008E501D" w:rsidRDefault="00211314" w:rsidP="008E501D">
      <w:pPr>
        <w:spacing w:line="242" w:lineRule="auto"/>
        <w:rPr>
          <w:rFonts w:ascii="Segoe UI" w:eastAsia="Segoe UI" w:hAnsi="Segoe UI" w:cs="Segoe UI"/>
          <w:sz w:val="14"/>
          <w:szCs w:val="14"/>
        </w:rPr>
      </w:pPr>
      <w:r w:rsidRPr="008E501D">
        <w:rPr>
          <w:rFonts w:ascii="Segoe UI"/>
          <w:sz w:val="14"/>
        </w:rPr>
        <w:t>Цей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документ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опубліковано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лише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з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інформаційною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метою</w:t>
      </w:r>
      <w:r w:rsidRPr="008E501D">
        <w:rPr>
          <w:rFonts w:ascii="Segoe UI"/>
          <w:sz w:val="14"/>
        </w:rPr>
        <w:t xml:space="preserve">, </w:t>
      </w:r>
      <w:r w:rsidRPr="008E501D">
        <w:rPr>
          <w:rFonts w:ascii="Segoe UI"/>
          <w:sz w:val="14"/>
        </w:rPr>
        <w:t>його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не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слід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розглядати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як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рекомендацію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щодо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здійснення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інвестицій</w:t>
      </w:r>
      <w:r w:rsidRPr="008E501D">
        <w:rPr>
          <w:rFonts w:ascii="Segoe UI"/>
          <w:sz w:val="14"/>
        </w:rPr>
        <w:t xml:space="preserve">, </w:t>
      </w:r>
      <w:r w:rsidRPr="008E501D">
        <w:rPr>
          <w:rFonts w:ascii="Segoe UI"/>
          <w:sz w:val="14"/>
        </w:rPr>
        <w:t>пропозиції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з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продажу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активів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або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пропозиції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оферти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з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купівлі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будь</w:t>
      </w:r>
      <w:r w:rsidRPr="008E501D">
        <w:rPr>
          <w:rFonts w:ascii="Segoe UI"/>
          <w:sz w:val="14"/>
        </w:rPr>
        <w:t>-</w:t>
      </w:r>
      <w:r w:rsidRPr="008E501D">
        <w:rPr>
          <w:rFonts w:ascii="Segoe UI"/>
          <w:sz w:val="14"/>
        </w:rPr>
        <w:t>яких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цінних</w:t>
      </w:r>
      <w:r w:rsidRPr="008E501D">
        <w:rPr>
          <w:rFonts w:ascii="Segoe UI"/>
          <w:sz w:val="14"/>
        </w:rPr>
        <w:t xml:space="preserve"> </w:t>
      </w:r>
      <w:r w:rsidRPr="008E501D">
        <w:rPr>
          <w:rFonts w:ascii="Segoe UI"/>
          <w:sz w:val="14"/>
        </w:rPr>
        <w:t>паперів</w:t>
      </w:r>
      <w:r w:rsidRPr="008E501D">
        <w:rPr>
          <w:rFonts w:ascii="Segoe UI"/>
          <w:sz w:val="14"/>
        </w:rPr>
        <w:t>.</w:t>
      </w:r>
    </w:p>
    <w:p w14:paraId="4BAF4E3E" w14:textId="77777777" w:rsidR="00DC2E63" w:rsidRPr="00CA4D24" w:rsidRDefault="00DC2E63" w:rsidP="008E501D">
      <w:pPr>
        <w:spacing w:before="12"/>
        <w:rPr>
          <w:rFonts w:ascii="Segoe UI" w:eastAsia="Segoe UI" w:hAnsi="Segoe UI" w:cs="Segoe UI"/>
          <w:sz w:val="18"/>
          <w:szCs w:val="18"/>
        </w:rPr>
      </w:pPr>
    </w:p>
    <w:p w14:paraId="017A890A" w14:textId="77777777" w:rsidR="003E3536" w:rsidRPr="008C639D" w:rsidRDefault="003E3536" w:rsidP="003E3536">
      <w:pPr>
        <w:spacing w:before="51"/>
        <w:ind w:left="171"/>
        <w:jc w:val="both"/>
        <w:rPr>
          <w:rFonts w:ascii="Segoe UI" w:eastAsia="Segoe UI" w:hAnsi="Segoe UI" w:cs="Segoe UI"/>
          <w:sz w:val="16"/>
          <w:szCs w:val="16"/>
        </w:rPr>
      </w:pPr>
      <w:r w:rsidRPr="008C639D">
        <w:rPr>
          <w:rFonts w:ascii="Segoe UI"/>
          <w:b/>
          <w:sz w:val="16"/>
          <w:szCs w:val="20"/>
        </w:rPr>
        <w:t>Про</w:t>
      </w:r>
      <w:r w:rsidRPr="008C639D">
        <w:rPr>
          <w:rFonts w:ascii="Segoe UI"/>
          <w:b/>
          <w:sz w:val="16"/>
          <w:szCs w:val="20"/>
        </w:rPr>
        <w:t xml:space="preserve"> </w:t>
      </w:r>
      <w:r w:rsidRPr="008C639D">
        <w:rPr>
          <w:rFonts w:ascii="Segoe UI"/>
          <w:b/>
          <w:sz w:val="16"/>
          <w:szCs w:val="20"/>
        </w:rPr>
        <w:t>компанію</w:t>
      </w:r>
      <w:r w:rsidRPr="008C639D">
        <w:rPr>
          <w:rFonts w:ascii="Segoe UI"/>
          <w:b/>
          <w:sz w:val="16"/>
          <w:szCs w:val="20"/>
        </w:rPr>
        <w:t xml:space="preserve"> </w:t>
      </w:r>
      <w:r w:rsidRPr="008C639D">
        <w:rPr>
          <w:rFonts w:ascii="Segoe UI"/>
          <w:b/>
          <w:sz w:val="16"/>
          <w:szCs w:val="20"/>
        </w:rPr>
        <w:t>«</w:t>
      </w:r>
      <w:proofErr w:type="spellStart"/>
      <w:r w:rsidRPr="008C639D">
        <w:rPr>
          <w:rFonts w:ascii="Segoe UI"/>
          <w:b/>
          <w:sz w:val="16"/>
          <w:szCs w:val="20"/>
        </w:rPr>
        <w:t>Хенкель</w:t>
      </w:r>
      <w:proofErr w:type="spellEnd"/>
      <w:r w:rsidRPr="008C639D">
        <w:rPr>
          <w:rFonts w:ascii="Segoe UI"/>
          <w:b/>
          <w:sz w:val="16"/>
          <w:szCs w:val="20"/>
        </w:rPr>
        <w:t>»</w:t>
      </w:r>
    </w:p>
    <w:p w14:paraId="54E80140" w14:textId="77777777" w:rsidR="003E3536" w:rsidRPr="008C639D" w:rsidRDefault="003E3536" w:rsidP="003E3536">
      <w:pPr>
        <w:spacing w:before="36" w:line="275" w:lineRule="auto"/>
        <w:ind w:left="171" w:right="109"/>
        <w:jc w:val="both"/>
        <w:rPr>
          <w:rFonts w:ascii="Segoe UI" w:eastAsia="Segoe UI" w:hAnsi="Segoe UI" w:cs="Segoe UI"/>
          <w:sz w:val="16"/>
          <w:szCs w:val="16"/>
        </w:rPr>
      </w:pPr>
      <w:r w:rsidRPr="008C639D">
        <w:rPr>
          <w:rFonts w:ascii="Segoe UI"/>
          <w:sz w:val="16"/>
          <w:szCs w:val="20"/>
        </w:rPr>
        <w:t>Завдяки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своїм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брендам</w:t>
      </w:r>
      <w:r w:rsidRPr="008C639D">
        <w:rPr>
          <w:rFonts w:ascii="Segoe UI"/>
          <w:sz w:val="16"/>
          <w:szCs w:val="20"/>
        </w:rPr>
        <w:t xml:space="preserve">, </w:t>
      </w:r>
      <w:r w:rsidRPr="008C639D">
        <w:rPr>
          <w:rFonts w:ascii="Segoe UI"/>
          <w:sz w:val="16"/>
          <w:szCs w:val="20"/>
        </w:rPr>
        <w:t>інноваціям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технологіям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компанія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«</w:t>
      </w:r>
      <w:proofErr w:type="spellStart"/>
      <w:r w:rsidRPr="008C639D">
        <w:rPr>
          <w:rFonts w:ascii="Segoe UI"/>
          <w:sz w:val="16"/>
          <w:szCs w:val="20"/>
        </w:rPr>
        <w:t>Хенкель</w:t>
      </w:r>
      <w:proofErr w:type="spellEnd"/>
      <w:r w:rsidRPr="008C639D">
        <w:rPr>
          <w:rFonts w:ascii="Segoe UI"/>
          <w:sz w:val="16"/>
          <w:szCs w:val="20"/>
        </w:rPr>
        <w:t>»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займає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провідні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позиції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на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світовому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ринку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промислових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споживчих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товарів</w:t>
      </w:r>
      <w:r w:rsidRPr="008C639D">
        <w:rPr>
          <w:rFonts w:ascii="Segoe UI"/>
          <w:sz w:val="16"/>
          <w:szCs w:val="20"/>
        </w:rPr>
        <w:t xml:space="preserve">. </w:t>
      </w:r>
      <w:r w:rsidRPr="008C639D">
        <w:rPr>
          <w:rFonts w:ascii="Segoe UI"/>
          <w:sz w:val="16"/>
          <w:szCs w:val="20"/>
        </w:rPr>
        <w:t>Бізнес</w:t>
      </w:r>
      <w:r w:rsidRPr="008C639D">
        <w:rPr>
          <w:rFonts w:ascii="Segoe UI"/>
          <w:sz w:val="16"/>
          <w:szCs w:val="20"/>
        </w:rPr>
        <w:t>-</w:t>
      </w:r>
      <w:r w:rsidRPr="008C639D">
        <w:rPr>
          <w:rFonts w:ascii="Segoe UI"/>
          <w:sz w:val="16"/>
          <w:szCs w:val="20"/>
        </w:rPr>
        <w:t>підрозділ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«Клейові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технології»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є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світовим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лідером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на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ринку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клеїв</w:t>
      </w:r>
      <w:r w:rsidRPr="008C639D">
        <w:rPr>
          <w:rFonts w:ascii="Segoe UI"/>
          <w:sz w:val="16"/>
          <w:szCs w:val="20"/>
        </w:rPr>
        <w:t xml:space="preserve">, </w:t>
      </w:r>
      <w:r w:rsidRPr="008C639D">
        <w:rPr>
          <w:rFonts w:ascii="Segoe UI"/>
          <w:sz w:val="16"/>
          <w:szCs w:val="20"/>
        </w:rPr>
        <w:t>герметиків</w:t>
      </w:r>
      <w:r w:rsidRPr="008C639D">
        <w:rPr>
          <w:rFonts w:ascii="Segoe UI"/>
          <w:sz w:val="16"/>
          <w:szCs w:val="20"/>
        </w:rPr>
        <w:t xml:space="preserve"> </w:t>
      </w:r>
      <w:r>
        <w:rPr>
          <w:rFonts w:ascii="Segoe UI"/>
          <w:sz w:val="16"/>
          <w:szCs w:val="20"/>
        </w:rPr>
        <w:t>і</w:t>
      </w:r>
      <w:r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функціональних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покриттів</w:t>
      </w:r>
      <w:r w:rsidRPr="008C639D">
        <w:rPr>
          <w:rFonts w:ascii="Segoe UI"/>
          <w:sz w:val="16"/>
          <w:szCs w:val="20"/>
        </w:rPr>
        <w:t xml:space="preserve">. </w:t>
      </w:r>
      <w:r w:rsidRPr="008C639D">
        <w:rPr>
          <w:rFonts w:ascii="Segoe UI"/>
          <w:sz w:val="16"/>
          <w:szCs w:val="20"/>
        </w:rPr>
        <w:t>Завдяки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підрозділу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«Споживчі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бренди»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компанія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займає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провідні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позиції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на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багатьох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ринках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в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багатьох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категоріях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по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всьому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світу</w:t>
      </w:r>
      <w:r w:rsidRPr="008C639D">
        <w:rPr>
          <w:rFonts w:ascii="Segoe UI"/>
          <w:sz w:val="16"/>
          <w:szCs w:val="20"/>
        </w:rPr>
        <w:t xml:space="preserve">, </w:t>
      </w:r>
      <w:r w:rsidRPr="008C639D">
        <w:rPr>
          <w:rFonts w:ascii="Segoe UI"/>
          <w:sz w:val="16"/>
          <w:szCs w:val="20"/>
        </w:rPr>
        <w:t>особливо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в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сфері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догляду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за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волоссям</w:t>
      </w:r>
      <w:r w:rsidRPr="008C639D">
        <w:rPr>
          <w:rFonts w:ascii="Segoe UI"/>
          <w:sz w:val="16"/>
          <w:szCs w:val="20"/>
        </w:rPr>
        <w:t xml:space="preserve">, </w:t>
      </w:r>
      <w:r w:rsidRPr="008C639D">
        <w:rPr>
          <w:rFonts w:ascii="Segoe UI"/>
          <w:sz w:val="16"/>
          <w:szCs w:val="20"/>
        </w:rPr>
        <w:t>прання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та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догляду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за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оселею</w:t>
      </w:r>
      <w:r w:rsidRPr="008C639D">
        <w:rPr>
          <w:rFonts w:ascii="Segoe UI"/>
          <w:sz w:val="16"/>
          <w:szCs w:val="20"/>
        </w:rPr>
        <w:t>.</w:t>
      </w:r>
    </w:p>
    <w:p w14:paraId="6384CC11" w14:textId="77777777" w:rsidR="003E3536" w:rsidRPr="008C639D" w:rsidRDefault="003E3536" w:rsidP="003E3536">
      <w:pPr>
        <w:spacing w:before="1" w:line="275" w:lineRule="auto"/>
        <w:ind w:left="171" w:right="104"/>
        <w:jc w:val="both"/>
        <w:rPr>
          <w:rFonts w:ascii="Segoe UI" w:eastAsia="Segoe UI" w:hAnsi="Segoe UI" w:cs="Segoe UI"/>
          <w:sz w:val="16"/>
          <w:szCs w:val="16"/>
        </w:rPr>
      </w:pPr>
      <w:r w:rsidRPr="008C639D">
        <w:rPr>
          <w:rFonts w:ascii="Segoe UI" w:hAnsi="Segoe UI"/>
          <w:sz w:val="16"/>
          <w:szCs w:val="16"/>
        </w:rPr>
        <w:t xml:space="preserve">Три провідні бренди компанії – </w:t>
      </w:r>
      <w:proofErr w:type="spellStart"/>
      <w:r w:rsidRPr="008C639D">
        <w:rPr>
          <w:rFonts w:ascii="Segoe UI" w:hAnsi="Segoe UI"/>
          <w:sz w:val="16"/>
          <w:szCs w:val="16"/>
        </w:rPr>
        <w:t>Loctite</w:t>
      </w:r>
      <w:proofErr w:type="spellEnd"/>
      <w:r w:rsidRPr="008C639D">
        <w:rPr>
          <w:rFonts w:ascii="Segoe UI" w:hAnsi="Segoe UI"/>
          <w:sz w:val="16"/>
          <w:szCs w:val="16"/>
        </w:rPr>
        <w:t xml:space="preserve">, </w:t>
      </w:r>
      <w:proofErr w:type="spellStart"/>
      <w:r w:rsidRPr="008C639D">
        <w:rPr>
          <w:rFonts w:ascii="Segoe UI" w:hAnsi="Segoe UI"/>
          <w:sz w:val="16"/>
          <w:szCs w:val="16"/>
        </w:rPr>
        <w:t>Persil</w:t>
      </w:r>
      <w:proofErr w:type="spellEnd"/>
      <w:r w:rsidRPr="008C639D">
        <w:rPr>
          <w:rFonts w:ascii="Segoe UI" w:hAnsi="Segoe UI"/>
          <w:sz w:val="16"/>
          <w:szCs w:val="16"/>
        </w:rPr>
        <w:t xml:space="preserve"> та </w:t>
      </w:r>
      <w:proofErr w:type="spellStart"/>
      <w:r w:rsidRPr="008C639D">
        <w:rPr>
          <w:rFonts w:ascii="Segoe UI" w:hAnsi="Segoe UI"/>
          <w:sz w:val="16"/>
          <w:szCs w:val="16"/>
        </w:rPr>
        <w:t>Schwarzkopf</w:t>
      </w:r>
      <w:proofErr w:type="spellEnd"/>
      <w:r w:rsidRPr="008C639D">
        <w:rPr>
          <w:rFonts w:ascii="Segoe UI" w:hAnsi="Segoe UI"/>
          <w:sz w:val="16"/>
          <w:szCs w:val="16"/>
        </w:rPr>
        <w:t>. У 2023 фінансовому році «</w:t>
      </w:r>
      <w:proofErr w:type="spellStart"/>
      <w:r w:rsidRPr="008C639D">
        <w:rPr>
          <w:rFonts w:ascii="Segoe UI" w:hAnsi="Segoe UI"/>
          <w:sz w:val="16"/>
          <w:szCs w:val="16"/>
        </w:rPr>
        <w:t>Хенкель</w:t>
      </w:r>
      <w:proofErr w:type="spellEnd"/>
      <w:r w:rsidRPr="008C639D">
        <w:rPr>
          <w:rFonts w:ascii="Segoe UI" w:hAnsi="Segoe UI"/>
          <w:sz w:val="16"/>
          <w:szCs w:val="16"/>
        </w:rPr>
        <w:t>» відзвітувала про обсяг продажів на суму понад 21,5 мільярд</w:t>
      </w:r>
      <w:r>
        <w:rPr>
          <w:rFonts w:ascii="Segoe UI" w:hAnsi="Segoe UI"/>
          <w:sz w:val="16"/>
          <w:szCs w:val="16"/>
        </w:rPr>
        <w:t>а</w:t>
      </w:r>
      <w:r w:rsidRPr="008C639D">
        <w:rPr>
          <w:rFonts w:ascii="Segoe UI" w:hAnsi="Segoe UI"/>
          <w:sz w:val="16"/>
          <w:szCs w:val="16"/>
        </w:rPr>
        <w:t xml:space="preserve"> євро та скоригований операційний прибуток на суму близько 2,6 мільярда євро. Привілейовані акції «</w:t>
      </w:r>
      <w:proofErr w:type="spellStart"/>
      <w:r w:rsidRPr="008C639D">
        <w:rPr>
          <w:rFonts w:ascii="Segoe UI" w:hAnsi="Segoe UI"/>
          <w:sz w:val="16"/>
          <w:szCs w:val="16"/>
        </w:rPr>
        <w:t>Хенкель</w:t>
      </w:r>
      <w:proofErr w:type="spellEnd"/>
      <w:r w:rsidRPr="008C639D">
        <w:rPr>
          <w:rFonts w:ascii="Segoe UI" w:hAnsi="Segoe UI"/>
          <w:sz w:val="16"/>
          <w:szCs w:val="16"/>
        </w:rPr>
        <w:t>» включені до фондового індексу Німеччини DAX. Сталий розвиток – це давня традиція у «</w:t>
      </w:r>
      <w:proofErr w:type="spellStart"/>
      <w:r w:rsidRPr="008C639D">
        <w:rPr>
          <w:rFonts w:ascii="Segoe UI" w:hAnsi="Segoe UI"/>
          <w:sz w:val="16"/>
          <w:szCs w:val="16"/>
        </w:rPr>
        <w:t>Хенкель</w:t>
      </w:r>
      <w:proofErr w:type="spellEnd"/>
      <w:r w:rsidRPr="008C639D">
        <w:rPr>
          <w:rFonts w:ascii="Segoe UI" w:hAnsi="Segoe UI"/>
          <w:sz w:val="16"/>
          <w:szCs w:val="16"/>
        </w:rPr>
        <w:t>»</w:t>
      </w:r>
      <w:r>
        <w:rPr>
          <w:rFonts w:ascii="Segoe UI" w:hAnsi="Segoe UI"/>
          <w:sz w:val="16"/>
          <w:szCs w:val="16"/>
        </w:rPr>
        <w:t>,</w:t>
      </w:r>
      <w:r w:rsidRPr="008C639D">
        <w:rPr>
          <w:rFonts w:ascii="Segoe UI" w:hAnsi="Segoe UI"/>
          <w:sz w:val="16"/>
          <w:szCs w:val="16"/>
        </w:rPr>
        <w:t xml:space="preserve"> компанія має чітку стратегію сталого розвитку з конкретними цілями. Компанію «</w:t>
      </w:r>
      <w:proofErr w:type="spellStart"/>
      <w:r w:rsidRPr="008C639D">
        <w:rPr>
          <w:rFonts w:ascii="Segoe UI" w:hAnsi="Segoe UI"/>
          <w:sz w:val="16"/>
          <w:szCs w:val="16"/>
        </w:rPr>
        <w:t>Хенкель</w:t>
      </w:r>
      <w:proofErr w:type="spellEnd"/>
      <w:r w:rsidRPr="008C639D">
        <w:rPr>
          <w:rFonts w:ascii="Segoe UI" w:hAnsi="Segoe UI"/>
          <w:sz w:val="16"/>
          <w:szCs w:val="16"/>
        </w:rPr>
        <w:t xml:space="preserve">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</w:t>
      </w:r>
      <w:r>
        <w:rPr>
          <w:rFonts w:ascii="Segoe UI" w:hAnsi="Segoe UI"/>
          <w:sz w:val="16"/>
          <w:szCs w:val="16"/>
        </w:rPr>
        <w:t>«</w:t>
      </w:r>
      <w:proofErr w:type="spellStart"/>
      <w:r w:rsidRPr="008C639D">
        <w:rPr>
          <w:rFonts w:ascii="Segoe UI" w:hAnsi="Segoe UI"/>
          <w:sz w:val="16"/>
          <w:szCs w:val="16"/>
        </w:rPr>
        <w:t>Pioneers</w:t>
      </w:r>
      <w:proofErr w:type="spellEnd"/>
      <w:r w:rsidRPr="008C639D">
        <w:rPr>
          <w:rFonts w:ascii="Segoe UI" w:hAnsi="Segoe UI"/>
          <w:sz w:val="16"/>
          <w:szCs w:val="16"/>
        </w:rPr>
        <w:t xml:space="preserve"> </w:t>
      </w:r>
      <w:proofErr w:type="spellStart"/>
      <w:r w:rsidRPr="008C639D">
        <w:rPr>
          <w:rFonts w:ascii="Segoe UI" w:hAnsi="Segoe UI"/>
          <w:sz w:val="16"/>
          <w:szCs w:val="16"/>
        </w:rPr>
        <w:t>at</w:t>
      </w:r>
      <w:proofErr w:type="spellEnd"/>
      <w:r w:rsidRPr="008C639D">
        <w:rPr>
          <w:rFonts w:ascii="Segoe UI" w:hAnsi="Segoe UI"/>
          <w:sz w:val="16"/>
          <w:szCs w:val="16"/>
        </w:rPr>
        <w:t xml:space="preserve"> </w:t>
      </w:r>
      <w:proofErr w:type="spellStart"/>
      <w:r w:rsidRPr="008C639D">
        <w:rPr>
          <w:rFonts w:ascii="Segoe UI" w:hAnsi="Segoe UI"/>
          <w:sz w:val="16"/>
          <w:szCs w:val="16"/>
        </w:rPr>
        <w:t>heart</w:t>
      </w:r>
      <w:proofErr w:type="spellEnd"/>
      <w:r w:rsidRPr="008C639D">
        <w:rPr>
          <w:rFonts w:ascii="Segoe UI" w:hAnsi="Segoe UI"/>
          <w:sz w:val="16"/>
          <w:szCs w:val="16"/>
        </w:rPr>
        <w:t xml:space="preserve"> </w:t>
      </w:r>
      <w:proofErr w:type="spellStart"/>
      <w:r w:rsidRPr="008C639D">
        <w:rPr>
          <w:rFonts w:ascii="Segoe UI" w:hAnsi="Segoe UI"/>
          <w:sz w:val="16"/>
          <w:szCs w:val="16"/>
        </w:rPr>
        <w:t>for</w:t>
      </w:r>
      <w:proofErr w:type="spellEnd"/>
      <w:r w:rsidRPr="008C639D">
        <w:rPr>
          <w:rFonts w:ascii="Segoe UI" w:hAnsi="Segoe UI"/>
          <w:sz w:val="16"/>
          <w:szCs w:val="16"/>
        </w:rPr>
        <w:t xml:space="preserve"> </w:t>
      </w:r>
      <w:proofErr w:type="spellStart"/>
      <w:r w:rsidRPr="008C639D">
        <w:rPr>
          <w:rFonts w:ascii="Segoe UI" w:hAnsi="Segoe UI"/>
          <w:sz w:val="16"/>
          <w:szCs w:val="16"/>
        </w:rPr>
        <w:t>the</w:t>
      </w:r>
      <w:proofErr w:type="spellEnd"/>
      <w:r w:rsidRPr="008C639D">
        <w:rPr>
          <w:rFonts w:ascii="Segoe UI" w:hAnsi="Segoe UI"/>
          <w:sz w:val="16"/>
          <w:szCs w:val="16"/>
        </w:rPr>
        <w:t xml:space="preserve"> </w:t>
      </w:r>
      <w:proofErr w:type="spellStart"/>
      <w:r w:rsidRPr="008C639D">
        <w:rPr>
          <w:rFonts w:ascii="Segoe UI" w:hAnsi="Segoe UI"/>
          <w:sz w:val="16"/>
          <w:szCs w:val="16"/>
        </w:rPr>
        <w:t>good</w:t>
      </w:r>
      <w:proofErr w:type="spellEnd"/>
      <w:r w:rsidRPr="008C639D">
        <w:rPr>
          <w:rFonts w:ascii="Segoe UI" w:hAnsi="Segoe UI"/>
          <w:sz w:val="16"/>
          <w:szCs w:val="16"/>
        </w:rPr>
        <w:t xml:space="preserve"> </w:t>
      </w:r>
      <w:proofErr w:type="spellStart"/>
      <w:r w:rsidRPr="008C639D">
        <w:rPr>
          <w:rFonts w:ascii="Segoe UI" w:hAnsi="Segoe UI"/>
          <w:sz w:val="16"/>
          <w:szCs w:val="16"/>
        </w:rPr>
        <w:t>of</w:t>
      </w:r>
      <w:proofErr w:type="spellEnd"/>
      <w:r w:rsidRPr="008C639D">
        <w:rPr>
          <w:rFonts w:ascii="Segoe UI" w:hAnsi="Segoe UI"/>
          <w:sz w:val="16"/>
          <w:szCs w:val="16"/>
        </w:rPr>
        <w:t xml:space="preserve"> </w:t>
      </w:r>
      <w:proofErr w:type="spellStart"/>
      <w:r w:rsidRPr="008C639D">
        <w:rPr>
          <w:rFonts w:ascii="Segoe UI" w:hAnsi="Segoe UI"/>
          <w:sz w:val="16"/>
          <w:szCs w:val="16"/>
        </w:rPr>
        <w:t>generations</w:t>
      </w:r>
      <w:proofErr w:type="spellEnd"/>
      <w:r>
        <w:rPr>
          <w:rFonts w:ascii="Segoe UI" w:hAnsi="Segoe UI"/>
          <w:sz w:val="16"/>
          <w:szCs w:val="16"/>
        </w:rPr>
        <w:t>»</w:t>
      </w:r>
      <w:r w:rsidRPr="008C639D">
        <w:rPr>
          <w:rFonts w:ascii="Segoe UI" w:hAnsi="Segoe UI"/>
          <w:sz w:val="16"/>
          <w:szCs w:val="16"/>
        </w:rPr>
        <w:t xml:space="preserve">. Більше інформації </w:t>
      </w:r>
      <w:r>
        <w:rPr>
          <w:rFonts w:ascii="Segoe UI" w:hAnsi="Segoe UI"/>
          <w:sz w:val="16"/>
          <w:szCs w:val="16"/>
        </w:rPr>
        <w:t xml:space="preserve">– </w:t>
      </w:r>
      <w:r w:rsidRPr="008C639D">
        <w:rPr>
          <w:rFonts w:ascii="Segoe UI" w:hAnsi="Segoe UI"/>
          <w:sz w:val="16"/>
          <w:szCs w:val="16"/>
        </w:rPr>
        <w:t xml:space="preserve">на сайті: </w:t>
      </w:r>
      <w:hyperlink r:id="rId12">
        <w:r w:rsidRPr="008C639D">
          <w:rPr>
            <w:rFonts w:ascii="Segoe UI" w:hAnsi="Segoe UI"/>
            <w:color w:val="0000FF"/>
            <w:sz w:val="16"/>
            <w:szCs w:val="16"/>
            <w:u w:val="single" w:color="0000FF"/>
          </w:rPr>
          <w:t>www.henkel.com</w:t>
        </w:r>
      </w:hyperlink>
    </w:p>
    <w:p w14:paraId="1D5F1F58" w14:textId="77777777" w:rsidR="003E3536" w:rsidRDefault="003E3536" w:rsidP="008E501D">
      <w:pPr>
        <w:spacing w:before="12"/>
        <w:rPr>
          <w:rFonts w:ascii="Segoe UI" w:eastAsia="Segoe UI" w:hAnsi="Segoe UI" w:cs="Segoe UI"/>
          <w:sz w:val="18"/>
          <w:szCs w:val="18"/>
          <w:lang w:val="ru-RU"/>
        </w:rPr>
      </w:pPr>
    </w:p>
    <w:p w14:paraId="5B93C12B" w14:textId="77777777" w:rsidR="00974B64" w:rsidRDefault="00974B64" w:rsidP="00974B64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4E6686F5" w14:textId="77777777" w:rsidR="00974B64" w:rsidRPr="00AB7332" w:rsidRDefault="00974B64" w:rsidP="00974B64">
      <w:pPr>
        <w:rPr>
          <w:rFonts w:cs="Segoe UI"/>
          <w:color w:val="000000"/>
          <w:sz w:val="18"/>
          <w:szCs w:val="18"/>
          <w:u w:val="single"/>
        </w:rPr>
      </w:pPr>
    </w:p>
    <w:p w14:paraId="4E5433E7" w14:textId="77777777" w:rsidR="00974B64" w:rsidRPr="00AB7332" w:rsidRDefault="00974B64" w:rsidP="00974B64">
      <w:pPr>
        <w:rPr>
          <w:rStyle w:val="AboutandContactBody"/>
          <w:rFonts w:cs="Segoe UI"/>
          <w:b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974B64" w:rsidRPr="00AB7332" w14:paraId="7B33582F" w14:textId="77777777" w:rsidTr="00D62F23">
        <w:trPr>
          <w:trHeight w:val="615"/>
        </w:trPr>
        <w:tc>
          <w:tcPr>
            <w:tcW w:w="4644" w:type="dxa"/>
          </w:tcPr>
          <w:p w14:paraId="0F580907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3F5EF86E" w14:textId="77777777" w:rsidR="00974B64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396D7837" w14:textId="77777777" w:rsidR="00974B64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37A9B12B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03FE9AA3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597F14CA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7B4D5E59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62297BC9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6C7EA6CF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51D23667" w14:textId="77777777" w:rsidR="00974B64" w:rsidRPr="00AB7332" w:rsidRDefault="00974B64" w:rsidP="00D62F23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3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087DFA25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63F2000E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55F91624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4FD342FC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76BDAA91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65456187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31BB64C4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7D157C2E" w14:textId="77777777" w:rsidR="00974B64" w:rsidRPr="00AB7332" w:rsidRDefault="00974B64" w:rsidP="00D62F23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3C49EDC4" w14:textId="77777777" w:rsidR="00974B64" w:rsidRPr="00AB7332" w:rsidRDefault="00974B64" w:rsidP="00D62F23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22E892FF" w14:textId="77777777" w:rsidR="003E3536" w:rsidRPr="00974B64" w:rsidRDefault="003E3536" w:rsidP="008E501D">
      <w:pPr>
        <w:spacing w:before="12"/>
        <w:rPr>
          <w:rFonts w:ascii="Segoe UI" w:eastAsia="Segoe UI" w:hAnsi="Segoe UI" w:cs="Segoe UI"/>
          <w:sz w:val="18"/>
          <w:szCs w:val="18"/>
        </w:rPr>
      </w:pPr>
    </w:p>
    <w:sectPr w:rsidR="003E3536" w:rsidRPr="00974B64" w:rsidSect="002357FB">
      <w:pgSz w:w="11910" w:h="16840" w:code="9"/>
      <w:pgMar w:top="1134" w:right="851" w:bottom="1134" w:left="1418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C050" w14:textId="77777777" w:rsidR="002357FB" w:rsidRDefault="002357FB">
      <w:r>
        <w:separator/>
      </w:r>
    </w:p>
  </w:endnote>
  <w:endnote w:type="continuationSeparator" w:id="0">
    <w:p w14:paraId="1446341E" w14:textId="77777777" w:rsidR="002357FB" w:rsidRDefault="0023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0FFC" w14:textId="77777777" w:rsidR="00DC2E63" w:rsidRDefault="00857F6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1760" behindDoc="1" locked="0" layoutInCell="1" allowOverlap="1" wp14:anchorId="43F60EB8" wp14:editId="519F9078">
              <wp:simplePos x="0" y="0"/>
              <wp:positionH relativeFrom="page">
                <wp:posOffset>6354445</wp:posOffset>
              </wp:positionH>
              <wp:positionV relativeFrom="page">
                <wp:posOffset>9997440</wp:posOffset>
              </wp:positionV>
              <wp:extent cx="324485" cy="101600"/>
              <wp:effectExtent l="0" t="0" r="0" b="0"/>
              <wp:wrapNone/>
              <wp:docPr id="4" name="1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8F5B1" w14:textId="77777777" w:rsidR="00DC2E63" w:rsidRDefault="00211314">
                          <w:pPr>
                            <w:spacing w:line="147" w:lineRule="exact"/>
                            <w:ind w:left="20"/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sz w:val="12"/>
                            </w:rPr>
                            <w:t>Стор</w:t>
                          </w:r>
                          <w:proofErr w:type="spellEnd"/>
                          <w:r>
                            <w:rPr>
                              <w:rFonts w:ascii="Segoe UI"/>
                              <w:sz w:val="12"/>
                            </w:rPr>
                            <w:t>. 1/3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3F60EB8" id="_x0000_t202" coordsize="21600,21600" o:spt="202" path="m,l,21600r21600,l21600,xe">
              <v:stroke joinstyle="miter"/>
              <v:path gradientshapeok="t" o:connecttype="rect"/>
            </v:shapetype>
            <v:shape id="1147" o:spid="_x0000_s1026" type="#_x0000_t202" style="position:absolute;margin-left:500.35pt;margin-top:787.2pt;width:25.55pt;height:8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" filled="f" stroked="f">
              <v:textbox inset="0,0,0,0">
                <w:txbxContent>
                  <w:p w14:paraId="4BB8F5B1" w14:textId="77777777" w:rsidR="00DC2E63" w:rsidRDefault="00211314">
                    <w:pPr>
                      <w:spacing w:line="147" w:lineRule="exact"/>
                      <w:ind w:left="20"/>
                      <w:rPr>
                        <w:rFonts w:ascii="Segoe UI" w:eastAsia="Segoe UI" w:hAnsi="Segoe UI" w:cs="Segoe UI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Segoe UI"/>
                        <w:sz w:val="12"/>
                      </w:rPr>
                      <w:t>Стор</w:t>
                    </w:r>
                    <w:proofErr w:type="spellEnd"/>
                    <w:r>
                      <w:rPr>
                        <w:rFonts w:ascii="Segoe UI"/>
                        <w:sz w:val="12"/>
                      </w:rPr>
                      <w:t>. 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D004" w14:textId="77777777" w:rsidR="00DC2E63" w:rsidRDefault="00857F6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1762D73" wp14:editId="5DBA7728">
              <wp:simplePos x="0" y="0"/>
              <wp:positionH relativeFrom="page">
                <wp:posOffset>883285</wp:posOffset>
              </wp:positionH>
              <wp:positionV relativeFrom="page">
                <wp:posOffset>9997440</wp:posOffset>
              </wp:positionV>
              <wp:extent cx="797560" cy="101600"/>
              <wp:effectExtent l="0" t="0" r="0" b="0"/>
              <wp:wrapNone/>
              <wp:docPr id="3" name="9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F07FC" w14:textId="77777777" w:rsidR="00DC2E63" w:rsidRDefault="00211314">
                          <w:pPr>
                            <w:spacing w:line="147" w:lineRule="exact"/>
                            <w:ind w:left="20"/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 xml:space="preserve">Henkel AG &amp; </w:t>
                          </w:r>
                          <w:proofErr w:type="spellStart"/>
                          <w:r>
                            <w:rPr>
                              <w:rFonts w:ascii="Segoe UI"/>
                              <w:sz w:val="12"/>
                            </w:rPr>
                            <w:t>Co</w:t>
                          </w:r>
                          <w:proofErr w:type="spellEnd"/>
                          <w:r>
                            <w:rPr>
                              <w:rFonts w:ascii="Segoe UI"/>
                              <w:sz w:val="12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egoe UI"/>
                              <w:sz w:val="12"/>
                            </w:rPr>
                            <w:t>KGaA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762D73" id="_x0000_t202" coordsize="21600,21600" o:spt="202" path="m,l,21600r21600,l21600,xe">
              <v:stroke joinstyle="miter"/>
              <v:path gradientshapeok="t" o:connecttype="rect"/>
            </v:shapetype>
            <v:shape id="955" o:spid="_x0000_s1027" type="#_x0000_t202" style="position:absolute;margin-left:69.55pt;margin-top:787.2pt;width:62.8pt;height:8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" filled="f" stroked="f">
              <v:textbox inset="0,0,0,0">
                <w:txbxContent>
                  <w:p w14:paraId="1DBF07FC" w14:textId="77777777" w:rsidR="00DC2E63" w:rsidRDefault="00211314">
                    <w:pPr>
                      <w:spacing w:line="147" w:lineRule="exact"/>
                      <w:ind w:left="20"/>
                      <w:rPr>
                        <w:rFonts w:ascii="Segoe UI" w:eastAsia="Segoe UI" w:hAnsi="Segoe UI" w:cs="Segoe UI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Segoe UI"/>
                        <w:sz w:val="12"/>
                      </w:rPr>
                      <w:t>Henkel</w:t>
                    </w:r>
                    <w:proofErr w:type="spellEnd"/>
                    <w:r>
                      <w:rPr>
                        <w:rFonts w:ascii="Segoe UI"/>
                        <w:sz w:val="12"/>
                      </w:rPr>
                      <w:t xml:space="preserve"> AG &amp; </w:t>
                    </w:r>
                    <w:proofErr w:type="spellStart"/>
                    <w:r>
                      <w:rPr>
                        <w:rFonts w:ascii="Segoe UI"/>
                        <w:sz w:val="12"/>
                      </w:rPr>
                      <w:t>Co</w:t>
                    </w:r>
                    <w:proofErr w:type="spellEnd"/>
                    <w:r>
                      <w:rPr>
                        <w:rFonts w:ascii="Segoe UI"/>
                        <w:sz w:val="12"/>
                      </w:rPr>
                      <w:t xml:space="preserve">. </w:t>
                    </w:r>
                    <w:proofErr w:type="spellStart"/>
                    <w:r>
                      <w:rPr>
                        <w:rFonts w:ascii="Segoe UI"/>
                        <w:sz w:val="12"/>
                      </w:rPr>
                      <w:t>KGaA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557A2667" wp14:editId="4A201456">
              <wp:simplePos x="0" y="0"/>
              <wp:positionH relativeFrom="page">
                <wp:posOffset>6344920</wp:posOffset>
              </wp:positionH>
              <wp:positionV relativeFrom="page">
                <wp:posOffset>9997440</wp:posOffset>
              </wp:positionV>
              <wp:extent cx="324485" cy="101600"/>
              <wp:effectExtent l="0" t="0" r="0" b="0"/>
              <wp:wrapNone/>
              <wp:docPr id="2" name="2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DC3C2" w14:textId="77777777" w:rsidR="00DC2E63" w:rsidRDefault="00211314">
                          <w:pPr>
                            <w:spacing w:line="147" w:lineRule="exact"/>
                            <w:ind w:left="20"/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sz w:val="12"/>
                            </w:rPr>
                            <w:t>Стор</w:t>
                          </w:r>
                          <w:proofErr w:type="spellEnd"/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 w:rsidR="00580AA6">
                            <w:fldChar w:fldCharType="begin"/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instrText xml:space="preserve"> PAGE </w:instrText>
                          </w:r>
                          <w:r w:rsidR="00580AA6">
                            <w:fldChar w:fldCharType="separate"/>
                          </w:r>
                          <w:r w:rsidR="00661134">
                            <w:rPr>
                              <w:rFonts w:ascii="Segoe UI"/>
                              <w:noProof/>
                              <w:sz w:val="12"/>
                            </w:rPr>
                            <w:t>3</w:t>
                          </w:r>
                          <w:r w:rsidR="00580AA6">
                            <w:fldChar w:fldCharType="end"/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57A2667" id="2609" o:spid="_x0000_s1028" type="#_x0000_t202" style="position:absolute;margin-left:499.6pt;margin-top:787.2pt;width:25.55pt;height:8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" filled="f" stroked="f">
              <v:textbox inset="0,0,0,0">
                <w:txbxContent>
                  <w:p w14:paraId="176DC3C2" w14:textId="77777777" w:rsidR="00DC2E63" w:rsidRDefault="00211314">
                    <w:pPr>
                      <w:spacing w:line="147" w:lineRule="exact"/>
                      <w:ind w:left="20"/>
                      <w:rPr>
                        <w:rFonts w:ascii="Segoe UI" w:eastAsia="Segoe UI" w:hAnsi="Segoe UI" w:cs="Segoe UI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Segoe UI"/>
                        <w:sz w:val="12"/>
                      </w:rPr>
                      <w:t>Стор</w:t>
                    </w:r>
                    <w:proofErr w:type="spellEnd"/>
                    <w:r>
                      <w:rPr>
                        <w:rFonts w:ascii="Segoe UI"/>
                        <w:sz w:val="12"/>
                      </w:rPr>
                      <w:t xml:space="preserve"> </w:t>
                    </w:r>
                    <w:r w:rsidR="00580AA6">
                      <w:fldChar w:fldCharType="begin"/>
                    </w:r>
                    <w:r>
                      <w:rPr>
                        <w:rFonts w:ascii="Segoe UI"/>
                        <w:sz w:val="12"/>
                      </w:rPr>
                      <w:instrText xml:space="preserve"> PAGE </w:instrText>
                    </w:r>
                    <w:r w:rsidR="00580AA6">
                      <w:fldChar w:fldCharType="separate"/>
                    </w:r>
                    <w:r w:rsidR="00661134">
                      <w:rPr>
                        <w:rFonts w:ascii="Segoe UI"/>
                        <w:noProof/>
                        <w:sz w:val="12"/>
                      </w:rPr>
                      <w:t>3</w:t>
                    </w:r>
                    <w:r w:rsidR="00580AA6">
                      <w:fldChar w:fldCharType="end"/>
                    </w:r>
                    <w:r>
                      <w:rPr>
                        <w:rFonts w:ascii="Segoe UI"/>
                        <w:sz w:val="12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E5A0" w14:textId="77777777" w:rsidR="002357FB" w:rsidRDefault="002357FB">
      <w:r>
        <w:separator/>
      </w:r>
    </w:p>
  </w:footnote>
  <w:footnote w:type="continuationSeparator" w:id="0">
    <w:p w14:paraId="05521284" w14:textId="77777777" w:rsidR="002357FB" w:rsidRDefault="0023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B35"/>
    <w:multiLevelType w:val="hybridMultilevel"/>
    <w:tmpl w:val="84EAA3A6"/>
    <w:lvl w:ilvl="0" w:tplc="935CC618">
      <w:start w:val="1"/>
      <w:numFmt w:val="bullet"/>
      <w:lvlText w:val="▪"/>
      <w:lvlJc w:val="left"/>
      <w:pPr>
        <w:ind w:left="831" w:hanging="358"/>
      </w:pPr>
      <w:rPr>
        <w:rFonts w:ascii="Microsoft Sans Serif" w:eastAsia="Microsoft Sans Serif" w:hAnsi="Microsoft Sans Serif" w:hint="default"/>
        <w:color w:val="E0000F"/>
        <w:w w:val="129"/>
        <w:sz w:val="22"/>
        <w:szCs w:val="22"/>
      </w:rPr>
    </w:lvl>
    <w:lvl w:ilvl="1" w:tplc="1EB206F0">
      <w:start w:val="1"/>
      <w:numFmt w:val="bullet"/>
      <w:lvlText w:val="▪"/>
      <w:lvlJc w:val="left"/>
      <w:pPr>
        <w:ind w:left="1540" w:hanging="360"/>
      </w:pPr>
      <w:rPr>
        <w:rFonts w:ascii="Microsoft Sans Serif" w:eastAsia="Microsoft Sans Serif" w:hAnsi="Microsoft Sans Serif" w:hint="default"/>
        <w:color w:val="E0000F"/>
        <w:w w:val="129"/>
        <w:sz w:val="22"/>
        <w:szCs w:val="22"/>
      </w:rPr>
    </w:lvl>
    <w:lvl w:ilvl="2" w:tplc="60A657F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75BC4DB0">
      <w:start w:val="1"/>
      <w:numFmt w:val="bullet"/>
      <w:lvlText w:val="•"/>
      <w:lvlJc w:val="left"/>
      <w:pPr>
        <w:ind w:left="2574" w:hanging="360"/>
      </w:pPr>
      <w:rPr>
        <w:rFonts w:hint="default"/>
      </w:rPr>
    </w:lvl>
    <w:lvl w:ilvl="4" w:tplc="DDA6CCF6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5" w:tplc="A70603FE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7784812E">
      <w:start w:val="1"/>
      <w:numFmt w:val="bullet"/>
      <w:lvlText w:val="•"/>
      <w:lvlJc w:val="left"/>
      <w:pPr>
        <w:ind w:left="5674" w:hanging="360"/>
      </w:pPr>
      <w:rPr>
        <w:rFonts w:hint="default"/>
      </w:rPr>
    </w:lvl>
    <w:lvl w:ilvl="7" w:tplc="22C6737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BE94DD80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 w16cid:durableId="35673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63"/>
    <w:rsid w:val="001166E7"/>
    <w:rsid w:val="001A0DE1"/>
    <w:rsid w:val="00211314"/>
    <w:rsid w:val="002357FB"/>
    <w:rsid w:val="002654B1"/>
    <w:rsid w:val="00293EDB"/>
    <w:rsid w:val="0030163F"/>
    <w:rsid w:val="003E3536"/>
    <w:rsid w:val="00580AA6"/>
    <w:rsid w:val="00640C19"/>
    <w:rsid w:val="00661134"/>
    <w:rsid w:val="006B2B91"/>
    <w:rsid w:val="007048AC"/>
    <w:rsid w:val="00775E1B"/>
    <w:rsid w:val="007908E2"/>
    <w:rsid w:val="007C0A88"/>
    <w:rsid w:val="00857F61"/>
    <w:rsid w:val="008E501D"/>
    <w:rsid w:val="00974B64"/>
    <w:rsid w:val="00A97E2C"/>
    <w:rsid w:val="00BE055A"/>
    <w:rsid w:val="00CA4D24"/>
    <w:rsid w:val="00DC2E63"/>
    <w:rsid w:val="00DD7F4B"/>
    <w:rsid w:val="00DF09C0"/>
    <w:rsid w:val="00F53448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DEBBE"/>
  <w15:docId w15:val="{5A0FE8F4-A83A-411F-BFF9-E48127C8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80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80AA6"/>
    <w:pPr>
      <w:ind w:left="111"/>
    </w:pPr>
    <w:rPr>
      <w:rFonts w:ascii="Segoe UI" w:eastAsia="Segoe UI" w:hAnsi="Segoe UI"/>
    </w:rPr>
  </w:style>
  <w:style w:type="paragraph" w:styleId="ListParagraph">
    <w:name w:val="List Paragraph"/>
    <w:basedOn w:val="Normal"/>
    <w:uiPriority w:val="1"/>
    <w:qFormat/>
    <w:rsid w:val="00580AA6"/>
  </w:style>
  <w:style w:type="paragraph" w:customStyle="1" w:styleId="TableParagraph">
    <w:name w:val="Table Paragraph"/>
    <w:basedOn w:val="Normal"/>
    <w:uiPriority w:val="1"/>
    <w:qFormat/>
    <w:rsid w:val="00580AA6"/>
  </w:style>
  <w:style w:type="paragraph" w:styleId="BalloonText">
    <w:name w:val="Balloon Text"/>
    <w:basedOn w:val="Normal"/>
    <w:link w:val="BalloonTextChar"/>
    <w:uiPriority w:val="99"/>
    <w:semiHidden/>
    <w:unhideWhenUsed/>
    <w:rsid w:val="008E5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1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026D"/>
    <w:pPr>
      <w:widowControl/>
    </w:pPr>
  </w:style>
  <w:style w:type="character" w:styleId="Hyperlink">
    <w:name w:val="Hyperlink"/>
    <w:basedOn w:val="DefaultParagraphFont"/>
    <w:uiPriority w:val="99"/>
    <w:rsid w:val="00974B64"/>
    <w:rPr>
      <w:rFonts w:ascii="Segoe UI" w:hAnsi="Segoe UI" w:cs="Times New Roman"/>
      <w:color w:val="0000FF"/>
      <w:sz w:val="18"/>
      <w:u w:val="single"/>
    </w:rPr>
  </w:style>
  <w:style w:type="character" w:customStyle="1" w:styleId="AboutandContactBody">
    <w:name w:val="About and Contact Body"/>
    <w:basedOn w:val="DefaultParagraphFont"/>
    <w:rsid w:val="00974B64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lena.androschuk@henk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nkel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.khmara@pr-service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F62E-2D41-46C4-9865-42EF784B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6800</Characters>
  <Application>Microsoft Office Word</Application>
  <DocSecurity>0</DocSecurity>
  <Lines>147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News Release - Raised Outlook FY 2024</vt:lpstr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- Raised Outlook FY 2024</dc:title>
  <dc:creator>Henkel AG &amp; Co. KGaA</dc:creator>
  <cp:lastModifiedBy>Elena Androschuk</cp:lastModifiedBy>
  <cp:revision>4</cp:revision>
  <dcterms:created xsi:type="dcterms:W3CDTF">2024-05-09T07:28:00Z</dcterms:created>
  <dcterms:modified xsi:type="dcterms:W3CDTF">2024-05-13T09:44:00Z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2024-05-06T00:00:00Z</vt:filetime>
  </property>
  <property fmtid="{D5CDD505-2E9C-101B-9397-08002B2CF9AE}" pid="4" name="GrammarlyDocumentId">
    <vt:lpwstr>0b3300f65a6daa32027b5ce85d414e83409064af282f1bc0ab7cfb902ce2259d</vt:lpwstr>
  </property>
</Properties>
</file>