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3AD01F07" w:rsidR="00B422EC" w:rsidRPr="00B71239" w:rsidRDefault="00414F58" w:rsidP="00643D8A">
      <w:pPr>
        <w:pStyle w:val="MonthDayYear"/>
        <w:rPr>
          <w:lang w:val="sk-SK"/>
        </w:rPr>
      </w:pPr>
      <w:r>
        <w:rPr>
          <w:lang w:val="sk-SK"/>
        </w:rPr>
        <w:t>3</w:t>
      </w:r>
      <w:r w:rsidR="00514611">
        <w:rPr>
          <w:lang w:val="sk-SK"/>
        </w:rPr>
        <w:t>. m</w:t>
      </w:r>
      <w:r>
        <w:rPr>
          <w:lang w:val="sk-SK"/>
        </w:rPr>
        <w:t>áj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3A48AE8A" w14:textId="77777777" w:rsidR="00C4215D" w:rsidRPr="00133ECF" w:rsidRDefault="00C4215D" w:rsidP="00C4215D">
      <w:pPr>
        <w:pStyle w:val="Topline"/>
        <w:spacing w:after="360"/>
        <w:rPr>
          <w:rFonts w:asciiTheme="majorHAnsi" w:hAnsiTheme="majorHAnsi" w:cs="Aptos Display"/>
          <w:lang w:val="sk-SK"/>
        </w:rPr>
      </w:pPr>
      <w:r w:rsidRPr="00F03580">
        <w:rPr>
          <w:rFonts w:asciiTheme="majorHAnsi" w:hAnsiTheme="majorHAnsi" w:cs="Aptos Display"/>
          <w:lang w:val="sk-SK" w:bidi="bo-CN"/>
        </w:rPr>
        <w:t>Výborný začiatok finančného roka</w:t>
      </w:r>
    </w:p>
    <w:p w14:paraId="76AD0789" w14:textId="6FC74064" w:rsidR="007F0F63" w:rsidRPr="002543CB" w:rsidRDefault="002543CB" w:rsidP="002543CB">
      <w:pPr>
        <w:jc w:val="left"/>
        <w:rPr>
          <w:rStyle w:val="Headline"/>
          <w:rFonts w:asciiTheme="majorHAnsi" w:hAnsiTheme="majorHAnsi" w:cs="Aptos Display"/>
          <w:lang w:val="sk-SK"/>
        </w:rPr>
      </w:pPr>
      <w:r w:rsidRPr="00F03580">
        <w:rPr>
          <w:rStyle w:val="Headline"/>
          <w:rFonts w:asciiTheme="majorHAnsi" w:hAnsiTheme="majorHAnsi" w:cs="Aptos Display"/>
          <w:lang w:val="sk-SK" w:bidi="bo-CN"/>
        </w:rPr>
        <w:t>Spoločnosť Henkel zvýšila odhad obratu a výnosov na rok 2024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44A30346" w14:textId="77777777" w:rsidR="001C5728" w:rsidRPr="00133ECF" w:rsidRDefault="001C5728" w:rsidP="001C5728">
      <w:pPr>
        <w:rPr>
          <w:rFonts w:cs="Segoe UI"/>
          <w:szCs w:val="22"/>
          <w:lang w:val="sk-SK"/>
        </w:rPr>
      </w:pPr>
      <w:proofErr w:type="spellStart"/>
      <w:r w:rsidRPr="00F03580">
        <w:rPr>
          <w:rFonts w:cs="Segoe UI"/>
          <w:szCs w:val="22"/>
          <w:lang w:val="sk-SK" w:bidi="bo-CN"/>
        </w:rPr>
        <w:t>Düsseldorf</w:t>
      </w:r>
      <w:proofErr w:type="spellEnd"/>
      <w:r w:rsidRPr="00F03580">
        <w:rPr>
          <w:rFonts w:cs="Segoe UI"/>
          <w:szCs w:val="22"/>
          <w:lang w:val="sk-SK" w:bidi="bo-CN"/>
        </w:rPr>
        <w:t xml:space="preserve"> – Vzhľadom na veľmi dobré doterajšie obchodné výsledky počas tohto roka a na základe predpokladov na jeho zvyšnú časť predstavenstvo spoločnosti Henkel AG &amp; Co.</w:t>
      </w:r>
      <w:r w:rsidRPr="00133ECF">
        <w:rPr>
          <w:rFonts w:cs="Segoe UI"/>
          <w:szCs w:val="22"/>
          <w:lang w:val="sk-SK"/>
        </w:rPr>
        <w:t xml:space="preserve"> </w:t>
      </w:r>
      <w:proofErr w:type="spellStart"/>
      <w:r w:rsidRPr="00F03580">
        <w:rPr>
          <w:rFonts w:cs="Segoe UI"/>
          <w:szCs w:val="22"/>
          <w:lang w:val="sk-SK" w:bidi="bo-CN"/>
        </w:rPr>
        <w:t>KGaA</w:t>
      </w:r>
      <w:proofErr w:type="spellEnd"/>
      <w:r w:rsidRPr="00F03580">
        <w:rPr>
          <w:rFonts w:cs="Segoe UI"/>
          <w:szCs w:val="22"/>
          <w:lang w:val="sk-SK" w:bidi="bo-CN"/>
        </w:rPr>
        <w:t xml:space="preserve"> dnes prijalo rozhodnutie o zlepšení výhľadu na aktuálny finančný rok v porovnaní s údajmi zverejnenými začiatkom marca.</w:t>
      </w:r>
    </w:p>
    <w:p w14:paraId="3CC165F4" w14:textId="77777777" w:rsidR="001C5728" w:rsidRPr="00F03580" w:rsidRDefault="001C5728" w:rsidP="001C5728">
      <w:pPr>
        <w:rPr>
          <w:rStyle w:val="AboutandContactHeadline"/>
          <w:szCs w:val="22"/>
          <w:lang w:val="sk-SK"/>
        </w:rPr>
      </w:pPr>
    </w:p>
    <w:p w14:paraId="62710D17" w14:textId="77777777" w:rsidR="001C5728" w:rsidRPr="00133ECF" w:rsidRDefault="001C5728" w:rsidP="001C5728">
      <w:pPr>
        <w:rPr>
          <w:rFonts w:cs="Arial"/>
          <w:szCs w:val="22"/>
          <w:lang w:val="sk-SK"/>
        </w:rPr>
      </w:pPr>
      <w:r w:rsidRPr="00F03580">
        <w:rPr>
          <w:rFonts w:cs="Arial"/>
          <w:szCs w:val="22"/>
          <w:lang w:val="sk-SK" w:bidi="bo-CN"/>
        </w:rPr>
        <w:t>Spoločnosť zvýšila svoje očakávania tak v prípade obratu, ako aj výnosov:</w:t>
      </w:r>
    </w:p>
    <w:p w14:paraId="26102830" w14:textId="77777777" w:rsidR="001C5728" w:rsidRPr="00F03580" w:rsidRDefault="001C5728" w:rsidP="001C5728">
      <w:pPr>
        <w:rPr>
          <w:rFonts w:cs="Arial"/>
          <w:szCs w:val="22"/>
          <w:lang w:val="sk-SK"/>
        </w:rPr>
      </w:pPr>
    </w:p>
    <w:p w14:paraId="54E28471" w14:textId="77777777" w:rsidR="001C5728" w:rsidRPr="00133ECF" w:rsidRDefault="001C5728" w:rsidP="001C5728">
      <w:pPr>
        <w:pStyle w:val="He01FlietextAufzhlung1Ebene"/>
        <w:numPr>
          <w:ilvl w:val="0"/>
          <w:numId w:val="17"/>
        </w:numPr>
        <w:spacing w:after="120"/>
        <w:ind w:left="720" w:hanging="357"/>
        <w:rPr>
          <w:b/>
          <w:bCs/>
          <w:lang w:val="sk-SK"/>
        </w:rPr>
      </w:pPr>
      <w:r w:rsidRPr="00F03580">
        <w:rPr>
          <w:b/>
          <w:bCs/>
          <w:lang w:val="sk-SK" w:bidi="bo-CN"/>
        </w:rPr>
        <w:t>Organický rast obratu:</w:t>
      </w:r>
      <w:r w:rsidRPr="00133ECF">
        <w:rPr>
          <w:b/>
          <w:bCs/>
          <w:lang w:val="sk-SK"/>
        </w:rPr>
        <w:t xml:space="preserve"> </w:t>
      </w:r>
      <w:r w:rsidRPr="00F03580">
        <w:rPr>
          <w:lang w:val="sk-SK" w:bidi="bo-CN"/>
        </w:rPr>
        <w:t>2,5 až 4,5 % (predtým: 2,0 až 4,0 %)</w:t>
      </w:r>
    </w:p>
    <w:p w14:paraId="10FFB613" w14:textId="77777777" w:rsidR="001C5728" w:rsidRPr="00133ECF" w:rsidRDefault="001C5728" w:rsidP="001C5728">
      <w:pPr>
        <w:pStyle w:val="Odsekzoznamu"/>
        <w:numPr>
          <w:ilvl w:val="0"/>
          <w:numId w:val="18"/>
        </w:numPr>
        <w:spacing w:after="120"/>
        <w:rPr>
          <w:lang w:val="sk-SK"/>
        </w:rPr>
      </w:pPr>
      <w:proofErr w:type="spellStart"/>
      <w:r w:rsidRPr="00F03580">
        <w:rPr>
          <w:lang w:val="sk-SK" w:bidi="bo-CN"/>
        </w:rPr>
        <w:t>Adhesive</w:t>
      </w:r>
      <w:proofErr w:type="spellEnd"/>
      <w:r w:rsidRPr="00F03580">
        <w:rPr>
          <w:lang w:val="sk-SK" w:bidi="bo-CN"/>
        </w:rPr>
        <w:t xml:space="preserve"> Technologies:</w:t>
      </w:r>
      <w:r w:rsidRPr="00133ECF">
        <w:rPr>
          <w:lang w:val="sk-SK"/>
        </w:rPr>
        <w:t xml:space="preserve"> </w:t>
      </w:r>
      <w:r w:rsidRPr="00F03580">
        <w:rPr>
          <w:lang w:val="sk-SK" w:bidi="bo-CN"/>
        </w:rPr>
        <w:t>2,0 až 4,0 % (nezmenené)</w:t>
      </w:r>
    </w:p>
    <w:p w14:paraId="3CF8B445" w14:textId="77777777" w:rsidR="001C5728" w:rsidRPr="00133ECF" w:rsidRDefault="001C5728" w:rsidP="001C5728">
      <w:pPr>
        <w:pStyle w:val="Odsekzoznamu"/>
        <w:numPr>
          <w:ilvl w:val="0"/>
          <w:numId w:val="18"/>
        </w:numPr>
        <w:spacing w:after="120"/>
        <w:rPr>
          <w:lang w:val="sk-SK"/>
        </w:rPr>
      </w:pPr>
      <w:proofErr w:type="spellStart"/>
      <w:r w:rsidRPr="00F03580">
        <w:rPr>
          <w:lang w:val="sk-SK" w:bidi="bo-CN"/>
        </w:rPr>
        <w:t>Consumer</w:t>
      </w:r>
      <w:proofErr w:type="spellEnd"/>
      <w:r w:rsidRPr="00F03580">
        <w:rPr>
          <w:lang w:val="sk-SK" w:bidi="bo-CN"/>
        </w:rPr>
        <w:t xml:space="preserve"> </w:t>
      </w:r>
      <w:proofErr w:type="spellStart"/>
      <w:r w:rsidRPr="00F03580">
        <w:rPr>
          <w:lang w:val="sk-SK" w:bidi="bo-CN"/>
        </w:rPr>
        <w:t>Brands</w:t>
      </w:r>
      <w:proofErr w:type="spellEnd"/>
      <w:r w:rsidRPr="00F03580">
        <w:rPr>
          <w:lang w:val="sk-SK" w:bidi="bo-CN"/>
        </w:rPr>
        <w:t>:</w:t>
      </w:r>
      <w:r w:rsidRPr="00133ECF">
        <w:rPr>
          <w:lang w:val="sk-SK"/>
        </w:rPr>
        <w:t xml:space="preserve"> </w:t>
      </w:r>
      <w:r w:rsidRPr="00F03580">
        <w:rPr>
          <w:lang w:val="sk-SK" w:bidi="bo-CN"/>
        </w:rPr>
        <w:t>3,0 až 5,0 % (predtým: 2,0 až 4,0 %)</w:t>
      </w:r>
    </w:p>
    <w:p w14:paraId="2C288BD7" w14:textId="77777777" w:rsidR="001C5728" w:rsidRPr="00133ECF" w:rsidRDefault="001C5728" w:rsidP="001C5728">
      <w:pPr>
        <w:pStyle w:val="He01FlietextAufzhlung1Ebene"/>
        <w:numPr>
          <w:ilvl w:val="0"/>
          <w:numId w:val="17"/>
        </w:numPr>
        <w:spacing w:after="120"/>
        <w:ind w:left="720" w:hanging="357"/>
        <w:rPr>
          <w:b/>
          <w:bCs/>
          <w:lang w:val="sk-SK"/>
        </w:rPr>
      </w:pPr>
      <w:r w:rsidRPr="00F03580">
        <w:rPr>
          <w:b/>
          <w:bCs/>
          <w:lang w:val="sk-SK" w:bidi="bo-CN"/>
        </w:rPr>
        <w:t>Upravená výnosnosť predaja:</w:t>
      </w:r>
      <w:r w:rsidRPr="00133ECF">
        <w:rPr>
          <w:b/>
          <w:bCs/>
          <w:lang w:val="sk-SK"/>
        </w:rPr>
        <w:t xml:space="preserve"> </w:t>
      </w:r>
      <w:r w:rsidRPr="00F03580">
        <w:rPr>
          <w:lang w:val="sk-SK" w:bidi="bo-CN"/>
        </w:rPr>
        <w:t>13,0 až 14,0 % (predtým: 12,0 až 13,5 %)</w:t>
      </w:r>
    </w:p>
    <w:p w14:paraId="2A89899A" w14:textId="77777777" w:rsidR="001C5728" w:rsidRPr="00133ECF" w:rsidRDefault="001C5728" w:rsidP="001C5728">
      <w:pPr>
        <w:pStyle w:val="Odsekzoznamu"/>
        <w:numPr>
          <w:ilvl w:val="0"/>
          <w:numId w:val="18"/>
        </w:numPr>
        <w:spacing w:after="120"/>
        <w:rPr>
          <w:lang w:val="sk-SK"/>
        </w:rPr>
      </w:pPr>
      <w:proofErr w:type="spellStart"/>
      <w:r w:rsidRPr="00F03580">
        <w:rPr>
          <w:lang w:val="sk-SK" w:bidi="bo-CN"/>
        </w:rPr>
        <w:t>Adhesive</w:t>
      </w:r>
      <w:proofErr w:type="spellEnd"/>
      <w:r w:rsidRPr="00F03580">
        <w:rPr>
          <w:lang w:val="sk-SK" w:bidi="bo-CN"/>
        </w:rPr>
        <w:t xml:space="preserve"> Technologies:</w:t>
      </w:r>
      <w:r w:rsidRPr="00133ECF">
        <w:rPr>
          <w:lang w:val="sk-SK"/>
        </w:rPr>
        <w:t xml:space="preserve"> </w:t>
      </w:r>
      <w:r w:rsidRPr="00F03580">
        <w:rPr>
          <w:lang w:val="sk-SK" w:bidi="bo-CN"/>
        </w:rPr>
        <w:t>16,0 až 17,0 % (predtým: 15,0 až 16,5 %)</w:t>
      </w:r>
    </w:p>
    <w:p w14:paraId="7970B242" w14:textId="77777777" w:rsidR="001C5728" w:rsidRPr="00133ECF" w:rsidRDefault="001C5728" w:rsidP="001C5728">
      <w:pPr>
        <w:pStyle w:val="Odsekzoznamu"/>
        <w:numPr>
          <w:ilvl w:val="0"/>
          <w:numId w:val="18"/>
        </w:numPr>
        <w:spacing w:after="120"/>
        <w:rPr>
          <w:lang w:val="sk-SK"/>
        </w:rPr>
      </w:pPr>
      <w:proofErr w:type="spellStart"/>
      <w:r w:rsidRPr="00F03580">
        <w:rPr>
          <w:lang w:val="sk-SK" w:bidi="bo-CN"/>
        </w:rPr>
        <w:t>Consumer</w:t>
      </w:r>
      <w:proofErr w:type="spellEnd"/>
      <w:r w:rsidRPr="00F03580">
        <w:rPr>
          <w:lang w:val="sk-SK" w:bidi="bo-CN"/>
        </w:rPr>
        <w:t xml:space="preserve"> </w:t>
      </w:r>
      <w:proofErr w:type="spellStart"/>
      <w:r w:rsidRPr="00F03580">
        <w:rPr>
          <w:lang w:val="sk-SK" w:bidi="bo-CN"/>
        </w:rPr>
        <w:t>Brands</w:t>
      </w:r>
      <w:proofErr w:type="spellEnd"/>
      <w:r w:rsidRPr="00F03580">
        <w:rPr>
          <w:lang w:val="sk-SK" w:bidi="bo-CN"/>
        </w:rPr>
        <w:t>:</w:t>
      </w:r>
      <w:r w:rsidRPr="00133ECF">
        <w:rPr>
          <w:lang w:val="sk-SK"/>
        </w:rPr>
        <w:t xml:space="preserve"> </w:t>
      </w:r>
      <w:r w:rsidRPr="00F03580">
        <w:rPr>
          <w:lang w:val="sk-SK" w:bidi="bo-CN"/>
        </w:rPr>
        <w:t>12,0 až 13,0 % (predtým: 11,0 až 12,5 %)</w:t>
      </w:r>
    </w:p>
    <w:p w14:paraId="73737B98" w14:textId="77777777" w:rsidR="001C5728" w:rsidRPr="00133ECF" w:rsidRDefault="001C5728" w:rsidP="001C5728">
      <w:pPr>
        <w:pStyle w:val="He01FlietextAufzhlung1Ebene"/>
        <w:numPr>
          <w:ilvl w:val="0"/>
          <w:numId w:val="17"/>
        </w:numPr>
        <w:spacing w:after="120"/>
        <w:ind w:left="720" w:hanging="357"/>
        <w:rPr>
          <w:b/>
          <w:bCs/>
          <w:lang w:val="sk-SK"/>
        </w:rPr>
      </w:pPr>
      <w:r w:rsidRPr="00F03580">
        <w:rPr>
          <w:b/>
          <w:bCs/>
          <w:lang w:val="sk-SK" w:bidi="bo-CN"/>
        </w:rPr>
        <w:t>Upravený výnos na prioritnú akciu (EPS):</w:t>
      </w:r>
      <w:r w:rsidRPr="00133ECF">
        <w:rPr>
          <w:b/>
          <w:bCs/>
          <w:lang w:val="sk-SK"/>
        </w:rPr>
        <w:t xml:space="preserve"> </w:t>
      </w:r>
      <w:r w:rsidRPr="00F03580">
        <w:rPr>
          <w:lang w:val="sk-SK" w:bidi="bo-CN"/>
        </w:rPr>
        <w:t>rast v rozsahu 15 až 25 % pri konštantných kurzových sadzbách (predtým: 5 až 20 %)</w:t>
      </w:r>
    </w:p>
    <w:p w14:paraId="30596C88" w14:textId="77777777" w:rsidR="001C5728" w:rsidRPr="00F03580" w:rsidRDefault="001C5728" w:rsidP="001C5728">
      <w:pPr>
        <w:spacing w:line="240" w:lineRule="auto"/>
        <w:jc w:val="left"/>
        <w:rPr>
          <w:rFonts w:eastAsia="PMingLiU"/>
          <w:b/>
          <w:bCs/>
          <w:szCs w:val="22"/>
          <w:lang w:val="sk-SK"/>
        </w:rPr>
      </w:pPr>
    </w:p>
    <w:p w14:paraId="71A5700D" w14:textId="50653D82" w:rsidR="001C5728" w:rsidRPr="00F03580" w:rsidRDefault="001C5728" w:rsidP="001C5728">
      <w:pPr>
        <w:rPr>
          <w:rFonts w:cs="Segoe UI"/>
          <w:szCs w:val="22"/>
          <w:lang w:val="sk-SK"/>
        </w:rPr>
      </w:pPr>
      <w:r w:rsidRPr="00E415A7">
        <w:rPr>
          <w:rFonts w:cs="Segoe UI"/>
          <w:i/>
          <w:iCs/>
          <w:szCs w:val="22"/>
          <w:lang w:val="sk-SK" w:bidi="bo-CN"/>
        </w:rPr>
        <w:t>„Veľmi dobrý začiatok roka a dnešné zvýšenie celoročného výhľadu sú jasným dôkazom, že sme na správnej ceste k ďalšiemu rastu.</w:t>
      </w:r>
      <w:r w:rsidRPr="00E415A7">
        <w:rPr>
          <w:rFonts w:cs="Segoe UI"/>
          <w:i/>
          <w:iCs/>
          <w:szCs w:val="22"/>
          <w:lang w:val="sk-SK"/>
        </w:rPr>
        <w:t xml:space="preserve"> </w:t>
      </w:r>
      <w:r w:rsidRPr="00E415A7">
        <w:rPr>
          <w:rFonts w:cs="Segoe UI"/>
          <w:i/>
          <w:iCs/>
          <w:szCs w:val="22"/>
          <w:lang w:val="sk-SK" w:bidi="bo-CN"/>
        </w:rPr>
        <w:t>Vždy kladieme dôraz na plnenie svojich cieľov.</w:t>
      </w:r>
      <w:r w:rsidRPr="00E415A7">
        <w:rPr>
          <w:rFonts w:cs="Segoe UI"/>
          <w:i/>
          <w:iCs/>
          <w:szCs w:val="22"/>
          <w:lang w:val="sk-SK"/>
        </w:rPr>
        <w:t xml:space="preserve"> </w:t>
      </w:r>
      <w:r w:rsidRPr="00E415A7">
        <w:rPr>
          <w:rFonts w:cs="Segoe UI"/>
          <w:i/>
          <w:iCs/>
          <w:szCs w:val="22"/>
          <w:lang w:val="sk-SK" w:bidi="bo-CN"/>
        </w:rPr>
        <w:t>A presne to robíme.</w:t>
      </w:r>
      <w:r w:rsidRPr="00E415A7">
        <w:rPr>
          <w:rFonts w:cs="Segoe UI"/>
          <w:i/>
          <w:iCs/>
          <w:szCs w:val="22"/>
          <w:lang w:val="sk-SK"/>
        </w:rPr>
        <w:t xml:space="preserve"> </w:t>
      </w:r>
      <w:r w:rsidRPr="00E415A7">
        <w:rPr>
          <w:rFonts w:cs="Segoe UI"/>
          <w:i/>
          <w:iCs/>
          <w:szCs w:val="22"/>
          <w:lang w:val="sk-SK" w:bidi="bo-CN"/>
        </w:rPr>
        <w:t>Zmeny, ktoré sme naštartovali v obidvoch obchodných divíziách, prinášajú jasné výsledky,“</w:t>
      </w:r>
      <w:r w:rsidRPr="00F03580">
        <w:rPr>
          <w:rFonts w:cs="Segoe UI"/>
          <w:szCs w:val="22"/>
          <w:lang w:val="sk-SK" w:bidi="bo-CN"/>
        </w:rPr>
        <w:t xml:space="preserve"> povedal predseda predstavenstva spoločnosti Henkel </w:t>
      </w:r>
      <w:proofErr w:type="spellStart"/>
      <w:r w:rsidRPr="00F03580">
        <w:rPr>
          <w:rFonts w:cs="Segoe UI"/>
          <w:szCs w:val="22"/>
          <w:lang w:val="sk-SK" w:bidi="bo-CN"/>
        </w:rPr>
        <w:t>Carsten</w:t>
      </w:r>
      <w:proofErr w:type="spellEnd"/>
      <w:r w:rsidRPr="00F03580">
        <w:rPr>
          <w:rFonts w:cs="Segoe UI"/>
          <w:szCs w:val="22"/>
          <w:lang w:val="sk-SK" w:bidi="bo-CN"/>
        </w:rPr>
        <w:t xml:space="preserve"> </w:t>
      </w:r>
      <w:proofErr w:type="spellStart"/>
      <w:r w:rsidRPr="00F03580">
        <w:rPr>
          <w:rFonts w:cs="Segoe UI"/>
          <w:szCs w:val="22"/>
          <w:lang w:val="sk-SK" w:bidi="bo-CN"/>
        </w:rPr>
        <w:t>Knobel</w:t>
      </w:r>
      <w:proofErr w:type="spellEnd"/>
      <w:r w:rsidRPr="00F03580">
        <w:rPr>
          <w:rFonts w:cs="Segoe UI"/>
          <w:szCs w:val="22"/>
          <w:lang w:val="sk-SK" w:bidi="bo-CN"/>
        </w:rPr>
        <w:t>.</w:t>
      </w:r>
      <w:r w:rsidRPr="00133ECF">
        <w:rPr>
          <w:rFonts w:cs="Segoe UI"/>
          <w:szCs w:val="22"/>
          <w:lang w:val="sk-SK"/>
        </w:rPr>
        <w:t xml:space="preserve"> </w:t>
      </w:r>
    </w:p>
    <w:p w14:paraId="72C889F9" w14:textId="77777777" w:rsidR="001C5728" w:rsidRPr="00F03580" w:rsidRDefault="001C5728" w:rsidP="001C5728">
      <w:pPr>
        <w:rPr>
          <w:rFonts w:cs="Segoe UI"/>
          <w:szCs w:val="22"/>
          <w:lang w:val="sk-SK"/>
        </w:rPr>
      </w:pPr>
    </w:p>
    <w:p w14:paraId="1261FAFD" w14:textId="77777777" w:rsidR="001C5728" w:rsidRPr="00F03580" w:rsidRDefault="001C5728" w:rsidP="001C5728">
      <w:pPr>
        <w:rPr>
          <w:rFonts w:cs="Segoe UI"/>
          <w:szCs w:val="22"/>
          <w:lang w:val="sk-SK"/>
        </w:rPr>
      </w:pPr>
      <w:r w:rsidRPr="00F03580">
        <w:rPr>
          <w:rFonts w:cs="Segoe UI"/>
          <w:szCs w:val="22"/>
          <w:lang w:val="sk-SK" w:bidi="bo-CN"/>
        </w:rPr>
        <w:t>Zlepšené očakávania na rok 2024 sa týkajú obidvoch obchodných divízií.</w:t>
      </w:r>
      <w:r w:rsidRPr="00133ECF">
        <w:rPr>
          <w:rFonts w:cs="Segoe UI"/>
          <w:szCs w:val="22"/>
          <w:lang w:val="sk-SK"/>
        </w:rPr>
        <w:t xml:space="preserve"> </w:t>
      </w:r>
      <w:r w:rsidRPr="00F03580">
        <w:rPr>
          <w:rFonts w:cs="Segoe UI"/>
          <w:szCs w:val="22"/>
          <w:lang w:val="sk-SK" w:bidi="bo-CN"/>
        </w:rPr>
        <w:t xml:space="preserve">V prípade divízie </w:t>
      </w:r>
      <w:proofErr w:type="spellStart"/>
      <w:r w:rsidRPr="00F03580">
        <w:rPr>
          <w:rFonts w:cs="Segoe UI"/>
          <w:szCs w:val="22"/>
          <w:lang w:val="sk-SK" w:bidi="bo-CN"/>
        </w:rPr>
        <w:t>Adhesive</w:t>
      </w:r>
      <w:proofErr w:type="spellEnd"/>
      <w:r w:rsidRPr="00F03580">
        <w:rPr>
          <w:rFonts w:cs="Segoe UI"/>
          <w:szCs w:val="22"/>
          <w:lang w:val="sk-SK" w:bidi="bo-CN"/>
        </w:rPr>
        <w:t xml:space="preserve"> Technologies sú výnosy pozitívne ovplyvnené celkovým silným obchodným vývojom </w:t>
      </w:r>
      <w:r w:rsidRPr="00F03580">
        <w:rPr>
          <w:rFonts w:cs="Segoe UI"/>
          <w:szCs w:val="22"/>
          <w:lang w:val="sk-SK" w:bidi="bo-CN"/>
        </w:rPr>
        <w:lastRenderedPageBreak/>
        <w:t xml:space="preserve">a rastom </w:t>
      </w:r>
      <w:r>
        <w:rPr>
          <w:rFonts w:cs="Segoe UI"/>
          <w:szCs w:val="22"/>
          <w:lang w:val="sk-SK" w:bidi="bo-CN"/>
        </w:rPr>
        <w:t xml:space="preserve">hrubej </w:t>
      </w:r>
      <w:r w:rsidRPr="00F03580">
        <w:rPr>
          <w:rFonts w:cs="Segoe UI"/>
          <w:szCs w:val="22"/>
          <w:lang w:val="sk-SK" w:bidi="bo-CN"/>
        </w:rPr>
        <w:t>marže v </w:t>
      </w:r>
      <w:r>
        <w:rPr>
          <w:rFonts w:cs="Segoe UI"/>
          <w:szCs w:val="22"/>
          <w:lang w:val="sk-SK" w:bidi="bo-CN"/>
        </w:rPr>
        <w:t>pretrvávajúcich</w:t>
      </w:r>
      <w:r w:rsidRPr="00F03580">
        <w:rPr>
          <w:rFonts w:cs="Segoe UI"/>
          <w:szCs w:val="22"/>
          <w:lang w:val="sk-SK" w:bidi="bo-CN"/>
        </w:rPr>
        <w:t xml:space="preserve"> náročných trhových podmienkach, ako aj oživením trhu </w:t>
      </w:r>
      <w:r>
        <w:rPr>
          <w:rFonts w:cs="Segoe UI"/>
          <w:szCs w:val="22"/>
          <w:lang w:val="sk-SK" w:bidi="bo-CN"/>
        </w:rPr>
        <w:t>v segmente elektronického priemyslu</w:t>
      </w:r>
      <w:r w:rsidRPr="00F03580">
        <w:rPr>
          <w:rFonts w:cs="Segoe UI"/>
          <w:szCs w:val="22"/>
          <w:lang w:val="sk-SK" w:bidi="bo-CN"/>
        </w:rPr>
        <w:t>.</w:t>
      </w:r>
      <w:r w:rsidRPr="00133ECF">
        <w:rPr>
          <w:rFonts w:cs="Segoe UI"/>
          <w:szCs w:val="22"/>
          <w:lang w:val="sk-SK"/>
        </w:rPr>
        <w:t xml:space="preserve"> </w:t>
      </w:r>
    </w:p>
    <w:p w14:paraId="53E6742E" w14:textId="77777777" w:rsidR="001C5728" w:rsidRPr="00F03580" w:rsidRDefault="001C5728" w:rsidP="001C5728">
      <w:pPr>
        <w:rPr>
          <w:rFonts w:cs="Segoe UI"/>
          <w:szCs w:val="22"/>
          <w:lang w:val="sk-SK"/>
        </w:rPr>
      </w:pPr>
    </w:p>
    <w:p w14:paraId="4B03F25C" w14:textId="77777777" w:rsidR="001C5728" w:rsidRPr="00133ECF" w:rsidRDefault="001C5728" w:rsidP="001C5728">
      <w:pPr>
        <w:rPr>
          <w:rFonts w:cs="Segoe UI"/>
          <w:szCs w:val="22"/>
          <w:lang w:val="sk-SK"/>
        </w:rPr>
      </w:pPr>
      <w:r w:rsidRPr="00F03580">
        <w:rPr>
          <w:rFonts w:cs="Segoe UI"/>
          <w:szCs w:val="22"/>
          <w:lang w:val="sk-SK" w:bidi="bo-CN"/>
        </w:rPr>
        <w:t xml:space="preserve">Pozitívny vplyv na obrat, marže a výnosy obchodnej divízie </w:t>
      </w:r>
      <w:proofErr w:type="spellStart"/>
      <w:r w:rsidRPr="00F03580">
        <w:rPr>
          <w:rFonts w:cs="Segoe UI"/>
          <w:szCs w:val="22"/>
          <w:lang w:val="sk-SK" w:bidi="bo-CN"/>
        </w:rPr>
        <w:t>Consumer</w:t>
      </w:r>
      <w:proofErr w:type="spellEnd"/>
      <w:r w:rsidRPr="00F03580">
        <w:rPr>
          <w:rFonts w:cs="Segoe UI"/>
          <w:szCs w:val="22"/>
          <w:lang w:val="sk-SK" w:bidi="bo-CN"/>
        </w:rPr>
        <w:t xml:space="preserve"> </w:t>
      </w:r>
      <w:proofErr w:type="spellStart"/>
      <w:r w:rsidRPr="00F03580">
        <w:rPr>
          <w:rFonts w:cs="Segoe UI"/>
          <w:szCs w:val="22"/>
          <w:lang w:val="sk-SK" w:bidi="bo-CN"/>
        </w:rPr>
        <w:t>Brands</w:t>
      </w:r>
      <w:proofErr w:type="spellEnd"/>
      <w:r w:rsidRPr="00F03580">
        <w:rPr>
          <w:rFonts w:cs="Segoe UI"/>
          <w:szCs w:val="22"/>
          <w:lang w:val="sk-SK" w:bidi="bo-CN"/>
        </w:rPr>
        <w:t xml:space="preserve"> má najmä implementácia strategických opatrení a iniciatív.</w:t>
      </w:r>
      <w:r w:rsidRPr="00133ECF">
        <w:rPr>
          <w:rFonts w:cs="Segoe UI"/>
          <w:szCs w:val="22"/>
          <w:lang w:val="sk-SK"/>
        </w:rPr>
        <w:t xml:space="preserve"> </w:t>
      </w:r>
      <w:r w:rsidRPr="00F03580">
        <w:rPr>
          <w:rFonts w:cs="Segoe UI"/>
          <w:szCs w:val="22"/>
          <w:lang w:val="sk-SK" w:bidi="bo-CN"/>
        </w:rPr>
        <w:t>K tomuto pozitívnemu vývoju prispievajú veľmi dobré výsledky v segmente vlasovej kozmetiky, pokračujúca implementácia portfóliových opatrení a silné výsledky kľúčových značiek a inovácie.</w:t>
      </w:r>
      <w:r w:rsidRPr="00133ECF">
        <w:rPr>
          <w:rFonts w:cs="Segoe UI"/>
          <w:szCs w:val="22"/>
          <w:lang w:val="sk-SK"/>
        </w:rPr>
        <w:t xml:space="preserve"> </w:t>
      </w:r>
      <w:r w:rsidRPr="00F03580">
        <w:rPr>
          <w:rFonts w:cs="Segoe UI"/>
          <w:szCs w:val="22"/>
          <w:lang w:val="sk-SK" w:bidi="bo-CN"/>
        </w:rPr>
        <w:t xml:space="preserve">Na podporu svojho ďalšieho rastu spoločnosť Henkel zároveň naďalej zvyšuje investície do inovácií a predovšetkým do marketingu. </w:t>
      </w:r>
    </w:p>
    <w:p w14:paraId="7175919B" w14:textId="77777777" w:rsidR="001C5728" w:rsidRPr="00F03580" w:rsidRDefault="001C5728" w:rsidP="001C5728">
      <w:pPr>
        <w:rPr>
          <w:rFonts w:cs="Segoe UI"/>
          <w:szCs w:val="22"/>
          <w:lang w:val="sk-SK"/>
        </w:rPr>
      </w:pPr>
    </w:p>
    <w:p w14:paraId="465FCD83" w14:textId="77777777" w:rsidR="001C5728" w:rsidRPr="00133ECF" w:rsidRDefault="001C5728" w:rsidP="001C5728">
      <w:pPr>
        <w:rPr>
          <w:rFonts w:cs="Segoe UI"/>
          <w:szCs w:val="22"/>
          <w:lang w:val="sk-SK"/>
        </w:rPr>
      </w:pPr>
      <w:r w:rsidRPr="00F03580">
        <w:rPr>
          <w:rFonts w:cs="Segoe UI"/>
          <w:szCs w:val="22"/>
          <w:lang w:val="sk-SK" w:bidi="bo-CN"/>
        </w:rPr>
        <w:t>Spoločnosť Henkel aktualizovala aj očakávania týkajúce sa vplyvov akvizícií</w:t>
      </w:r>
      <w:r>
        <w:rPr>
          <w:rFonts w:cs="Segoe UI"/>
          <w:szCs w:val="22"/>
          <w:lang w:val="sk-SK" w:bidi="bo-CN"/>
        </w:rPr>
        <w:t>/</w:t>
      </w:r>
      <w:r w:rsidRPr="00F03580">
        <w:rPr>
          <w:rFonts w:cs="Segoe UI"/>
          <w:szCs w:val="22"/>
          <w:lang w:val="sk-SK" w:bidi="bo-CN"/>
        </w:rPr>
        <w:t xml:space="preserve">odpredajov </w:t>
      </w:r>
      <w:r>
        <w:rPr>
          <w:rFonts w:cs="Segoe UI"/>
          <w:szCs w:val="22"/>
          <w:lang w:val="sk-SK" w:bidi="bo-CN"/>
        </w:rPr>
        <w:t>a</w:t>
      </w:r>
      <w:r w:rsidRPr="00F03580">
        <w:rPr>
          <w:rFonts w:cs="Segoe UI"/>
          <w:szCs w:val="22"/>
          <w:lang w:val="sk-SK" w:bidi="bo-CN"/>
        </w:rPr>
        <w:t xml:space="preserve"> kurzového vývoja na jej obrat.</w:t>
      </w:r>
      <w:r w:rsidRPr="00133ECF">
        <w:rPr>
          <w:rFonts w:cs="Segoe UI"/>
          <w:szCs w:val="22"/>
          <w:lang w:val="sk-SK"/>
        </w:rPr>
        <w:t xml:space="preserve"> </w:t>
      </w:r>
      <w:r w:rsidRPr="00F03580">
        <w:rPr>
          <w:rFonts w:cs="Segoe UI"/>
          <w:szCs w:val="22"/>
          <w:lang w:val="sk-SK" w:bidi="bo-CN"/>
        </w:rPr>
        <w:t xml:space="preserve">Najnovšie akvizície – </w:t>
      </w:r>
      <w:proofErr w:type="spellStart"/>
      <w:r w:rsidRPr="00F03580">
        <w:rPr>
          <w:rFonts w:cs="Segoe UI"/>
          <w:szCs w:val="22"/>
          <w:lang w:val="sk-SK" w:bidi="bo-CN"/>
        </w:rPr>
        <w:t>Seal</w:t>
      </w:r>
      <w:proofErr w:type="spellEnd"/>
      <w:r w:rsidRPr="00F03580">
        <w:rPr>
          <w:rFonts w:cs="Segoe UI"/>
          <w:szCs w:val="22"/>
          <w:lang w:val="sk-SK" w:bidi="bo-CN"/>
        </w:rPr>
        <w:t xml:space="preserve"> </w:t>
      </w:r>
      <w:proofErr w:type="spellStart"/>
      <w:r w:rsidRPr="00F03580">
        <w:rPr>
          <w:rFonts w:cs="Segoe UI"/>
          <w:szCs w:val="22"/>
          <w:lang w:val="sk-SK" w:bidi="bo-CN"/>
        </w:rPr>
        <w:t>for</w:t>
      </w:r>
      <w:proofErr w:type="spellEnd"/>
      <w:r w:rsidRPr="00F03580">
        <w:rPr>
          <w:rFonts w:cs="Segoe UI"/>
          <w:szCs w:val="22"/>
          <w:lang w:val="sk-SK" w:bidi="bo-CN"/>
        </w:rPr>
        <w:t xml:space="preserve"> </w:t>
      </w:r>
      <w:proofErr w:type="spellStart"/>
      <w:r w:rsidRPr="00F03580">
        <w:rPr>
          <w:rFonts w:cs="Segoe UI"/>
          <w:szCs w:val="22"/>
          <w:lang w:val="sk-SK" w:bidi="bo-CN"/>
        </w:rPr>
        <w:t>Life</w:t>
      </w:r>
      <w:proofErr w:type="spellEnd"/>
      <w:r w:rsidRPr="00F03580">
        <w:rPr>
          <w:rFonts w:cs="Segoe UI"/>
          <w:szCs w:val="22"/>
          <w:lang w:val="sk-SK" w:bidi="bo-CN"/>
        </w:rPr>
        <w:t xml:space="preserve"> </w:t>
      </w:r>
      <w:proofErr w:type="spellStart"/>
      <w:r w:rsidRPr="00F03580">
        <w:rPr>
          <w:rFonts w:cs="Segoe UI"/>
          <w:szCs w:val="22"/>
          <w:lang w:val="sk-SK" w:bidi="bo-CN"/>
        </w:rPr>
        <w:t>Industries</w:t>
      </w:r>
      <w:proofErr w:type="spellEnd"/>
      <w:r w:rsidRPr="00F03580">
        <w:rPr>
          <w:rFonts w:cs="Segoe UI"/>
          <w:szCs w:val="22"/>
          <w:lang w:val="sk-SK" w:bidi="bo-CN"/>
        </w:rPr>
        <w:t xml:space="preserve"> a </w:t>
      </w:r>
      <w:proofErr w:type="spellStart"/>
      <w:r w:rsidRPr="00F03580">
        <w:rPr>
          <w:rFonts w:cs="Segoe UI"/>
          <w:szCs w:val="22"/>
          <w:lang w:val="sk-SK" w:bidi="bo-CN"/>
        </w:rPr>
        <w:t>Vidal</w:t>
      </w:r>
      <w:proofErr w:type="spellEnd"/>
      <w:r w:rsidRPr="00F03580">
        <w:rPr>
          <w:rFonts w:cs="Segoe UI"/>
          <w:szCs w:val="22"/>
          <w:lang w:val="sk-SK" w:bidi="bo-CN"/>
        </w:rPr>
        <w:t xml:space="preserve"> </w:t>
      </w:r>
      <w:proofErr w:type="spellStart"/>
      <w:r w:rsidRPr="00F03580">
        <w:rPr>
          <w:rFonts w:cs="Segoe UI"/>
          <w:szCs w:val="22"/>
          <w:lang w:val="sk-SK" w:bidi="bo-CN"/>
        </w:rPr>
        <w:t>Sassoon</w:t>
      </w:r>
      <w:proofErr w:type="spellEnd"/>
      <w:r w:rsidRPr="00F03580">
        <w:rPr>
          <w:rFonts w:cs="Segoe UI"/>
          <w:szCs w:val="22"/>
          <w:lang w:val="sk-SK" w:bidi="bo-CN"/>
        </w:rPr>
        <w:t xml:space="preserve"> v Číne – boli dokončené rýchlejšie, než sa pôvodne očakával</w:t>
      </w:r>
      <w:r>
        <w:rPr>
          <w:rFonts w:cs="Segoe UI"/>
          <w:szCs w:val="22"/>
          <w:lang w:val="sk-SK" w:bidi="bo-CN"/>
        </w:rPr>
        <w:t>o</w:t>
      </w:r>
      <w:r w:rsidRPr="00F03580">
        <w:rPr>
          <w:rFonts w:cs="Segoe UI"/>
          <w:szCs w:val="22"/>
          <w:lang w:val="sk-SK" w:bidi="bo-CN"/>
        </w:rPr>
        <w:t>, preto sa skôr prejavili aj vo vývoji obratu a výnosov.</w:t>
      </w:r>
    </w:p>
    <w:p w14:paraId="645BEB23" w14:textId="77777777" w:rsidR="001C5728" w:rsidRPr="00F03580" w:rsidRDefault="001C5728" w:rsidP="001C5728">
      <w:pPr>
        <w:rPr>
          <w:rFonts w:cs="Segoe UI"/>
          <w:szCs w:val="22"/>
          <w:lang w:val="sk-SK"/>
        </w:rPr>
      </w:pPr>
    </w:p>
    <w:p w14:paraId="355881AC" w14:textId="77777777" w:rsidR="001C5728" w:rsidRPr="00133ECF" w:rsidRDefault="001C5728" w:rsidP="001C5728">
      <w:pPr>
        <w:pStyle w:val="Odsekzoznamu"/>
        <w:numPr>
          <w:ilvl w:val="0"/>
          <w:numId w:val="19"/>
        </w:numPr>
        <w:spacing w:after="120"/>
        <w:contextualSpacing w:val="0"/>
        <w:jc w:val="left"/>
        <w:rPr>
          <w:rFonts w:cs="Segoe UI"/>
          <w:szCs w:val="22"/>
          <w:lang w:val="sk-SK"/>
        </w:rPr>
      </w:pPr>
      <w:r w:rsidRPr="00F03580">
        <w:rPr>
          <w:rFonts w:cs="Segoe UI"/>
          <w:szCs w:val="22"/>
          <w:lang w:val="sk-SK" w:bidi="bo-CN"/>
        </w:rPr>
        <w:t>Akvizície/odpredaje: neutrálny vplyv na nominálny rast obratu</w:t>
      </w:r>
      <w:r w:rsidRPr="00133ECF">
        <w:rPr>
          <w:rFonts w:cs="Segoe UI"/>
          <w:szCs w:val="22"/>
          <w:lang w:val="sk-SK"/>
        </w:rPr>
        <w:t xml:space="preserve"> </w:t>
      </w:r>
      <w:r w:rsidRPr="00F03580">
        <w:rPr>
          <w:rFonts w:cs="Segoe UI"/>
          <w:szCs w:val="22"/>
          <w:lang w:val="sk-SK"/>
        </w:rPr>
        <w:br/>
      </w:r>
      <w:r w:rsidRPr="00F03580">
        <w:rPr>
          <w:rFonts w:cs="Segoe UI"/>
          <w:szCs w:val="22"/>
          <w:lang w:val="sk-SK" w:bidi="bo-CN"/>
        </w:rPr>
        <w:t>(predtým: negatívny vplyv v dolnej polovici jednociferného percentuálneho rozsahu)</w:t>
      </w:r>
    </w:p>
    <w:p w14:paraId="1F7362CD" w14:textId="77777777" w:rsidR="001C5728" w:rsidRPr="00133ECF" w:rsidRDefault="001C5728" w:rsidP="001C5728">
      <w:pPr>
        <w:pStyle w:val="Odsekzoznamu"/>
        <w:numPr>
          <w:ilvl w:val="0"/>
          <w:numId w:val="19"/>
        </w:numPr>
        <w:spacing w:after="120"/>
        <w:contextualSpacing w:val="0"/>
        <w:jc w:val="left"/>
        <w:rPr>
          <w:rFonts w:cs="Segoe UI"/>
          <w:szCs w:val="22"/>
          <w:lang w:val="sk-SK"/>
        </w:rPr>
      </w:pPr>
      <w:r w:rsidRPr="00D91541">
        <w:rPr>
          <w:rFonts w:cs="Segoe UI"/>
          <w:szCs w:val="22"/>
          <w:lang w:val="sk-SK" w:bidi="bo-CN"/>
        </w:rPr>
        <w:t xml:space="preserve">Vplyv kurzových sadzieb na obrat: negatívny vplyv </w:t>
      </w:r>
      <w:r>
        <w:rPr>
          <w:rFonts w:cs="Segoe UI"/>
          <w:szCs w:val="22"/>
          <w:lang w:val="sk-SK" w:bidi="bo-CN"/>
        </w:rPr>
        <w:t xml:space="preserve">v </w:t>
      </w:r>
      <w:r w:rsidRPr="00D91541">
        <w:rPr>
          <w:rFonts w:cs="Segoe UI"/>
          <w:szCs w:val="22"/>
          <w:lang w:val="sk-SK" w:bidi="bo-CN"/>
        </w:rPr>
        <w:t xml:space="preserve">dolnej </w:t>
      </w:r>
      <w:r>
        <w:rPr>
          <w:rFonts w:cs="Segoe UI"/>
          <w:szCs w:val="22"/>
          <w:lang w:val="sk-SK" w:bidi="bo-CN"/>
        </w:rPr>
        <w:t xml:space="preserve">až strednej </w:t>
      </w:r>
      <w:r w:rsidRPr="00D91541">
        <w:rPr>
          <w:rFonts w:cs="Segoe UI"/>
          <w:szCs w:val="22"/>
          <w:lang w:val="sk-SK" w:bidi="bo-CN"/>
        </w:rPr>
        <w:t>polovici jednociferného percentuálneho rozsahu</w:t>
      </w:r>
      <w:r w:rsidRPr="00133ECF">
        <w:rPr>
          <w:rFonts w:cs="Segoe UI"/>
          <w:szCs w:val="22"/>
          <w:lang w:val="sk-SK"/>
        </w:rPr>
        <w:t xml:space="preserve"> </w:t>
      </w:r>
      <w:r w:rsidRPr="00D91541">
        <w:rPr>
          <w:rFonts w:cs="Segoe UI"/>
          <w:szCs w:val="22"/>
          <w:lang w:val="sk-SK"/>
        </w:rPr>
        <w:br/>
      </w:r>
      <w:r w:rsidRPr="00D91541">
        <w:rPr>
          <w:rFonts w:cs="Segoe UI"/>
          <w:szCs w:val="22"/>
          <w:lang w:val="sk-SK" w:bidi="bo-CN"/>
        </w:rPr>
        <w:t>(predtým: negatívny vplyv v strede jednociferného percentuálneho rozsahu)</w:t>
      </w:r>
    </w:p>
    <w:p w14:paraId="28A2189B" w14:textId="77777777" w:rsidR="001C5728" w:rsidRPr="00F03580" w:rsidRDefault="001C5728" w:rsidP="001C5728">
      <w:pPr>
        <w:rPr>
          <w:rFonts w:cs="Segoe UI"/>
          <w:szCs w:val="22"/>
          <w:lang w:val="sk-SK"/>
        </w:rPr>
      </w:pPr>
    </w:p>
    <w:p w14:paraId="6D96CCBF" w14:textId="77777777" w:rsidR="001C5728" w:rsidRPr="00133ECF" w:rsidRDefault="001C5728" w:rsidP="001C5728">
      <w:pPr>
        <w:rPr>
          <w:rFonts w:cs="Segoe UI"/>
          <w:szCs w:val="22"/>
          <w:lang w:val="sk-SK"/>
        </w:rPr>
      </w:pPr>
      <w:r w:rsidRPr="00D91541">
        <w:rPr>
          <w:rFonts w:cs="Segoe UI"/>
          <w:szCs w:val="22"/>
          <w:lang w:val="sk-SK" w:bidi="bo-CN"/>
        </w:rPr>
        <w:t>Nasledovné očakávania na rok 2024 ostávajú nezmenené:</w:t>
      </w:r>
    </w:p>
    <w:p w14:paraId="4D399E71" w14:textId="77777777" w:rsidR="001C5728" w:rsidRPr="00F03580" w:rsidRDefault="001C5728" w:rsidP="001C5728">
      <w:pPr>
        <w:rPr>
          <w:rFonts w:cs="Segoe UI"/>
          <w:szCs w:val="22"/>
          <w:lang w:val="sk-SK"/>
        </w:rPr>
      </w:pPr>
    </w:p>
    <w:p w14:paraId="368033FC" w14:textId="77777777" w:rsidR="001C5728" w:rsidRPr="00133ECF" w:rsidRDefault="001C5728" w:rsidP="001C5728">
      <w:pPr>
        <w:pStyle w:val="Odsekzoznamu"/>
        <w:numPr>
          <w:ilvl w:val="0"/>
          <w:numId w:val="19"/>
        </w:numPr>
        <w:spacing w:after="120"/>
        <w:contextualSpacing w:val="0"/>
        <w:jc w:val="left"/>
        <w:rPr>
          <w:rFonts w:cs="Segoe UI"/>
          <w:szCs w:val="22"/>
          <w:lang w:val="sk-SK"/>
        </w:rPr>
      </w:pPr>
      <w:r w:rsidRPr="00D91541">
        <w:rPr>
          <w:rFonts w:cs="Segoe UI"/>
          <w:szCs w:val="22"/>
          <w:lang w:val="sk-SK" w:bidi="bo-CN"/>
        </w:rPr>
        <w:t>Ceny priamych surovín: rovnomerný vývoj</w:t>
      </w:r>
      <w:r>
        <w:rPr>
          <w:rStyle w:val="Odkaznapoznmkupodiarou"/>
          <w:szCs w:val="22"/>
          <w:lang w:val="sk-SK" w:bidi="bo-CN"/>
        </w:rPr>
        <w:footnoteReference w:id="2"/>
      </w:r>
    </w:p>
    <w:p w14:paraId="6F5729B4" w14:textId="77777777" w:rsidR="001C5728" w:rsidRPr="00133ECF" w:rsidRDefault="001C5728" w:rsidP="001C5728">
      <w:pPr>
        <w:pStyle w:val="Odsekzoznamu"/>
        <w:numPr>
          <w:ilvl w:val="0"/>
          <w:numId w:val="19"/>
        </w:numPr>
        <w:spacing w:after="120"/>
        <w:contextualSpacing w:val="0"/>
        <w:jc w:val="left"/>
        <w:rPr>
          <w:rFonts w:cs="Segoe UI"/>
          <w:szCs w:val="22"/>
          <w:lang w:val="sk-SK"/>
        </w:rPr>
      </w:pPr>
      <w:r w:rsidRPr="00D91541">
        <w:rPr>
          <w:rFonts w:cs="Segoe UI"/>
          <w:szCs w:val="22"/>
          <w:lang w:val="sk-SK" w:bidi="bo-CN"/>
        </w:rPr>
        <w:t>Reštrukturalizačné výdavky vo výške 250 až 300 mil. eur</w:t>
      </w:r>
    </w:p>
    <w:p w14:paraId="7DE7D273" w14:textId="77777777" w:rsidR="001C5728" w:rsidRPr="00133ECF" w:rsidRDefault="001C5728" w:rsidP="001C5728">
      <w:pPr>
        <w:pStyle w:val="Odsekzoznamu"/>
        <w:numPr>
          <w:ilvl w:val="0"/>
          <w:numId w:val="19"/>
        </w:numPr>
        <w:spacing w:after="120"/>
        <w:contextualSpacing w:val="0"/>
        <w:jc w:val="left"/>
        <w:rPr>
          <w:rFonts w:cs="Segoe UI"/>
          <w:szCs w:val="22"/>
          <w:lang w:val="sk-SK"/>
        </w:rPr>
      </w:pPr>
      <w:r w:rsidRPr="00D91541">
        <w:rPr>
          <w:rFonts w:cs="Segoe UI"/>
          <w:szCs w:val="22"/>
          <w:lang w:val="sk-SK" w:bidi="bo-CN"/>
        </w:rPr>
        <w:t>Záporné peňažné toky z investícií do budov, strojov a zariadení a do nehmotného majetku vo výške 650 až 750 mil. eur.</w:t>
      </w:r>
    </w:p>
    <w:p w14:paraId="418193EB" w14:textId="77777777" w:rsidR="001C5728" w:rsidRPr="00133ECF" w:rsidRDefault="001C5728" w:rsidP="001C5728">
      <w:pPr>
        <w:ind w:left="360"/>
        <w:rPr>
          <w:sz w:val="16"/>
          <w:szCs w:val="16"/>
          <w:lang w:val="sk-SK"/>
        </w:rPr>
      </w:pPr>
    </w:p>
    <w:p w14:paraId="231467E1" w14:textId="77777777" w:rsidR="001C5728" w:rsidRPr="00F03580" w:rsidRDefault="001C5728" w:rsidP="001C5728">
      <w:pPr>
        <w:rPr>
          <w:rFonts w:cs="Segoe UI"/>
          <w:szCs w:val="22"/>
          <w:lang w:val="sk-SK"/>
        </w:rPr>
      </w:pPr>
    </w:p>
    <w:p w14:paraId="60E1DD7B" w14:textId="77777777" w:rsidR="001C5728" w:rsidRPr="00F03580" w:rsidRDefault="001C5728" w:rsidP="001C5728">
      <w:pPr>
        <w:rPr>
          <w:rFonts w:cs="Segoe UI"/>
          <w:b/>
          <w:bCs/>
          <w:szCs w:val="22"/>
          <w:lang w:val="sk-SK"/>
        </w:rPr>
      </w:pPr>
    </w:p>
    <w:p w14:paraId="53FAA11B" w14:textId="77777777" w:rsidR="001C5728" w:rsidRPr="00133ECF" w:rsidRDefault="001C5728" w:rsidP="001C5728">
      <w:pPr>
        <w:spacing w:after="120"/>
        <w:rPr>
          <w:rFonts w:cs="Segoe UI"/>
          <w:b/>
          <w:bCs/>
          <w:szCs w:val="22"/>
          <w:lang w:val="sk-SK"/>
        </w:rPr>
      </w:pPr>
      <w:r w:rsidRPr="00D91541">
        <w:rPr>
          <w:rFonts w:cs="Segoe UI"/>
          <w:b/>
          <w:bCs/>
          <w:szCs w:val="22"/>
          <w:lang w:val="sk-SK" w:bidi="bo-CN"/>
        </w:rPr>
        <w:lastRenderedPageBreak/>
        <w:t>Organický vývoj obratu v prvom štvrťroku 2024</w:t>
      </w:r>
    </w:p>
    <w:p w14:paraId="51037873" w14:textId="77777777" w:rsidR="001C5728" w:rsidRPr="00133ECF" w:rsidRDefault="001C5728" w:rsidP="001C5728">
      <w:pPr>
        <w:rPr>
          <w:rFonts w:cs="Segoe UI"/>
          <w:szCs w:val="22"/>
          <w:lang w:val="sk-SK"/>
        </w:rPr>
      </w:pPr>
      <w:r w:rsidRPr="00D91541">
        <w:rPr>
          <w:rFonts w:cs="Segoe UI"/>
          <w:szCs w:val="22"/>
          <w:lang w:val="sk-SK" w:bidi="bo-CN"/>
        </w:rPr>
        <w:t>Na základe predbežných údajov spoločnosť Henkel v prvom štvrťroku 2024 dosiahla obrat na úrovni skupiny vo výške približne 5,3 miliardy eur, čo predstavuje organický rast obratu na úrovni 3,0 %.</w:t>
      </w:r>
      <w:r w:rsidRPr="00133ECF">
        <w:rPr>
          <w:rFonts w:cs="Segoe UI"/>
          <w:szCs w:val="22"/>
          <w:lang w:val="sk-SK"/>
        </w:rPr>
        <w:t xml:space="preserve"> </w:t>
      </w:r>
      <w:r w:rsidRPr="00D91541">
        <w:rPr>
          <w:rFonts w:cs="Segoe UI"/>
          <w:szCs w:val="22"/>
          <w:lang w:val="sk-SK" w:bidi="bo-CN"/>
        </w:rPr>
        <w:t xml:space="preserve">Obrat obchodnej divízie </w:t>
      </w:r>
      <w:proofErr w:type="spellStart"/>
      <w:r w:rsidRPr="00D91541">
        <w:rPr>
          <w:rFonts w:cs="Segoe UI"/>
          <w:szCs w:val="22"/>
          <w:lang w:val="sk-SK" w:bidi="bo-CN"/>
        </w:rPr>
        <w:t>Adhesive</w:t>
      </w:r>
      <w:proofErr w:type="spellEnd"/>
      <w:r w:rsidRPr="00D91541">
        <w:rPr>
          <w:rFonts w:cs="Segoe UI"/>
          <w:szCs w:val="22"/>
          <w:lang w:val="sk-SK" w:bidi="bo-CN"/>
        </w:rPr>
        <w:t xml:space="preserve"> Technologies dosiahol približne 2,7 miliardy eur, čo predstavuje organický rast obratu na úrovni 1,3 %.</w:t>
      </w:r>
      <w:r w:rsidRPr="00133ECF">
        <w:rPr>
          <w:rFonts w:cs="Segoe UI"/>
          <w:szCs w:val="22"/>
          <w:lang w:val="sk-SK"/>
        </w:rPr>
        <w:t xml:space="preserve"> </w:t>
      </w:r>
      <w:r w:rsidRPr="00D91541">
        <w:rPr>
          <w:rFonts w:cs="Segoe UI"/>
          <w:szCs w:val="22"/>
          <w:lang w:val="sk-SK" w:bidi="bo-CN"/>
        </w:rPr>
        <w:t xml:space="preserve">Obchodná divízia </w:t>
      </w:r>
      <w:proofErr w:type="spellStart"/>
      <w:r w:rsidRPr="00D91541">
        <w:rPr>
          <w:rFonts w:cs="Segoe UI"/>
          <w:szCs w:val="22"/>
          <w:lang w:val="sk-SK" w:bidi="bo-CN"/>
        </w:rPr>
        <w:t>Consumer</w:t>
      </w:r>
      <w:proofErr w:type="spellEnd"/>
      <w:r w:rsidRPr="00D91541">
        <w:rPr>
          <w:rFonts w:cs="Segoe UI"/>
          <w:szCs w:val="22"/>
          <w:lang w:val="sk-SK" w:bidi="bo-CN"/>
        </w:rPr>
        <w:t xml:space="preserve"> </w:t>
      </w:r>
      <w:proofErr w:type="spellStart"/>
      <w:r w:rsidRPr="00D91541">
        <w:rPr>
          <w:rFonts w:cs="Segoe UI"/>
          <w:szCs w:val="22"/>
          <w:lang w:val="sk-SK" w:bidi="bo-CN"/>
        </w:rPr>
        <w:t>Brands</w:t>
      </w:r>
      <w:proofErr w:type="spellEnd"/>
      <w:r w:rsidRPr="00D91541">
        <w:rPr>
          <w:rFonts w:cs="Segoe UI"/>
          <w:szCs w:val="22"/>
          <w:lang w:val="sk-SK" w:bidi="bo-CN"/>
        </w:rPr>
        <w:t xml:space="preserve"> zaznamenala obrat vo výške 2,6 miliardy eur pri veľmi silnom organickom raste obratu na úrovni 5,2 %.</w:t>
      </w:r>
    </w:p>
    <w:p w14:paraId="0D30C659" w14:textId="77777777" w:rsidR="001C5728" w:rsidRPr="00F03580" w:rsidRDefault="001C5728" w:rsidP="001C5728">
      <w:pPr>
        <w:rPr>
          <w:rFonts w:cs="Segoe UI"/>
          <w:szCs w:val="22"/>
          <w:lang w:val="sk-SK"/>
        </w:rPr>
      </w:pPr>
    </w:p>
    <w:p w14:paraId="2335ED65" w14:textId="77777777" w:rsidR="001C5728" w:rsidRPr="00133ECF" w:rsidRDefault="001C5728" w:rsidP="001C5728">
      <w:pPr>
        <w:rPr>
          <w:rFonts w:cs="Segoe UI"/>
          <w:szCs w:val="22"/>
          <w:lang w:val="sk-SK"/>
        </w:rPr>
      </w:pPr>
      <w:r w:rsidRPr="00D91541">
        <w:rPr>
          <w:rFonts w:cs="Segoe UI"/>
          <w:szCs w:val="22"/>
          <w:lang w:val="sk-SK" w:bidi="bo-CN"/>
        </w:rPr>
        <w:t>Spoločnosť Henkel zverejní podrobnejšie údaje o vývoji obratu za prvý štvrťrok 8. mája.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958E4ED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0C7F1C8B" w14:textId="77777777" w:rsidR="0081766B" w:rsidRDefault="0081766B" w:rsidP="001864C0">
      <w:pPr>
        <w:rPr>
          <w:rStyle w:val="AboutandContactHeadline"/>
          <w:b w:val="0"/>
          <w:bCs w:val="0"/>
          <w:lang w:val="sk-SK"/>
        </w:rPr>
      </w:pPr>
    </w:p>
    <w:p w14:paraId="484B6F24" w14:textId="77777777" w:rsidR="0081766B" w:rsidRPr="00771A62" w:rsidRDefault="0081766B" w:rsidP="0081766B">
      <w:pPr>
        <w:pStyle w:val="He01Flietext"/>
        <w:jc w:val="both"/>
        <w:rPr>
          <w:sz w:val="16"/>
          <w:szCs w:val="16"/>
          <w:lang w:val="sk-SK"/>
        </w:rPr>
      </w:pPr>
      <w:r w:rsidRPr="00771A62">
        <w:rPr>
          <w:sz w:val="16"/>
          <w:szCs w:val="16"/>
          <w:lang w:val="sk-SK" w:bidi="bo-CN"/>
        </w:rPr>
        <w:t>Tento dokument obsahuje stanoviská týkajúce sa budúceho obchodného vývoja, finančných výsledkov a ďalších udalostí alebo skutočností relevantných pre spoločnosť Henkel z pohľadu budúceho rozvoja.</w:t>
      </w:r>
      <w:r w:rsidRPr="00771A62">
        <w:rPr>
          <w:spacing w:val="-1"/>
          <w:sz w:val="16"/>
          <w:szCs w:val="16"/>
          <w:lang w:val="sk-SK"/>
        </w:rPr>
        <w:t xml:space="preserve"> </w:t>
      </w:r>
      <w:r w:rsidRPr="00771A62">
        <w:rPr>
          <w:spacing w:val="-1"/>
          <w:sz w:val="16"/>
          <w:szCs w:val="16"/>
          <w:lang w:val="sk-SK" w:bidi="bo-CN"/>
        </w:rPr>
        <w:t>Stanoviská týkajúce sa budúceho vývoja charakterizuje použitie takých slovných zvratov ako „očakávať“, „zamýšľať“, „plánovať“, „predpokladať“, „domnievať sa“, „odhadovať“ a podobných výrazov.</w:t>
      </w:r>
      <w:r w:rsidRPr="00771A62">
        <w:rPr>
          <w:spacing w:val="2"/>
          <w:sz w:val="16"/>
          <w:szCs w:val="16"/>
          <w:lang w:val="sk-SK"/>
        </w:rPr>
        <w:t xml:space="preserve"> </w:t>
      </w:r>
      <w:r w:rsidRPr="00771A62">
        <w:rPr>
          <w:spacing w:val="2"/>
          <w:sz w:val="16"/>
          <w:szCs w:val="16"/>
          <w:lang w:val="sk-SK" w:bidi="bo-CN"/>
        </w:rPr>
        <w:t xml:space="preserve">Takéto stanoviská sa opierajú o aktuálne odhady a predpoklady vypracované manažmentom spoločnosti Henkel AG &amp; Co. </w:t>
      </w:r>
      <w:proofErr w:type="spellStart"/>
      <w:r w:rsidRPr="00771A62">
        <w:rPr>
          <w:spacing w:val="2"/>
          <w:sz w:val="16"/>
          <w:szCs w:val="16"/>
          <w:lang w:val="sk-SK" w:bidi="bo-CN"/>
        </w:rPr>
        <w:t>KGaA</w:t>
      </w:r>
      <w:proofErr w:type="spellEnd"/>
      <w:r w:rsidRPr="00771A62">
        <w:rPr>
          <w:spacing w:val="2"/>
          <w:sz w:val="16"/>
          <w:szCs w:val="16"/>
          <w:lang w:val="sk-SK" w:bidi="bo-CN"/>
        </w:rPr>
        <w:t>.</w:t>
      </w:r>
      <w:r w:rsidRPr="00771A62">
        <w:rPr>
          <w:spacing w:val="2"/>
          <w:sz w:val="16"/>
          <w:szCs w:val="16"/>
          <w:lang w:val="sk-SK"/>
        </w:rPr>
        <w:t xml:space="preserve"> </w:t>
      </w:r>
      <w:r w:rsidRPr="00771A62">
        <w:rPr>
          <w:spacing w:val="2"/>
          <w:sz w:val="16"/>
          <w:szCs w:val="16"/>
          <w:lang w:val="sk-SK" w:bidi="bo-CN"/>
        </w:rPr>
        <w:t>Tieto stanoviská nie je možné chápať ako zaručujúce akýmkoľvek spôsobom, že dané predikcie sú presné.</w:t>
      </w:r>
      <w:r w:rsidRPr="00771A62">
        <w:rPr>
          <w:spacing w:val="1"/>
          <w:sz w:val="16"/>
          <w:szCs w:val="16"/>
          <w:lang w:val="sk-SK"/>
        </w:rPr>
        <w:t xml:space="preserve"> </w:t>
      </w:r>
      <w:r w:rsidRPr="00771A62">
        <w:rPr>
          <w:spacing w:val="1"/>
          <w:sz w:val="16"/>
          <w:szCs w:val="16"/>
          <w:lang w:val="sk-SK" w:bidi="bo-CN"/>
        </w:rPr>
        <w:t xml:space="preserve">Budúca výkonnosť ako aj reálne dosiahnuté výsledky spoločnosti Henkel AG &amp; Co. </w:t>
      </w:r>
      <w:proofErr w:type="spellStart"/>
      <w:r w:rsidRPr="00771A62">
        <w:rPr>
          <w:spacing w:val="1"/>
          <w:sz w:val="16"/>
          <w:szCs w:val="16"/>
          <w:lang w:val="sk-SK" w:bidi="bo-CN"/>
        </w:rPr>
        <w:t>KGaA</w:t>
      </w:r>
      <w:proofErr w:type="spellEnd"/>
      <w:r w:rsidRPr="00771A62">
        <w:rPr>
          <w:spacing w:val="1"/>
          <w:sz w:val="16"/>
          <w:szCs w:val="16"/>
          <w:lang w:val="sk-SK" w:bidi="bo-CN"/>
        </w:rPr>
        <w:t xml:space="preserve"> a jej sesterských spoločností závisia od celého radu rizikových faktorov a neistôt, a preto sa môžu podstatne odkláňať od výhľadových stanovísk (tak negatívne, ako aj pozitívne).</w:t>
      </w:r>
      <w:r w:rsidRPr="00771A62">
        <w:rPr>
          <w:spacing w:val="-1"/>
          <w:sz w:val="16"/>
          <w:szCs w:val="16"/>
          <w:lang w:val="sk-SK"/>
        </w:rPr>
        <w:t xml:space="preserve"> </w:t>
      </w:r>
      <w:r w:rsidRPr="00771A62">
        <w:rPr>
          <w:spacing w:val="-1"/>
          <w:sz w:val="16"/>
          <w:szCs w:val="16"/>
          <w:lang w:val="sk-SK" w:bidi="bo-CN"/>
        </w:rPr>
        <w:t xml:space="preserve">Na mnohé z nich spoločnosť Henkel nemá priamy dosah a vopred ich nie je možné presne </w:t>
      </w:r>
      <w:r w:rsidRPr="00771A62">
        <w:rPr>
          <w:spacing w:val="-1"/>
          <w:sz w:val="16"/>
          <w:szCs w:val="16"/>
          <w:lang w:val="sk-SK" w:bidi="bo-CN"/>
        </w:rPr>
        <w:lastRenderedPageBreak/>
        <w:t>odhadnúť, ako napríklad, aké bude ekonomické prostredie v budúcnosti a aké budú kroky konkurentov a iných subjektov pôsobiacich na trhu.</w:t>
      </w:r>
      <w:r w:rsidRPr="00771A62">
        <w:rPr>
          <w:spacing w:val="1"/>
          <w:sz w:val="16"/>
          <w:szCs w:val="16"/>
          <w:lang w:val="sk-SK"/>
        </w:rPr>
        <w:t xml:space="preserve"> </w:t>
      </w:r>
      <w:r w:rsidRPr="00771A62">
        <w:rPr>
          <w:spacing w:val="1"/>
          <w:sz w:val="16"/>
          <w:szCs w:val="16"/>
          <w:lang w:val="sk-SK" w:bidi="bo-CN"/>
        </w:rPr>
        <w:t>Spoločnosť Henkel nemá v úmysle a ani neprijme kroky na účely aktualizácie týchto stanovísk.</w:t>
      </w:r>
    </w:p>
    <w:p w14:paraId="10F3852F" w14:textId="77777777" w:rsidR="0081766B" w:rsidRPr="00771A62" w:rsidRDefault="0081766B" w:rsidP="0081766B">
      <w:pPr>
        <w:pStyle w:val="He01Flietext"/>
        <w:jc w:val="both"/>
        <w:rPr>
          <w:sz w:val="16"/>
          <w:szCs w:val="16"/>
          <w:lang w:val="sk-SK"/>
        </w:rPr>
      </w:pPr>
      <w:r w:rsidRPr="00771A62">
        <w:rPr>
          <w:sz w:val="16"/>
          <w:szCs w:val="16"/>
          <w:lang w:val="sk-SK" w:bidi="bo-CN"/>
        </w:rPr>
        <w:t>Tento dokument obsahuje doplňujúce finančné ukazovatele, ktoré nie sú jednoznačne definované v platnom rámci finančného výkazníctva, ktoré predstavujú alebo môžu predstavovať alternatívne ukazovatele finančnej výkonnosti.</w:t>
      </w:r>
      <w:r w:rsidRPr="00771A62">
        <w:rPr>
          <w:spacing w:val="-2"/>
          <w:sz w:val="16"/>
          <w:szCs w:val="16"/>
          <w:lang w:val="sk-SK"/>
        </w:rPr>
        <w:t xml:space="preserve"> </w:t>
      </w:r>
      <w:r w:rsidRPr="00771A62">
        <w:rPr>
          <w:spacing w:val="-2"/>
          <w:sz w:val="16"/>
          <w:szCs w:val="16"/>
          <w:lang w:val="sk-SK" w:bidi="bo-CN"/>
        </w:rPr>
        <w:t>Tieto doplňujúce finančné ukazovatele by sa nemali vykladať osobitne alebo ako alternatívne ukazovatele k ukazovateľom čistých aktív a finančnej pozície spoločnosti Henkel alebo k výsledkom podnikania, ktoré sú v súlade s platným rámcom finančného výkazníctva prezentované v</w:t>
      </w:r>
      <w:r>
        <w:rPr>
          <w:spacing w:val="-2"/>
          <w:sz w:val="16"/>
          <w:szCs w:val="16"/>
          <w:lang w:val="sk-SK" w:bidi="bo-CN"/>
        </w:rPr>
        <w:t> </w:t>
      </w:r>
      <w:r w:rsidRPr="00771A62">
        <w:rPr>
          <w:spacing w:val="-2"/>
          <w:sz w:val="16"/>
          <w:szCs w:val="16"/>
          <w:lang w:val="sk-SK" w:bidi="bo-CN"/>
        </w:rPr>
        <w:t>konsolidovanej účtovnej závierke spoločnosti.</w:t>
      </w:r>
      <w:r w:rsidRPr="00771A62">
        <w:rPr>
          <w:sz w:val="16"/>
          <w:szCs w:val="16"/>
          <w:lang w:val="sk-SK"/>
        </w:rPr>
        <w:t xml:space="preserve"> </w:t>
      </w:r>
      <w:r w:rsidRPr="00771A62">
        <w:rPr>
          <w:sz w:val="16"/>
          <w:szCs w:val="16"/>
          <w:lang w:val="sk-SK" w:bidi="bo-CN"/>
        </w:rPr>
        <w:t>Iné spoločnosti, ktoré vykazujú alebo uvádzajú alternatívne ukazovatele výkonnosti s podobnými názvami, môžu počítať ich hodnoty odlišne.</w:t>
      </w:r>
    </w:p>
    <w:p w14:paraId="7F4D01CF" w14:textId="6CA2A4B8" w:rsidR="0081766B" w:rsidRPr="0081766B" w:rsidRDefault="0081766B" w:rsidP="0081766B">
      <w:pPr>
        <w:pStyle w:val="He01Flietext"/>
        <w:jc w:val="both"/>
        <w:rPr>
          <w:rStyle w:val="AboutandContactHeadline"/>
          <w:b w:val="0"/>
          <w:bCs w:val="0"/>
          <w:spacing w:val="1"/>
          <w:sz w:val="16"/>
          <w:szCs w:val="16"/>
          <w:lang w:val="sk-SK" w:bidi="bo-CN"/>
        </w:rPr>
      </w:pPr>
      <w:r w:rsidRPr="00771A62">
        <w:rPr>
          <w:spacing w:val="1"/>
          <w:sz w:val="16"/>
          <w:szCs w:val="16"/>
          <w:lang w:val="sk-SK" w:bidi="bo-CN"/>
        </w:rPr>
        <w:t>Tento dokument slúži výlučne na informačné účely a nepredstavuje investičnú radu ani ponuku na predaj alebo kúpu akýchkoľvek cenných papierov.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1E7F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99D3" w14:textId="77777777" w:rsidR="001E7F7C" w:rsidRDefault="001E7F7C">
      <w:r>
        <w:separator/>
      </w:r>
    </w:p>
  </w:endnote>
  <w:endnote w:type="continuationSeparator" w:id="0">
    <w:p w14:paraId="34E05C19" w14:textId="77777777" w:rsidR="001E7F7C" w:rsidRDefault="001E7F7C">
      <w:r>
        <w:continuationSeparator/>
      </w:r>
    </w:p>
  </w:endnote>
  <w:endnote w:type="continuationNotice" w:id="1">
    <w:p w14:paraId="33431EC0" w14:textId="77777777" w:rsidR="001E7F7C" w:rsidRDefault="001E7F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ˇ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AC4C" w14:textId="77777777" w:rsidR="001E7F7C" w:rsidRDefault="001E7F7C">
      <w:r>
        <w:separator/>
      </w:r>
    </w:p>
  </w:footnote>
  <w:footnote w:type="continuationSeparator" w:id="0">
    <w:p w14:paraId="2263010C" w14:textId="77777777" w:rsidR="001E7F7C" w:rsidRDefault="001E7F7C">
      <w:r>
        <w:continuationSeparator/>
      </w:r>
    </w:p>
  </w:footnote>
  <w:footnote w:type="continuationNotice" w:id="1">
    <w:p w14:paraId="6CA710B4" w14:textId="77777777" w:rsidR="001E7F7C" w:rsidRDefault="001E7F7C">
      <w:pPr>
        <w:spacing w:line="240" w:lineRule="auto"/>
      </w:pPr>
    </w:p>
  </w:footnote>
  <w:footnote w:id="2">
    <w:p w14:paraId="59023E75" w14:textId="77777777" w:rsidR="001C5728" w:rsidRPr="00257D68" w:rsidRDefault="001C5728" w:rsidP="001C5728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1C5728">
        <w:rPr>
          <w:lang w:val="pl-PL"/>
        </w:rPr>
        <w:t xml:space="preserve"> </w:t>
      </w:r>
      <w:r w:rsidRPr="00257D68">
        <w:rPr>
          <w:sz w:val="22"/>
          <w:szCs w:val="22"/>
          <w:lang w:val="sk-SK" w:bidi="bo-CN"/>
        </w:rPr>
        <w:t>V porovnaní s priemerom predchádzajúceho roka.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F442F"/>
    <w:multiLevelType w:val="hybridMultilevel"/>
    <w:tmpl w:val="FFFFFFFF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2D08"/>
    <w:multiLevelType w:val="hybridMultilevel"/>
    <w:tmpl w:val="FFFFFFFF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1000F"/>
      </w:rPr>
    </w:lvl>
    <w:lvl w:ilvl="1" w:tplc="4B4C2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1000F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90A4E"/>
    <w:multiLevelType w:val="hybridMultilevel"/>
    <w:tmpl w:val="FFFFFFFF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7"/>
  </w:num>
  <w:num w:numId="4" w16cid:durableId="1658344630">
    <w:abstractNumId w:val="14"/>
  </w:num>
  <w:num w:numId="5" w16cid:durableId="2132553883">
    <w:abstractNumId w:val="13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790320737">
    <w:abstractNumId w:val="16"/>
  </w:num>
  <w:num w:numId="18" w16cid:durableId="1924099699">
    <w:abstractNumId w:val="12"/>
  </w:num>
  <w:num w:numId="19" w16cid:durableId="310792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A44A0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C5728"/>
    <w:rsid w:val="001D7ADF"/>
    <w:rsid w:val="001E0F71"/>
    <w:rsid w:val="001E6D05"/>
    <w:rsid w:val="001E7C28"/>
    <w:rsid w:val="001E7F7C"/>
    <w:rsid w:val="001F1BDF"/>
    <w:rsid w:val="001F6FBC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43CB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14F58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66B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31F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4BB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15D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07FE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15A7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37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poznmkupodiarou">
    <w:name w:val="footnote reference"/>
    <w:basedOn w:val="Predvolenpsmoodseku"/>
    <w:uiPriority w:val="99"/>
    <w:unhideWhenUsed/>
    <w:rsid w:val="001C5728"/>
    <w:rPr>
      <w:rFonts w:cs="Times New Roman"/>
      <w:vertAlign w:val="superscript"/>
    </w:rPr>
  </w:style>
  <w:style w:type="paragraph" w:customStyle="1" w:styleId="He01FlietextAufzhlung1Ebene">
    <w:name w:val="_He_01_Fließtext Aufzählung 1. Ebene"/>
    <w:next w:val="Normlny"/>
    <w:qFormat/>
    <w:rsid w:val="001C5728"/>
    <w:pPr>
      <w:spacing w:after="113"/>
    </w:pPr>
    <w:rPr>
      <w:sz w:val="22"/>
      <w:szCs w:val="22"/>
      <w:lang w:val="de-DE"/>
    </w:rPr>
  </w:style>
  <w:style w:type="paragraph" w:customStyle="1" w:styleId="He01Flietext">
    <w:name w:val="_He_01_Fließtext"/>
    <w:qFormat/>
    <w:rsid w:val="00F65373"/>
    <w:pPr>
      <w:spacing w:after="160"/>
    </w:pPr>
    <w:rPr>
      <w:rFonts w:eastAsia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12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26</cp:revision>
  <cp:lastPrinted>2016-11-16T01:11:00Z</cp:lastPrinted>
  <dcterms:created xsi:type="dcterms:W3CDTF">2023-08-01T23:38:00Z</dcterms:created>
  <dcterms:modified xsi:type="dcterms:W3CDTF">2024-05-13T03:44:00Z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