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5703" w14:textId="4CFAA67B" w:rsidR="00BA1E67" w:rsidRPr="0043329A" w:rsidRDefault="004E5F78" w:rsidP="00EC0339">
      <w:pPr>
        <w:pStyle w:val="MonthDayYear"/>
        <w:tabs>
          <w:tab w:val="left" w:pos="7371"/>
        </w:tabs>
        <w:ind w:right="0"/>
        <w:contextualSpacing/>
        <w:rPr>
          <w:lang w:eastAsia="zh-TW"/>
        </w:rPr>
      </w:pPr>
      <w:r w:rsidRPr="007A00A2">
        <w:rPr>
          <w:lang w:eastAsia="zh-TW"/>
        </w:rPr>
        <w:tab/>
      </w:r>
      <w:r w:rsidRPr="0043329A">
        <w:rPr>
          <w:lang w:eastAsia="zh-TW"/>
        </w:rPr>
        <w:t>2024</w:t>
      </w:r>
      <w:r w:rsidRPr="0043329A">
        <w:rPr>
          <w:rFonts w:hint="eastAsia"/>
          <w:lang w:eastAsia="zh-TW"/>
        </w:rPr>
        <w:t>年</w:t>
      </w:r>
      <w:r w:rsidRPr="0043329A">
        <w:rPr>
          <w:lang w:eastAsia="zh-TW"/>
        </w:rPr>
        <w:t>5</w:t>
      </w:r>
      <w:r w:rsidRPr="0043329A">
        <w:rPr>
          <w:rFonts w:hint="eastAsia"/>
          <w:lang w:eastAsia="zh-TW"/>
        </w:rPr>
        <w:t>月</w:t>
      </w:r>
      <w:r w:rsidRPr="0043329A">
        <w:rPr>
          <w:lang w:eastAsia="zh-TW"/>
        </w:rPr>
        <w:t>3</w:t>
      </w:r>
      <w:r w:rsidRPr="0043329A">
        <w:rPr>
          <w:rFonts w:hint="eastAsia"/>
          <w:lang w:eastAsia="zh-TW"/>
        </w:rPr>
        <w:t>日</w:t>
      </w:r>
    </w:p>
    <w:p w14:paraId="2E3DC5AD" w14:textId="27293D6F" w:rsidR="001726A1" w:rsidRPr="0043329A" w:rsidRDefault="004E5F78" w:rsidP="00BC5907">
      <w:pPr>
        <w:pStyle w:val="Topline"/>
        <w:spacing w:before="0" w:after="360"/>
        <w:rPr>
          <w:rFonts w:asciiTheme="majorHAnsi" w:hAnsiTheme="majorHAnsi" w:cstheme="majorHAnsi"/>
          <w:lang w:eastAsia="zh-TW"/>
        </w:rPr>
      </w:pPr>
      <w:r>
        <w:rPr>
          <w:rFonts w:asciiTheme="majorHAnsi" w:hAnsiTheme="majorHAnsi" w:cstheme="majorHAnsi"/>
          <w:lang w:eastAsia="zh-TW"/>
        </w:rPr>
        <w:t>2024</w:t>
      </w:r>
      <w:r w:rsidRPr="0043329A">
        <w:rPr>
          <w:rFonts w:asciiTheme="majorHAnsi" w:hAnsiTheme="majorHAnsi" w:cstheme="majorHAnsi" w:hint="eastAsia"/>
          <w:lang w:eastAsia="zh-TW"/>
        </w:rPr>
        <w:t>財年開局強勁</w:t>
      </w:r>
    </w:p>
    <w:p w14:paraId="62474A09" w14:textId="486EEBB1" w:rsidR="001726A1" w:rsidRPr="0043329A" w:rsidRDefault="004E5F78" w:rsidP="0054023C">
      <w:pPr>
        <w:spacing w:after="240"/>
        <w:rPr>
          <w:rStyle w:val="Headline"/>
          <w:rFonts w:asciiTheme="majorHAnsi" w:hAnsiTheme="majorHAnsi" w:cstheme="majorHAnsi"/>
          <w:lang w:eastAsia="zh-TW"/>
        </w:rPr>
      </w:pPr>
      <w:r w:rsidRPr="0043329A">
        <w:rPr>
          <w:rStyle w:val="Headline"/>
          <w:rFonts w:asciiTheme="majorHAnsi" w:hAnsiTheme="majorHAnsi" w:cstheme="majorHAnsi" w:hint="eastAsia"/>
          <w:lang w:eastAsia="zh-TW"/>
        </w:rPr>
        <w:t>漢高上調</w:t>
      </w:r>
      <w:r w:rsidRPr="0043329A">
        <w:rPr>
          <w:rStyle w:val="Headline"/>
          <w:rFonts w:asciiTheme="majorHAnsi" w:hAnsiTheme="majorHAnsi" w:cstheme="majorHAnsi"/>
          <w:lang w:eastAsia="zh-TW"/>
        </w:rPr>
        <w:t>2024</w:t>
      </w:r>
      <w:proofErr w:type="gramStart"/>
      <w:r w:rsidRPr="0043329A">
        <w:rPr>
          <w:rStyle w:val="Headline"/>
          <w:rFonts w:asciiTheme="majorHAnsi" w:hAnsiTheme="majorHAnsi" w:cstheme="majorHAnsi" w:hint="eastAsia"/>
          <w:lang w:eastAsia="zh-TW"/>
        </w:rPr>
        <w:t>財年銷售</w:t>
      </w:r>
      <w:proofErr w:type="gramEnd"/>
      <w:r w:rsidRPr="0043329A">
        <w:rPr>
          <w:rStyle w:val="Headline"/>
          <w:rFonts w:asciiTheme="majorHAnsi" w:hAnsiTheme="majorHAnsi" w:cstheme="majorHAnsi" w:hint="eastAsia"/>
          <w:lang w:eastAsia="zh-TW"/>
        </w:rPr>
        <w:t>額和盈利預期</w:t>
      </w:r>
    </w:p>
    <w:p w14:paraId="0BEC9DDA" w14:textId="7D1F6AB1" w:rsidR="00C80467" w:rsidRPr="0043329A" w:rsidRDefault="004E5F78" w:rsidP="0054023C">
      <w:pPr>
        <w:spacing w:after="240"/>
        <w:rPr>
          <w:rStyle w:val="AboutandContactHeadline"/>
          <w:sz w:val="22"/>
          <w:szCs w:val="22"/>
          <w:lang w:eastAsia="zh-TW"/>
        </w:rPr>
      </w:pPr>
      <w:r w:rsidRPr="0043329A">
        <w:rPr>
          <w:rFonts w:cs="Segoe UI" w:hint="eastAsia"/>
          <w:szCs w:val="22"/>
          <w:lang w:eastAsia="zh-TW"/>
        </w:rPr>
        <w:t>杜塞爾多夫</w:t>
      </w:r>
      <w:r w:rsidRPr="0043329A">
        <w:rPr>
          <w:rFonts w:cs="Segoe UI"/>
          <w:szCs w:val="22"/>
          <w:lang w:eastAsia="zh-TW"/>
        </w:rPr>
        <w:t xml:space="preserve"> - </w:t>
      </w:r>
      <w:r w:rsidRPr="0043329A">
        <w:rPr>
          <w:rFonts w:cs="Segoe UI" w:hint="eastAsia"/>
          <w:szCs w:val="22"/>
          <w:lang w:eastAsia="zh-TW"/>
        </w:rPr>
        <w:t>基於本年度迄今為止的強勁業績表現及對今年餘下時間的預測，</w:t>
      </w:r>
      <w:r w:rsidRPr="0043329A">
        <w:rPr>
          <w:rFonts w:hint="eastAsia"/>
          <w:lang w:eastAsia="zh-TW"/>
        </w:rPr>
        <w:t>漢高股份</w:t>
      </w:r>
      <w:r>
        <w:rPr>
          <w:rFonts w:hint="eastAsia"/>
          <w:lang w:eastAsia="zh-TW"/>
        </w:rPr>
        <w:t>有限</w:t>
      </w:r>
      <w:r w:rsidRPr="0043329A">
        <w:rPr>
          <w:rFonts w:hint="eastAsia"/>
          <w:lang w:eastAsia="zh-TW"/>
        </w:rPr>
        <w:t>及兩合公司管理委員會</w:t>
      </w:r>
      <w:r w:rsidRPr="0043329A">
        <w:rPr>
          <w:rFonts w:cs="Segoe UI" w:hint="eastAsia"/>
          <w:szCs w:val="22"/>
          <w:lang w:eastAsia="zh-TW"/>
        </w:rPr>
        <w:t>今天決定上調三月初公佈的</w:t>
      </w:r>
      <w:proofErr w:type="gramStart"/>
      <w:r w:rsidRPr="0043329A">
        <w:rPr>
          <w:rFonts w:cs="Segoe UI" w:hint="eastAsia"/>
          <w:szCs w:val="22"/>
          <w:lang w:eastAsia="zh-TW"/>
        </w:rPr>
        <w:t>本財年</w:t>
      </w:r>
      <w:proofErr w:type="gramEnd"/>
      <w:r w:rsidRPr="0043329A">
        <w:rPr>
          <w:rFonts w:cs="Segoe UI" w:hint="eastAsia"/>
          <w:szCs w:val="22"/>
          <w:lang w:eastAsia="zh-TW"/>
        </w:rPr>
        <w:t>財務預期。</w:t>
      </w:r>
    </w:p>
    <w:p w14:paraId="033D731C" w14:textId="5CE9FBFC" w:rsidR="001726A1" w:rsidRPr="0043329A" w:rsidRDefault="004E5F78" w:rsidP="0054023C">
      <w:pPr>
        <w:spacing w:after="240"/>
        <w:rPr>
          <w:rFonts w:cs="Arial"/>
          <w:szCs w:val="22"/>
          <w:lang w:eastAsia="zh-TW"/>
        </w:rPr>
      </w:pPr>
      <w:r w:rsidRPr="0043329A">
        <w:rPr>
          <w:rFonts w:cs="Arial" w:hint="eastAsia"/>
          <w:szCs w:val="22"/>
          <w:lang w:eastAsia="zh-TW"/>
        </w:rPr>
        <w:t>漢高的銷售額和盈利預期均有所提高：</w:t>
      </w:r>
    </w:p>
    <w:p w14:paraId="316E70D7" w14:textId="5835B00D" w:rsidR="001726A1" w:rsidRPr="00000550" w:rsidRDefault="004E5F78" w:rsidP="00000550">
      <w:pPr>
        <w:pStyle w:val="He01FlietextAufzhlung1Ebene"/>
        <w:numPr>
          <w:ilvl w:val="0"/>
          <w:numId w:val="13"/>
        </w:numPr>
        <w:spacing w:after="0" w:line="276" w:lineRule="auto"/>
        <w:ind w:left="720" w:hanging="357"/>
        <w:jc w:val="both"/>
        <w:rPr>
          <w:lang w:val="en-US" w:eastAsia="zh-TW"/>
        </w:rPr>
      </w:pPr>
      <w:r w:rsidRPr="00000550">
        <w:rPr>
          <w:rFonts w:ascii="微软雅黑" w:eastAsia="微软雅黑" w:hAnsi="微软雅黑" w:cs="微软雅黑" w:hint="eastAsia"/>
          <w:b/>
          <w:bCs/>
          <w:lang w:val="en-US" w:eastAsia="zh-TW"/>
        </w:rPr>
        <w:t>有機銷售額增長：</w:t>
      </w:r>
      <w:r w:rsidRPr="00000550">
        <w:rPr>
          <w:lang w:val="en-US" w:eastAsia="zh-TW"/>
        </w:rPr>
        <w:t>2.5%</w:t>
      </w:r>
      <w:r w:rsidRPr="00000550">
        <w:rPr>
          <w:rFonts w:ascii="微软雅黑" w:eastAsia="微软雅黑" w:hAnsi="微软雅黑" w:cs="微软雅黑" w:hint="eastAsia"/>
          <w:lang w:val="en-US" w:eastAsia="zh-TW"/>
        </w:rPr>
        <w:t>至</w:t>
      </w:r>
      <w:r w:rsidRPr="00000550">
        <w:rPr>
          <w:lang w:val="en-US" w:eastAsia="zh-TW"/>
        </w:rPr>
        <w:t>4.5%</w:t>
      </w:r>
      <w:r w:rsidRPr="00000550">
        <w:rPr>
          <w:rFonts w:ascii="微软雅黑" w:eastAsia="微软雅黑" w:hAnsi="微软雅黑" w:cs="微软雅黑" w:hint="eastAsia"/>
          <w:lang w:val="en-US" w:eastAsia="zh-TW"/>
        </w:rPr>
        <w:t>（此前為：</w:t>
      </w:r>
      <w:r w:rsidRPr="00000550">
        <w:rPr>
          <w:lang w:val="en-US" w:eastAsia="zh-TW"/>
        </w:rPr>
        <w:t>2.0%</w:t>
      </w:r>
      <w:r w:rsidRPr="00000550">
        <w:rPr>
          <w:rFonts w:ascii="微软雅黑" w:eastAsia="微软雅黑" w:hAnsi="微软雅黑" w:cs="微软雅黑" w:hint="eastAsia"/>
          <w:lang w:val="en-US" w:eastAsia="zh-TW"/>
        </w:rPr>
        <w:t>至</w:t>
      </w:r>
      <w:r w:rsidRPr="00000550">
        <w:rPr>
          <w:lang w:val="en-US" w:eastAsia="zh-TW"/>
        </w:rPr>
        <w:t>4.0%</w:t>
      </w:r>
      <w:r w:rsidRPr="00000550">
        <w:rPr>
          <w:rFonts w:ascii="微软雅黑" w:eastAsia="微软雅黑" w:hAnsi="微软雅黑" w:cs="微软雅黑" w:hint="eastAsia"/>
          <w:lang w:val="en-US" w:eastAsia="zh-TW"/>
        </w:rPr>
        <w:t>）</w:t>
      </w:r>
    </w:p>
    <w:p w14:paraId="5914CBEB" w14:textId="5E7741E9" w:rsidR="00000550" w:rsidRDefault="004E5F78" w:rsidP="00000550">
      <w:pPr>
        <w:pStyle w:val="aa"/>
        <w:numPr>
          <w:ilvl w:val="0"/>
          <w:numId w:val="14"/>
        </w:numPr>
        <w:contextualSpacing w:val="0"/>
        <w:rPr>
          <w:lang w:eastAsia="zh-TW"/>
        </w:rPr>
      </w:pPr>
      <w:r w:rsidRPr="0043329A">
        <w:rPr>
          <w:rFonts w:hint="eastAsia"/>
          <w:lang w:eastAsia="zh-TW"/>
        </w:rPr>
        <w:t>粘合劑技術</w:t>
      </w:r>
      <w:r w:rsidRPr="00000550">
        <w:rPr>
          <w:rFonts w:hint="eastAsia"/>
          <w:lang w:eastAsia="zh-TW"/>
        </w:rPr>
        <w:t>業務部</w:t>
      </w:r>
      <w:r w:rsidRPr="0043329A">
        <w:rPr>
          <w:rFonts w:hint="eastAsia"/>
          <w:lang w:eastAsia="zh-TW"/>
        </w:rPr>
        <w:t>：</w:t>
      </w:r>
      <w:r w:rsidRPr="0043329A">
        <w:rPr>
          <w:lang w:eastAsia="zh-TW"/>
        </w:rPr>
        <w:t>2.0%</w:t>
      </w:r>
      <w:r w:rsidRPr="0043329A">
        <w:rPr>
          <w:rFonts w:hint="eastAsia"/>
          <w:lang w:eastAsia="zh-TW"/>
        </w:rPr>
        <w:t>至</w:t>
      </w:r>
      <w:r w:rsidRPr="0043329A">
        <w:rPr>
          <w:lang w:eastAsia="zh-TW"/>
        </w:rPr>
        <w:t>4.0%</w:t>
      </w:r>
      <w:r w:rsidRPr="0043329A">
        <w:rPr>
          <w:rFonts w:hint="eastAsia"/>
          <w:lang w:eastAsia="zh-TW"/>
        </w:rPr>
        <w:t>（保持不變）</w:t>
      </w:r>
    </w:p>
    <w:p w14:paraId="095B0187" w14:textId="36B896D5" w:rsidR="00520502" w:rsidRPr="0043329A" w:rsidRDefault="004E5F78" w:rsidP="00000550">
      <w:pPr>
        <w:pStyle w:val="aa"/>
        <w:numPr>
          <w:ilvl w:val="0"/>
          <w:numId w:val="14"/>
        </w:numPr>
        <w:contextualSpacing w:val="0"/>
        <w:rPr>
          <w:lang w:eastAsia="zh-TW"/>
        </w:rPr>
      </w:pPr>
      <w:r w:rsidRPr="0043329A">
        <w:rPr>
          <w:rFonts w:hint="eastAsia"/>
          <w:lang w:eastAsia="zh-TW"/>
        </w:rPr>
        <w:t>消費品牌業務部：</w:t>
      </w:r>
      <w:r w:rsidRPr="0043329A">
        <w:rPr>
          <w:lang w:eastAsia="zh-TW"/>
        </w:rPr>
        <w:t>3.0%</w:t>
      </w:r>
      <w:r w:rsidRPr="0043329A">
        <w:rPr>
          <w:rFonts w:hint="eastAsia"/>
          <w:lang w:eastAsia="zh-TW"/>
        </w:rPr>
        <w:t>至</w:t>
      </w:r>
      <w:r w:rsidRPr="0043329A">
        <w:rPr>
          <w:lang w:eastAsia="zh-TW"/>
        </w:rPr>
        <w:t>5.0%</w:t>
      </w:r>
      <w:r w:rsidRPr="0043329A">
        <w:rPr>
          <w:rFonts w:hint="eastAsia"/>
          <w:lang w:eastAsia="zh-TW"/>
        </w:rPr>
        <w:t>（此前為：</w:t>
      </w:r>
      <w:r w:rsidRPr="0043329A">
        <w:rPr>
          <w:lang w:eastAsia="zh-TW"/>
        </w:rPr>
        <w:t>2.0%</w:t>
      </w:r>
      <w:r w:rsidRPr="0043329A">
        <w:rPr>
          <w:rFonts w:hint="eastAsia"/>
          <w:lang w:eastAsia="zh-TW"/>
        </w:rPr>
        <w:t>至</w:t>
      </w:r>
      <w:r w:rsidRPr="0043329A">
        <w:rPr>
          <w:lang w:eastAsia="zh-TW"/>
        </w:rPr>
        <w:t>4.0%</w:t>
      </w:r>
      <w:r w:rsidRPr="0043329A">
        <w:rPr>
          <w:rFonts w:hint="eastAsia"/>
          <w:lang w:eastAsia="zh-TW"/>
        </w:rPr>
        <w:t>）</w:t>
      </w:r>
    </w:p>
    <w:p w14:paraId="51FC57BB" w14:textId="6D3C7D7D" w:rsidR="00520502" w:rsidRPr="00000550" w:rsidRDefault="004E5F78" w:rsidP="00000550">
      <w:pPr>
        <w:pStyle w:val="He01FlietextAufzhlung1Ebene"/>
        <w:numPr>
          <w:ilvl w:val="0"/>
          <w:numId w:val="13"/>
        </w:numPr>
        <w:spacing w:after="0" w:line="276" w:lineRule="auto"/>
        <w:ind w:left="720" w:hanging="357"/>
        <w:jc w:val="both"/>
        <w:rPr>
          <w:rFonts w:ascii="微软雅黑" w:eastAsia="微软雅黑" w:hAnsi="微软雅黑" w:cs="微软雅黑"/>
          <w:lang w:val="en-US" w:eastAsia="zh-TW"/>
        </w:rPr>
      </w:pPr>
      <w:r w:rsidRPr="00000550">
        <w:rPr>
          <w:rFonts w:ascii="微软雅黑" w:eastAsia="微软雅黑" w:hAnsi="微软雅黑" w:cs="微软雅黑" w:hint="eastAsia"/>
          <w:b/>
          <w:bCs/>
          <w:lang w:val="en-US" w:eastAsia="zh-TW"/>
        </w:rPr>
        <w:t>調整後的銷售回報率：</w:t>
      </w:r>
      <w:r w:rsidRPr="00000550">
        <w:rPr>
          <w:rFonts w:ascii="微软雅黑" w:eastAsia="微软雅黑" w:hAnsi="微软雅黑" w:cs="微软雅黑"/>
          <w:lang w:val="en-US" w:eastAsia="zh-TW"/>
        </w:rPr>
        <w:t>13.0%</w:t>
      </w:r>
      <w:r w:rsidRPr="00000550">
        <w:rPr>
          <w:rFonts w:ascii="微软雅黑" w:eastAsia="微软雅黑" w:hAnsi="微软雅黑" w:cs="微软雅黑" w:hint="eastAsia"/>
          <w:lang w:val="en-US" w:eastAsia="zh-TW"/>
        </w:rPr>
        <w:t>至</w:t>
      </w:r>
      <w:r w:rsidRPr="00000550">
        <w:rPr>
          <w:rFonts w:ascii="微软雅黑" w:eastAsia="微软雅黑" w:hAnsi="微软雅黑" w:cs="微软雅黑"/>
          <w:lang w:val="en-US" w:eastAsia="zh-TW"/>
        </w:rPr>
        <w:t>14.0%</w:t>
      </w:r>
      <w:r w:rsidRPr="00000550">
        <w:rPr>
          <w:rFonts w:ascii="微软雅黑" w:eastAsia="微软雅黑" w:hAnsi="微软雅黑" w:cs="微软雅黑" w:hint="eastAsia"/>
          <w:lang w:val="en-US" w:eastAsia="zh-TW"/>
        </w:rPr>
        <w:t>（此前為：</w:t>
      </w:r>
      <w:r w:rsidRPr="00000550">
        <w:rPr>
          <w:rFonts w:ascii="微软雅黑" w:eastAsia="微软雅黑" w:hAnsi="微软雅黑" w:cs="微软雅黑"/>
          <w:lang w:val="en-US" w:eastAsia="zh-TW"/>
        </w:rPr>
        <w:t>12.0%</w:t>
      </w:r>
      <w:r w:rsidRPr="00000550">
        <w:rPr>
          <w:rFonts w:ascii="微软雅黑" w:eastAsia="微软雅黑" w:hAnsi="微软雅黑" w:cs="微软雅黑" w:hint="eastAsia"/>
          <w:lang w:val="en-US" w:eastAsia="zh-TW"/>
        </w:rPr>
        <w:t>至</w:t>
      </w:r>
      <w:r w:rsidRPr="00000550">
        <w:rPr>
          <w:rFonts w:ascii="微软雅黑" w:eastAsia="微软雅黑" w:hAnsi="微软雅黑" w:cs="微软雅黑"/>
          <w:lang w:val="en-US" w:eastAsia="zh-TW"/>
        </w:rPr>
        <w:t>13.5%</w:t>
      </w:r>
      <w:r w:rsidRPr="00000550">
        <w:rPr>
          <w:rFonts w:ascii="微软雅黑" w:eastAsia="微软雅黑" w:hAnsi="微软雅黑" w:cs="微软雅黑" w:hint="eastAsia"/>
          <w:lang w:val="en-US" w:eastAsia="zh-TW"/>
        </w:rPr>
        <w:t>）</w:t>
      </w:r>
    </w:p>
    <w:p w14:paraId="64F121B3" w14:textId="6D2E94EA" w:rsidR="00520502" w:rsidRPr="0043329A" w:rsidRDefault="004E5F78" w:rsidP="00000550">
      <w:pPr>
        <w:pStyle w:val="aa"/>
        <w:numPr>
          <w:ilvl w:val="0"/>
          <w:numId w:val="14"/>
        </w:numPr>
        <w:contextualSpacing w:val="0"/>
        <w:rPr>
          <w:lang w:eastAsia="zh-TW"/>
        </w:rPr>
      </w:pPr>
      <w:r w:rsidRPr="0043329A">
        <w:rPr>
          <w:rFonts w:hint="eastAsia"/>
          <w:lang w:eastAsia="zh-TW"/>
        </w:rPr>
        <w:t>粘合劑技術業務部：</w:t>
      </w:r>
      <w:r w:rsidRPr="0043329A">
        <w:rPr>
          <w:lang w:eastAsia="zh-TW"/>
        </w:rPr>
        <w:t>16.0%</w:t>
      </w:r>
      <w:r w:rsidRPr="0043329A">
        <w:rPr>
          <w:rFonts w:hint="eastAsia"/>
          <w:lang w:eastAsia="zh-TW"/>
        </w:rPr>
        <w:t>至</w:t>
      </w:r>
      <w:r w:rsidRPr="0043329A">
        <w:rPr>
          <w:lang w:eastAsia="zh-TW"/>
        </w:rPr>
        <w:t>17.0%</w:t>
      </w:r>
      <w:r w:rsidRPr="0043329A">
        <w:rPr>
          <w:rFonts w:hint="eastAsia"/>
          <w:lang w:eastAsia="zh-TW"/>
        </w:rPr>
        <w:t>（此前為：</w:t>
      </w:r>
      <w:r w:rsidRPr="0043329A">
        <w:rPr>
          <w:lang w:eastAsia="zh-TW"/>
        </w:rPr>
        <w:t>15.0%</w:t>
      </w:r>
      <w:r w:rsidRPr="0043329A">
        <w:rPr>
          <w:rFonts w:hint="eastAsia"/>
          <w:lang w:eastAsia="zh-TW"/>
        </w:rPr>
        <w:t>至</w:t>
      </w:r>
      <w:r w:rsidRPr="0043329A">
        <w:rPr>
          <w:lang w:eastAsia="zh-TW"/>
        </w:rPr>
        <w:t>16.5%</w:t>
      </w:r>
      <w:r w:rsidRPr="0043329A">
        <w:rPr>
          <w:rFonts w:hint="eastAsia"/>
          <w:lang w:eastAsia="zh-TW"/>
        </w:rPr>
        <w:t>）</w:t>
      </w:r>
    </w:p>
    <w:p w14:paraId="6512D716" w14:textId="646CEAFC" w:rsidR="00520502" w:rsidRPr="0043329A" w:rsidRDefault="004E5F78" w:rsidP="00000550">
      <w:pPr>
        <w:pStyle w:val="aa"/>
        <w:numPr>
          <w:ilvl w:val="0"/>
          <w:numId w:val="14"/>
        </w:numPr>
        <w:contextualSpacing w:val="0"/>
        <w:rPr>
          <w:lang w:eastAsia="zh-TW"/>
        </w:rPr>
      </w:pPr>
      <w:r w:rsidRPr="0043329A">
        <w:rPr>
          <w:rFonts w:hint="eastAsia"/>
          <w:lang w:eastAsia="zh-TW"/>
        </w:rPr>
        <w:t>消費品牌業務部：</w:t>
      </w:r>
      <w:r w:rsidRPr="0043329A">
        <w:rPr>
          <w:lang w:eastAsia="zh-TW"/>
        </w:rPr>
        <w:t>12.0%</w:t>
      </w:r>
      <w:r w:rsidRPr="0043329A">
        <w:rPr>
          <w:rFonts w:hint="eastAsia"/>
          <w:lang w:eastAsia="zh-TW"/>
        </w:rPr>
        <w:t>至</w:t>
      </w:r>
      <w:r w:rsidRPr="0043329A">
        <w:rPr>
          <w:lang w:eastAsia="zh-TW"/>
        </w:rPr>
        <w:t>13.0%</w:t>
      </w:r>
      <w:r w:rsidRPr="0043329A">
        <w:rPr>
          <w:rFonts w:hint="eastAsia"/>
          <w:lang w:eastAsia="zh-TW"/>
        </w:rPr>
        <w:t>（此前為：</w:t>
      </w:r>
      <w:r w:rsidRPr="0043329A">
        <w:rPr>
          <w:lang w:eastAsia="zh-TW"/>
        </w:rPr>
        <w:t>11.0%</w:t>
      </w:r>
      <w:r w:rsidRPr="0043329A">
        <w:rPr>
          <w:rFonts w:hint="eastAsia"/>
          <w:lang w:eastAsia="zh-TW"/>
        </w:rPr>
        <w:t>至</w:t>
      </w:r>
      <w:r w:rsidRPr="0043329A">
        <w:rPr>
          <w:lang w:eastAsia="zh-TW"/>
        </w:rPr>
        <w:t>12.5%</w:t>
      </w:r>
      <w:r w:rsidRPr="0043329A">
        <w:rPr>
          <w:rFonts w:hint="eastAsia"/>
          <w:lang w:eastAsia="zh-TW"/>
        </w:rPr>
        <w:t>）</w:t>
      </w:r>
    </w:p>
    <w:p w14:paraId="1F993AB9" w14:textId="4F42F246" w:rsidR="0087276F" w:rsidRPr="00000550" w:rsidRDefault="004E5F78" w:rsidP="00000550">
      <w:pPr>
        <w:pStyle w:val="He01FlietextAufzhlung1Ebene"/>
        <w:numPr>
          <w:ilvl w:val="0"/>
          <w:numId w:val="13"/>
        </w:numPr>
        <w:spacing w:after="0" w:line="276" w:lineRule="auto"/>
        <w:ind w:left="720" w:hanging="357"/>
        <w:jc w:val="both"/>
        <w:rPr>
          <w:rFonts w:ascii="微软雅黑" w:eastAsia="微软雅黑" w:hAnsi="微软雅黑" w:cs="微软雅黑"/>
          <w:lang w:val="en-US" w:eastAsia="zh-TW"/>
        </w:rPr>
      </w:pPr>
      <w:r w:rsidRPr="00000550">
        <w:rPr>
          <w:rFonts w:ascii="微软雅黑" w:eastAsia="微软雅黑" w:hAnsi="微软雅黑" w:cs="微软雅黑" w:hint="eastAsia"/>
          <w:b/>
          <w:bCs/>
          <w:lang w:val="en-US" w:eastAsia="zh-TW"/>
        </w:rPr>
        <w:t>調整後的優先股每股收益（</w:t>
      </w:r>
      <w:r w:rsidRPr="00000550">
        <w:rPr>
          <w:rFonts w:ascii="微软雅黑" w:eastAsia="微软雅黑" w:hAnsi="微软雅黑" w:cs="微软雅黑"/>
          <w:b/>
          <w:bCs/>
          <w:lang w:val="en-US" w:eastAsia="zh-TW"/>
        </w:rPr>
        <w:t>EPS</w:t>
      </w:r>
      <w:r w:rsidRPr="00000550">
        <w:rPr>
          <w:rFonts w:ascii="微软雅黑" w:eastAsia="微软雅黑" w:hAnsi="微软雅黑" w:cs="微软雅黑" w:hint="eastAsia"/>
          <w:b/>
          <w:bCs/>
          <w:lang w:val="en-US" w:eastAsia="zh-TW"/>
        </w:rPr>
        <w:t>）：</w:t>
      </w:r>
      <w:r w:rsidRPr="00000550">
        <w:rPr>
          <w:rFonts w:ascii="微软雅黑" w:eastAsia="微软雅黑" w:hAnsi="微软雅黑" w:cs="微软雅黑" w:hint="eastAsia"/>
          <w:lang w:val="en-US" w:eastAsia="zh-TW"/>
        </w:rPr>
        <w:t>按固定匯率計算，增幅在</w:t>
      </w:r>
      <w:r w:rsidRPr="00000550">
        <w:rPr>
          <w:rFonts w:ascii="微软雅黑" w:eastAsia="微软雅黑" w:hAnsi="微软雅黑" w:cs="微软雅黑"/>
          <w:lang w:val="en-US" w:eastAsia="zh-TW"/>
        </w:rPr>
        <w:t>15.0%</w:t>
      </w:r>
      <w:r w:rsidRPr="00000550">
        <w:rPr>
          <w:rFonts w:ascii="微软雅黑" w:eastAsia="微软雅黑" w:hAnsi="微软雅黑" w:cs="微软雅黑" w:hint="eastAsia"/>
          <w:lang w:val="en-US" w:eastAsia="zh-TW"/>
        </w:rPr>
        <w:t>至</w:t>
      </w:r>
      <w:r w:rsidRPr="00000550">
        <w:rPr>
          <w:rFonts w:ascii="微软雅黑" w:eastAsia="微软雅黑" w:hAnsi="微软雅黑" w:cs="微软雅黑"/>
          <w:lang w:val="en-US" w:eastAsia="zh-TW"/>
        </w:rPr>
        <w:t>25.0%</w:t>
      </w:r>
      <w:r w:rsidRPr="00000550">
        <w:rPr>
          <w:rFonts w:ascii="微软雅黑" w:eastAsia="微软雅黑" w:hAnsi="微软雅黑" w:cs="微软雅黑" w:hint="eastAsia"/>
          <w:lang w:val="en-US" w:eastAsia="zh-TW"/>
        </w:rPr>
        <w:t>之間</w:t>
      </w:r>
      <w:proofErr w:type="gramStart"/>
      <w:r w:rsidRPr="00000550">
        <w:rPr>
          <w:rFonts w:ascii="微软雅黑" w:eastAsia="微软雅黑" w:hAnsi="微软雅黑" w:cs="微软雅黑" w:hint="eastAsia"/>
          <w:lang w:val="en-US" w:eastAsia="zh-TW"/>
        </w:rPr>
        <w:t>（</w:t>
      </w:r>
      <w:proofErr w:type="gramEnd"/>
      <w:r w:rsidRPr="00000550">
        <w:rPr>
          <w:rFonts w:ascii="微软雅黑" w:eastAsia="微软雅黑" w:hAnsi="微软雅黑" w:cs="微软雅黑" w:hint="eastAsia"/>
          <w:lang w:val="en-US" w:eastAsia="zh-TW"/>
        </w:rPr>
        <w:t>此前為：</w:t>
      </w:r>
      <w:r w:rsidRPr="00000550">
        <w:rPr>
          <w:rFonts w:ascii="微软雅黑" w:eastAsia="微软雅黑" w:hAnsi="微软雅黑" w:cs="微软雅黑"/>
          <w:lang w:val="en-US" w:eastAsia="zh-TW"/>
        </w:rPr>
        <w:t>5.0%</w:t>
      </w:r>
      <w:r w:rsidRPr="00000550">
        <w:rPr>
          <w:rFonts w:ascii="微软雅黑" w:eastAsia="微软雅黑" w:hAnsi="微软雅黑" w:cs="微软雅黑" w:hint="eastAsia"/>
          <w:lang w:val="en-US" w:eastAsia="zh-TW"/>
        </w:rPr>
        <w:t>至</w:t>
      </w:r>
      <w:r w:rsidRPr="00000550">
        <w:rPr>
          <w:rFonts w:ascii="微软雅黑" w:eastAsia="微软雅黑" w:hAnsi="微软雅黑" w:cs="微软雅黑"/>
          <w:lang w:val="en-US" w:eastAsia="zh-TW"/>
        </w:rPr>
        <w:t>20.0%</w:t>
      </w:r>
      <w:r w:rsidRPr="00000550">
        <w:rPr>
          <w:rFonts w:ascii="微软雅黑" w:eastAsia="微软雅黑" w:hAnsi="微软雅黑" w:cs="微软雅黑" w:hint="eastAsia"/>
          <w:lang w:val="en-US" w:eastAsia="zh-TW"/>
        </w:rPr>
        <w:t>）</w:t>
      </w:r>
    </w:p>
    <w:p w14:paraId="1670C0DC" w14:textId="77777777" w:rsidR="00000550" w:rsidRDefault="00000550" w:rsidP="0054023C">
      <w:pPr>
        <w:spacing w:after="240"/>
        <w:rPr>
          <w:rFonts w:cs="Segoe UI"/>
          <w:szCs w:val="22"/>
          <w:lang w:eastAsia="zh-TW"/>
        </w:rPr>
      </w:pPr>
    </w:p>
    <w:p w14:paraId="626F7FBB" w14:textId="3700DD36" w:rsidR="001002C6" w:rsidRPr="0043329A" w:rsidRDefault="004E5F78" w:rsidP="0054023C">
      <w:pPr>
        <w:spacing w:after="240"/>
        <w:rPr>
          <w:rFonts w:cs="Segoe UI"/>
          <w:szCs w:val="22"/>
          <w:lang w:eastAsia="zh-TW"/>
        </w:rPr>
      </w:pPr>
      <w:r w:rsidRPr="0043329A">
        <w:rPr>
          <w:rFonts w:hint="eastAsia"/>
          <w:lang w:eastAsia="zh-TW"/>
        </w:rPr>
        <w:t>漢高首席執行官卡斯</w:t>
      </w:r>
      <w:proofErr w:type="gramStart"/>
      <w:r w:rsidRPr="0043329A">
        <w:rPr>
          <w:rFonts w:hint="eastAsia"/>
          <w:lang w:eastAsia="zh-TW"/>
        </w:rPr>
        <w:t>滕·</w:t>
      </w:r>
      <w:proofErr w:type="gramEnd"/>
      <w:r w:rsidRPr="0043329A">
        <w:rPr>
          <w:rFonts w:hint="eastAsia"/>
          <w:lang w:eastAsia="zh-TW"/>
        </w:rPr>
        <w:t>諾貝爾（</w:t>
      </w:r>
      <w:r w:rsidRPr="0043329A">
        <w:rPr>
          <w:lang w:eastAsia="zh-TW"/>
        </w:rPr>
        <w:t>Carsten Knobel</w:t>
      </w:r>
      <w:r w:rsidRPr="0043329A">
        <w:rPr>
          <w:rFonts w:hint="eastAsia"/>
          <w:lang w:eastAsia="zh-TW"/>
        </w:rPr>
        <w:t>）表示：“</w:t>
      </w:r>
      <w:r>
        <w:rPr>
          <w:rFonts w:hint="eastAsia"/>
          <w:lang w:eastAsia="zh-TW"/>
        </w:rPr>
        <w:t>漢高</w:t>
      </w:r>
      <w:r w:rsidRPr="0043329A">
        <w:rPr>
          <w:rFonts w:hint="eastAsia"/>
          <w:lang w:eastAsia="zh-TW"/>
        </w:rPr>
        <w:t>今年開局</w:t>
      </w:r>
      <w:r w:rsidRPr="0043329A">
        <w:rPr>
          <w:rFonts w:cs="Segoe UI" w:hint="eastAsia"/>
          <w:szCs w:val="22"/>
          <w:lang w:eastAsia="zh-TW"/>
        </w:rPr>
        <w:t>強勁</w:t>
      </w:r>
      <w:r>
        <w:rPr>
          <w:rFonts w:cs="Segoe UI" w:hint="eastAsia"/>
          <w:szCs w:val="22"/>
          <w:lang w:eastAsia="zh-TW"/>
        </w:rPr>
        <w:t>的業績表現以及</w:t>
      </w:r>
      <w:r>
        <w:rPr>
          <w:rFonts w:hint="eastAsia"/>
          <w:lang w:eastAsia="zh-TW"/>
        </w:rPr>
        <w:t>我們</w:t>
      </w:r>
      <w:r w:rsidRPr="0043329A">
        <w:rPr>
          <w:rFonts w:hint="eastAsia"/>
          <w:lang w:eastAsia="zh-TW"/>
        </w:rPr>
        <w:t>今天對全年財務預期的上調，都清晰地表明</w:t>
      </w:r>
      <w:r>
        <w:rPr>
          <w:rFonts w:hint="eastAsia"/>
          <w:lang w:eastAsia="zh-TW"/>
        </w:rPr>
        <w:t>漢高</w:t>
      </w:r>
      <w:r w:rsidRPr="0043329A">
        <w:rPr>
          <w:rFonts w:hint="eastAsia"/>
          <w:lang w:eastAsia="zh-TW"/>
        </w:rPr>
        <w:t>正在按照既定的增長議程穩步前進。</w:t>
      </w:r>
      <w:r w:rsidRPr="0043329A">
        <w:rPr>
          <w:rFonts w:cs="Segoe UI" w:hint="eastAsia"/>
          <w:szCs w:val="22"/>
          <w:lang w:eastAsia="zh-TW"/>
        </w:rPr>
        <w:t>我們始終</w:t>
      </w:r>
      <w:r>
        <w:rPr>
          <w:rFonts w:cs="Segoe UI" w:hint="eastAsia"/>
          <w:szCs w:val="22"/>
          <w:lang w:eastAsia="zh-TW"/>
        </w:rPr>
        <w:t>堅持通過增長議程取得切實的成果</w:t>
      </w:r>
      <w:r w:rsidRPr="0043329A">
        <w:rPr>
          <w:rFonts w:cs="Segoe UI" w:hint="eastAsia"/>
          <w:szCs w:val="22"/>
          <w:lang w:eastAsia="zh-TW"/>
        </w:rPr>
        <w:t>，</w:t>
      </w:r>
      <w:r w:rsidRPr="0043329A">
        <w:rPr>
          <w:rFonts w:hint="eastAsia"/>
          <w:lang w:eastAsia="zh-TW"/>
        </w:rPr>
        <w:t>而</w:t>
      </w:r>
      <w:r>
        <w:rPr>
          <w:rFonts w:hint="eastAsia"/>
          <w:lang w:eastAsia="zh-TW"/>
        </w:rPr>
        <w:t>這也是</w:t>
      </w:r>
      <w:r w:rsidRPr="0043329A">
        <w:rPr>
          <w:rFonts w:hint="eastAsia"/>
          <w:lang w:eastAsia="zh-TW"/>
        </w:rPr>
        <w:t>我們正在做</w:t>
      </w:r>
      <w:r>
        <w:rPr>
          <w:rFonts w:hint="eastAsia"/>
          <w:lang w:eastAsia="zh-TW"/>
        </w:rPr>
        <w:t>的事情</w:t>
      </w:r>
      <w:r w:rsidRPr="0043329A">
        <w:rPr>
          <w:rFonts w:hint="eastAsia"/>
          <w:lang w:eastAsia="zh-TW"/>
        </w:rPr>
        <w:t>。兩個業務部門開展的變革</w:t>
      </w:r>
      <w:r w:rsidRPr="0043329A">
        <w:rPr>
          <w:rFonts w:cs="Segoe UI" w:hint="eastAsia"/>
          <w:szCs w:val="22"/>
          <w:lang w:eastAsia="zh-TW"/>
        </w:rPr>
        <w:t>已顯現出明確成效。”</w:t>
      </w:r>
    </w:p>
    <w:p w14:paraId="4040A932" w14:textId="3BBA4425" w:rsidR="002F6850" w:rsidRPr="0043329A" w:rsidRDefault="004E5F78" w:rsidP="0054023C">
      <w:pPr>
        <w:spacing w:after="240"/>
        <w:rPr>
          <w:rFonts w:cs="Segoe UI"/>
          <w:szCs w:val="22"/>
          <w:lang w:eastAsia="zh-TW"/>
        </w:rPr>
      </w:pPr>
      <w:r w:rsidRPr="0043329A">
        <w:rPr>
          <w:rFonts w:cs="Segoe UI" w:hint="eastAsia"/>
          <w:szCs w:val="22"/>
          <w:lang w:eastAsia="zh-TW"/>
        </w:rPr>
        <w:t>兩個業務部</w:t>
      </w:r>
      <w:r w:rsidRPr="0043329A">
        <w:rPr>
          <w:rFonts w:hint="eastAsia"/>
          <w:lang w:eastAsia="zh-TW"/>
        </w:rPr>
        <w:t>門</w:t>
      </w:r>
      <w:r w:rsidRPr="0043329A">
        <w:rPr>
          <w:rFonts w:cs="Segoe UI" w:hint="eastAsia"/>
          <w:szCs w:val="22"/>
          <w:lang w:eastAsia="zh-TW"/>
        </w:rPr>
        <w:t>對</w:t>
      </w:r>
      <w:r w:rsidRPr="0043329A">
        <w:rPr>
          <w:rFonts w:cs="Segoe UI"/>
          <w:szCs w:val="22"/>
          <w:lang w:eastAsia="zh-TW"/>
        </w:rPr>
        <w:t>2024</w:t>
      </w:r>
      <w:r w:rsidRPr="0043329A">
        <w:rPr>
          <w:rFonts w:cs="Segoe UI" w:hint="eastAsia"/>
          <w:szCs w:val="22"/>
          <w:lang w:eastAsia="zh-TW"/>
        </w:rPr>
        <w:t>年財務預期的上調均有所貢獻。在持續充滿挑戰的市場環境中，粘合劑技術業務部更為穩健的整體業務和毛利率增長，</w:t>
      </w:r>
      <w:r>
        <w:rPr>
          <w:rFonts w:cs="Segoe UI" w:hint="eastAsia"/>
          <w:szCs w:val="22"/>
          <w:lang w:eastAsia="zh-TW"/>
        </w:rPr>
        <w:t>以及</w:t>
      </w:r>
      <w:r w:rsidRPr="0043329A">
        <w:rPr>
          <w:rFonts w:cs="Segoe UI" w:hint="eastAsia"/>
          <w:szCs w:val="22"/>
          <w:lang w:eastAsia="zh-TW"/>
        </w:rPr>
        <w:t>電子業務市場的復蘇</w:t>
      </w:r>
      <w:r>
        <w:rPr>
          <w:rFonts w:cs="Segoe UI" w:hint="eastAsia"/>
          <w:szCs w:val="22"/>
          <w:lang w:eastAsia="zh-TW"/>
        </w:rPr>
        <w:t>都</w:t>
      </w:r>
      <w:r w:rsidRPr="0043329A">
        <w:rPr>
          <w:rFonts w:cs="Segoe UI" w:hint="eastAsia"/>
          <w:szCs w:val="22"/>
          <w:lang w:eastAsia="zh-TW"/>
        </w:rPr>
        <w:t>對盈利產生積極影響。</w:t>
      </w:r>
    </w:p>
    <w:p w14:paraId="62422AF5" w14:textId="215BB714" w:rsidR="00CF4B76" w:rsidRPr="0043329A" w:rsidRDefault="004E5F78" w:rsidP="0054023C">
      <w:pPr>
        <w:spacing w:after="240"/>
        <w:rPr>
          <w:rFonts w:cs="Segoe UI"/>
          <w:szCs w:val="22"/>
          <w:lang w:eastAsia="zh-TW"/>
        </w:rPr>
      </w:pPr>
      <w:r w:rsidRPr="0043329A">
        <w:rPr>
          <w:rFonts w:cs="Segoe UI" w:hint="eastAsia"/>
          <w:szCs w:val="22"/>
          <w:lang w:eastAsia="zh-TW"/>
        </w:rPr>
        <w:t>在消費品牌業務部，相關</w:t>
      </w:r>
      <w:r>
        <w:rPr>
          <w:rFonts w:cs="Segoe UI" w:hint="eastAsia"/>
          <w:szCs w:val="22"/>
          <w:lang w:eastAsia="zh-TW"/>
        </w:rPr>
        <w:t>策</w:t>
      </w:r>
      <w:r w:rsidRPr="0043329A">
        <w:rPr>
          <w:rFonts w:cs="Segoe UI" w:hint="eastAsia"/>
          <w:szCs w:val="22"/>
          <w:lang w:eastAsia="zh-TW"/>
        </w:rPr>
        <w:t>略舉措的實施對銷售額、毛利率和盈利產生了積極影響。這得益於美髮業務的強勁業績</w:t>
      </w:r>
      <w:r>
        <w:rPr>
          <w:rFonts w:cs="Segoe UI" w:hint="eastAsia"/>
          <w:szCs w:val="22"/>
          <w:lang w:eastAsia="zh-TW"/>
        </w:rPr>
        <w:t>表現</w:t>
      </w:r>
      <w:r w:rsidRPr="0043329A">
        <w:rPr>
          <w:rFonts w:cs="Segoe UI" w:hint="eastAsia"/>
          <w:szCs w:val="22"/>
          <w:lang w:eastAsia="zh-TW"/>
        </w:rPr>
        <w:t>、持續實施</w:t>
      </w:r>
      <w:r>
        <w:rPr>
          <w:rFonts w:cs="Segoe UI" w:hint="eastAsia"/>
          <w:szCs w:val="22"/>
          <w:lang w:eastAsia="zh-TW"/>
        </w:rPr>
        <w:t>的</w:t>
      </w:r>
      <w:r w:rsidRPr="0043329A">
        <w:rPr>
          <w:rFonts w:cs="Segoe UI" w:hint="eastAsia"/>
          <w:szCs w:val="22"/>
          <w:lang w:eastAsia="zh-TW"/>
        </w:rPr>
        <w:t>產品組合措施以及核心品牌和創新產品的強勁增長。與此同時，漢高繼續投資</w:t>
      </w:r>
      <w:proofErr w:type="gramStart"/>
      <w:r>
        <w:rPr>
          <w:rFonts w:cs="Segoe UI" w:hint="eastAsia"/>
          <w:szCs w:val="22"/>
          <w:lang w:eastAsia="zh-TW"/>
        </w:rPr>
        <w:t>于</w:t>
      </w:r>
      <w:proofErr w:type="gramEnd"/>
      <w:r w:rsidRPr="0043329A">
        <w:rPr>
          <w:rFonts w:cs="Segoe UI" w:hint="eastAsia"/>
          <w:szCs w:val="22"/>
          <w:lang w:eastAsia="zh-TW"/>
        </w:rPr>
        <w:t>創新，尤其是在營銷方面加大投資力度，從而推動業務進一步增長。</w:t>
      </w:r>
    </w:p>
    <w:p w14:paraId="47D68399" w14:textId="2C4F4996" w:rsidR="00CF4B76" w:rsidRPr="0043329A" w:rsidRDefault="004E5F78" w:rsidP="0054023C">
      <w:pPr>
        <w:spacing w:after="240"/>
        <w:rPr>
          <w:rFonts w:cs="Segoe UI"/>
          <w:szCs w:val="22"/>
          <w:lang w:eastAsia="zh-TW"/>
        </w:rPr>
      </w:pPr>
      <w:r w:rsidRPr="0043329A">
        <w:rPr>
          <w:rFonts w:cs="Segoe UI" w:hint="eastAsia"/>
          <w:szCs w:val="22"/>
          <w:lang w:eastAsia="zh-TW"/>
        </w:rPr>
        <w:lastRenderedPageBreak/>
        <w:t>漢高還更新了收購</w:t>
      </w:r>
      <w:r w:rsidRPr="0043329A">
        <w:rPr>
          <w:rFonts w:cs="Segoe UI"/>
          <w:szCs w:val="22"/>
          <w:lang w:eastAsia="zh-TW"/>
        </w:rPr>
        <w:t>/</w:t>
      </w:r>
      <w:r w:rsidRPr="0043329A">
        <w:rPr>
          <w:rFonts w:cs="Segoe UI" w:hint="eastAsia"/>
          <w:szCs w:val="22"/>
          <w:lang w:eastAsia="zh-TW"/>
        </w:rPr>
        <w:t>撤資以及貨幣因素對銷售額影響的預期。近期對</w:t>
      </w:r>
      <w:r w:rsidRPr="0043329A">
        <w:rPr>
          <w:rFonts w:cs="Segoe UI"/>
          <w:szCs w:val="22"/>
          <w:lang w:eastAsia="zh-TW"/>
        </w:rPr>
        <w:t>Seal for Life Industries</w:t>
      </w:r>
      <w:r w:rsidRPr="0043329A">
        <w:rPr>
          <w:rFonts w:cs="Segoe UI" w:hint="eastAsia"/>
          <w:szCs w:val="22"/>
          <w:lang w:eastAsia="zh-TW"/>
        </w:rPr>
        <w:t>和沙宣</w:t>
      </w:r>
      <w:r>
        <w:rPr>
          <w:rFonts w:cs="Segoe UI" w:hint="eastAsia"/>
          <w:szCs w:val="22"/>
          <w:lang w:eastAsia="zh-TW"/>
        </w:rPr>
        <w:t>大中華區</w:t>
      </w:r>
      <w:r w:rsidRPr="0043329A">
        <w:rPr>
          <w:rFonts w:cs="Segoe UI" w:hint="eastAsia"/>
          <w:szCs w:val="22"/>
          <w:lang w:eastAsia="zh-TW"/>
        </w:rPr>
        <w:t>的收購比預期更快完成，因此更早地促進了銷售額和盈利的增長。</w:t>
      </w:r>
    </w:p>
    <w:p w14:paraId="3CF9E71E" w14:textId="22CDF343" w:rsidR="00FB79B1" w:rsidRDefault="004E5F78" w:rsidP="00FB79B1">
      <w:pPr>
        <w:pStyle w:val="aa"/>
        <w:numPr>
          <w:ilvl w:val="0"/>
          <w:numId w:val="15"/>
        </w:numPr>
        <w:contextualSpacing w:val="0"/>
        <w:rPr>
          <w:rFonts w:cs="Segoe UI"/>
          <w:szCs w:val="22"/>
          <w:lang w:eastAsia="zh-TW"/>
        </w:rPr>
      </w:pPr>
      <w:r w:rsidRPr="0043329A">
        <w:rPr>
          <w:rFonts w:cs="Segoe UI" w:hint="eastAsia"/>
          <w:szCs w:val="22"/>
          <w:lang w:eastAsia="zh-TW"/>
        </w:rPr>
        <w:t>收購</w:t>
      </w:r>
      <w:r w:rsidRPr="0043329A">
        <w:rPr>
          <w:rFonts w:cs="Segoe UI"/>
          <w:szCs w:val="22"/>
          <w:lang w:eastAsia="zh-TW"/>
        </w:rPr>
        <w:t>/</w:t>
      </w:r>
      <w:r w:rsidRPr="0043329A">
        <w:rPr>
          <w:rFonts w:cs="Segoe UI" w:hint="eastAsia"/>
          <w:szCs w:val="22"/>
          <w:lang w:eastAsia="zh-TW"/>
        </w:rPr>
        <w:t>撤資：對名義銷售額增長無影響</w:t>
      </w:r>
      <w:proofErr w:type="gramStart"/>
      <w:r w:rsidRPr="0043329A">
        <w:rPr>
          <w:rFonts w:cs="Segoe UI" w:hint="eastAsia"/>
          <w:szCs w:val="22"/>
          <w:lang w:eastAsia="zh-TW"/>
        </w:rPr>
        <w:t>（</w:t>
      </w:r>
      <w:proofErr w:type="gramEnd"/>
      <w:r w:rsidRPr="0043329A">
        <w:rPr>
          <w:rFonts w:cs="Segoe UI" w:hint="eastAsia"/>
          <w:szCs w:val="22"/>
          <w:lang w:eastAsia="zh-TW"/>
        </w:rPr>
        <w:t>此前為：</w:t>
      </w:r>
      <w:r w:rsidRPr="00FB79B1">
        <w:rPr>
          <w:rFonts w:cs="Segoe UI" w:hint="eastAsia"/>
          <w:szCs w:val="22"/>
          <w:lang w:eastAsia="zh-TW"/>
        </w:rPr>
        <w:t>低個位數百分比範圍內的負面影響</w:t>
      </w:r>
      <w:proofErr w:type="gramStart"/>
      <w:r w:rsidRPr="00FB79B1">
        <w:rPr>
          <w:rFonts w:cs="Segoe UI" w:hint="eastAsia"/>
          <w:szCs w:val="22"/>
          <w:lang w:eastAsia="zh-TW"/>
        </w:rPr>
        <w:t>）</w:t>
      </w:r>
      <w:proofErr w:type="gramEnd"/>
    </w:p>
    <w:p w14:paraId="7A285186" w14:textId="09EAA86B" w:rsidR="00AB6B85" w:rsidRPr="00FB79B1" w:rsidRDefault="004E5F78" w:rsidP="00FB79B1">
      <w:pPr>
        <w:pStyle w:val="aa"/>
        <w:numPr>
          <w:ilvl w:val="0"/>
          <w:numId w:val="15"/>
        </w:numPr>
        <w:contextualSpacing w:val="0"/>
        <w:rPr>
          <w:rFonts w:cs="Segoe UI"/>
          <w:szCs w:val="22"/>
          <w:lang w:eastAsia="zh-TW"/>
        </w:rPr>
      </w:pPr>
      <w:r w:rsidRPr="00FB79B1">
        <w:rPr>
          <w:rFonts w:cs="Segoe UI" w:hint="eastAsia"/>
          <w:szCs w:val="22"/>
          <w:lang w:eastAsia="zh-TW"/>
        </w:rPr>
        <w:t>外幣銷售額折算：低至中等個位數百分比範圍內的負面影響</w:t>
      </w:r>
      <w:proofErr w:type="gramStart"/>
      <w:r w:rsidRPr="00FB79B1">
        <w:rPr>
          <w:rFonts w:cs="Segoe UI" w:hint="eastAsia"/>
          <w:szCs w:val="22"/>
          <w:lang w:eastAsia="zh-TW"/>
        </w:rPr>
        <w:t>（</w:t>
      </w:r>
      <w:proofErr w:type="gramEnd"/>
      <w:r w:rsidRPr="00FB79B1">
        <w:rPr>
          <w:rFonts w:cs="Segoe UI" w:hint="eastAsia"/>
          <w:szCs w:val="22"/>
          <w:lang w:eastAsia="zh-TW"/>
        </w:rPr>
        <w:t>此前為：中等個位數百分比範圍內的負面影響</w:t>
      </w:r>
      <w:proofErr w:type="gramStart"/>
      <w:r w:rsidRPr="00FB79B1">
        <w:rPr>
          <w:rFonts w:cs="Segoe UI" w:hint="eastAsia"/>
          <w:szCs w:val="22"/>
          <w:lang w:eastAsia="zh-TW"/>
        </w:rPr>
        <w:t>）</w:t>
      </w:r>
      <w:proofErr w:type="gramEnd"/>
    </w:p>
    <w:p w14:paraId="441D1856" w14:textId="77777777" w:rsidR="00FB79B1" w:rsidRDefault="00FB79B1" w:rsidP="0054023C">
      <w:pPr>
        <w:spacing w:after="240"/>
        <w:rPr>
          <w:rFonts w:cs="Segoe UI"/>
          <w:szCs w:val="22"/>
          <w:lang w:eastAsia="zh-TW"/>
        </w:rPr>
      </w:pPr>
    </w:p>
    <w:p w14:paraId="270232AA" w14:textId="5F4E97FB" w:rsidR="00AB6B85" w:rsidRPr="0043329A" w:rsidRDefault="004E5F78" w:rsidP="0054023C">
      <w:pPr>
        <w:spacing w:after="240"/>
        <w:rPr>
          <w:rFonts w:cs="Segoe UI"/>
          <w:szCs w:val="22"/>
          <w:lang w:eastAsia="zh-TW"/>
        </w:rPr>
      </w:pPr>
      <w:r>
        <w:rPr>
          <w:rFonts w:cs="Segoe UI" w:hint="eastAsia"/>
          <w:szCs w:val="22"/>
          <w:lang w:eastAsia="zh-TW"/>
        </w:rPr>
        <w:t>以下</w:t>
      </w:r>
      <w:r w:rsidRPr="0043329A">
        <w:rPr>
          <w:rFonts w:cs="Segoe UI"/>
          <w:szCs w:val="22"/>
          <w:lang w:eastAsia="zh-TW"/>
        </w:rPr>
        <w:t>2024</w:t>
      </w:r>
      <w:proofErr w:type="gramStart"/>
      <w:r w:rsidRPr="0043329A">
        <w:rPr>
          <w:rFonts w:cs="Segoe UI" w:hint="eastAsia"/>
          <w:szCs w:val="22"/>
          <w:lang w:eastAsia="zh-TW"/>
        </w:rPr>
        <w:t>財年預期</w:t>
      </w:r>
      <w:proofErr w:type="gramEnd"/>
      <w:r w:rsidRPr="0043329A">
        <w:rPr>
          <w:rFonts w:cs="Segoe UI" w:hint="eastAsia"/>
          <w:szCs w:val="22"/>
          <w:lang w:eastAsia="zh-TW"/>
        </w:rPr>
        <w:t>保持不變：</w:t>
      </w:r>
    </w:p>
    <w:p w14:paraId="7D0E9D9F" w14:textId="7B7DA72C" w:rsidR="00AB6B85" w:rsidRPr="0043329A" w:rsidRDefault="004E5F78" w:rsidP="00FB79B1">
      <w:pPr>
        <w:pStyle w:val="aa"/>
        <w:numPr>
          <w:ilvl w:val="0"/>
          <w:numId w:val="15"/>
        </w:numPr>
        <w:contextualSpacing w:val="0"/>
        <w:rPr>
          <w:rFonts w:cs="Segoe UI"/>
          <w:szCs w:val="22"/>
          <w:lang w:eastAsia="zh-TW"/>
        </w:rPr>
      </w:pPr>
      <w:r w:rsidRPr="0043329A">
        <w:rPr>
          <w:rFonts w:cs="Segoe UI" w:hint="eastAsia"/>
          <w:szCs w:val="22"/>
          <w:lang w:eastAsia="zh-TW"/>
        </w:rPr>
        <w:t>直接原材料價格：平穩增長</w:t>
      </w:r>
      <w:r w:rsidRPr="00822DA7">
        <w:rPr>
          <w:rFonts w:cs="Segoe UI"/>
          <w:szCs w:val="22"/>
          <w:vertAlign w:val="superscript"/>
          <w:lang w:eastAsia="zh-TW"/>
        </w:rPr>
        <w:t>1</w:t>
      </w:r>
    </w:p>
    <w:p w14:paraId="37F66C70" w14:textId="000B3B77" w:rsidR="00AB6B85" w:rsidRPr="0043329A" w:rsidRDefault="004E5F78" w:rsidP="00FB79B1">
      <w:pPr>
        <w:pStyle w:val="aa"/>
        <w:numPr>
          <w:ilvl w:val="0"/>
          <w:numId w:val="15"/>
        </w:numPr>
        <w:contextualSpacing w:val="0"/>
        <w:rPr>
          <w:rFonts w:cs="Segoe UI"/>
          <w:szCs w:val="22"/>
        </w:rPr>
      </w:pPr>
      <w:r w:rsidRPr="0043329A">
        <w:rPr>
          <w:rFonts w:cs="Segoe UI" w:hint="eastAsia"/>
          <w:szCs w:val="22"/>
          <w:lang w:eastAsia="zh-TW"/>
        </w:rPr>
        <w:t>重組費用為</w:t>
      </w:r>
      <w:r w:rsidRPr="0043329A">
        <w:rPr>
          <w:rFonts w:cs="Segoe UI"/>
          <w:szCs w:val="22"/>
          <w:lang w:eastAsia="zh-TW"/>
        </w:rPr>
        <w:t>2.5</w:t>
      </w:r>
      <w:r w:rsidRPr="0043329A">
        <w:rPr>
          <w:rFonts w:cs="Segoe UI" w:hint="eastAsia"/>
          <w:szCs w:val="22"/>
          <w:lang w:eastAsia="zh-TW"/>
        </w:rPr>
        <w:t>億至</w:t>
      </w:r>
      <w:r w:rsidRPr="0043329A">
        <w:rPr>
          <w:rFonts w:cs="Segoe UI"/>
          <w:szCs w:val="22"/>
          <w:lang w:eastAsia="zh-TW"/>
        </w:rPr>
        <w:t>3</w:t>
      </w:r>
      <w:r w:rsidRPr="0043329A">
        <w:rPr>
          <w:rFonts w:cs="Segoe UI" w:hint="eastAsia"/>
          <w:szCs w:val="22"/>
          <w:lang w:eastAsia="zh-TW"/>
        </w:rPr>
        <w:t>億歐元</w:t>
      </w:r>
    </w:p>
    <w:p w14:paraId="028E1623" w14:textId="7FFE7673" w:rsidR="00AB6B85" w:rsidRPr="0043329A" w:rsidRDefault="004E5F78" w:rsidP="00FB79B1">
      <w:pPr>
        <w:pStyle w:val="aa"/>
        <w:numPr>
          <w:ilvl w:val="0"/>
          <w:numId w:val="15"/>
        </w:numPr>
        <w:contextualSpacing w:val="0"/>
        <w:rPr>
          <w:rFonts w:cs="Segoe UI"/>
          <w:szCs w:val="22"/>
          <w:lang w:eastAsia="zh-TW"/>
        </w:rPr>
      </w:pPr>
      <w:r w:rsidRPr="0043329A">
        <w:rPr>
          <w:rFonts w:cs="Segoe UI" w:hint="eastAsia"/>
          <w:szCs w:val="22"/>
          <w:lang w:eastAsia="zh-TW"/>
        </w:rPr>
        <w:t>不動產、工廠和設備以及無形資產投資的現金流出額為</w:t>
      </w:r>
      <w:r w:rsidRPr="0043329A">
        <w:rPr>
          <w:rFonts w:cs="Segoe UI"/>
          <w:szCs w:val="22"/>
          <w:lang w:eastAsia="zh-TW"/>
        </w:rPr>
        <w:t>6.5</w:t>
      </w:r>
      <w:r w:rsidRPr="0043329A">
        <w:rPr>
          <w:rFonts w:cs="Segoe UI" w:hint="eastAsia"/>
          <w:szCs w:val="22"/>
          <w:lang w:eastAsia="zh-TW"/>
        </w:rPr>
        <w:t>億至</w:t>
      </w:r>
      <w:r w:rsidRPr="0043329A">
        <w:rPr>
          <w:rFonts w:cs="Segoe UI"/>
          <w:szCs w:val="22"/>
          <w:lang w:eastAsia="zh-TW"/>
        </w:rPr>
        <w:t>7.5</w:t>
      </w:r>
      <w:r w:rsidRPr="0043329A">
        <w:rPr>
          <w:rFonts w:cs="Segoe UI" w:hint="eastAsia"/>
          <w:szCs w:val="22"/>
          <w:lang w:eastAsia="zh-TW"/>
        </w:rPr>
        <w:t>億歐元</w:t>
      </w:r>
    </w:p>
    <w:p w14:paraId="5897C6DE" w14:textId="77777777" w:rsidR="005E1DB5" w:rsidRPr="0043329A" w:rsidRDefault="005E1DB5" w:rsidP="0054023C">
      <w:pPr>
        <w:rPr>
          <w:rFonts w:cs="Segoe UI"/>
          <w:b/>
          <w:bCs/>
          <w:szCs w:val="22"/>
          <w:lang w:eastAsia="zh-TW"/>
        </w:rPr>
      </w:pPr>
    </w:p>
    <w:p w14:paraId="34238A67" w14:textId="4EDD9880" w:rsidR="00AB6B85" w:rsidRPr="0043329A" w:rsidRDefault="004E5F78" w:rsidP="002D06D9">
      <w:pPr>
        <w:spacing w:after="240"/>
        <w:rPr>
          <w:rFonts w:cs="Segoe UI"/>
          <w:b/>
          <w:bCs/>
          <w:szCs w:val="22"/>
          <w:lang w:eastAsia="zh-TW"/>
        </w:rPr>
      </w:pPr>
      <w:r w:rsidRPr="0043329A">
        <w:rPr>
          <w:rFonts w:cs="Segoe UI"/>
          <w:b/>
          <w:bCs/>
          <w:szCs w:val="22"/>
          <w:lang w:eastAsia="zh-TW"/>
        </w:rPr>
        <w:t>2024</w:t>
      </w:r>
      <w:r w:rsidRPr="0043329A">
        <w:rPr>
          <w:rFonts w:cs="Segoe UI" w:hint="eastAsia"/>
          <w:b/>
          <w:bCs/>
          <w:szCs w:val="22"/>
          <w:lang w:eastAsia="zh-TW"/>
        </w:rPr>
        <w:t>財年第一季度有機銷售額增長</w:t>
      </w:r>
    </w:p>
    <w:p w14:paraId="4573ECCD" w14:textId="187F2BF5" w:rsidR="00AB6B85" w:rsidRPr="0043329A" w:rsidRDefault="004E5F78" w:rsidP="00142E1D">
      <w:pPr>
        <w:spacing w:after="240"/>
        <w:rPr>
          <w:rFonts w:cs="Segoe UI"/>
          <w:szCs w:val="22"/>
          <w:lang w:eastAsia="zh-CN"/>
        </w:rPr>
      </w:pPr>
      <w:r w:rsidRPr="0043329A">
        <w:rPr>
          <w:rFonts w:cs="Segoe UI" w:hint="eastAsia"/>
          <w:szCs w:val="22"/>
          <w:lang w:eastAsia="zh-TW"/>
        </w:rPr>
        <w:t>根據初步數據，漢高</w:t>
      </w:r>
      <w:r w:rsidRPr="0043329A">
        <w:rPr>
          <w:rFonts w:cs="Segoe UI"/>
          <w:szCs w:val="22"/>
          <w:lang w:eastAsia="zh-TW"/>
        </w:rPr>
        <w:t>2024</w:t>
      </w:r>
      <w:proofErr w:type="gramStart"/>
      <w:r w:rsidRPr="0043329A">
        <w:rPr>
          <w:rFonts w:cs="Segoe UI" w:hint="eastAsia"/>
          <w:szCs w:val="22"/>
          <w:lang w:eastAsia="zh-TW"/>
        </w:rPr>
        <w:t>財年第一</w:t>
      </w:r>
      <w:proofErr w:type="gramEnd"/>
      <w:r w:rsidRPr="0043329A">
        <w:rPr>
          <w:rFonts w:cs="Segoe UI" w:hint="eastAsia"/>
          <w:szCs w:val="22"/>
          <w:lang w:eastAsia="zh-TW"/>
        </w:rPr>
        <w:t>季度的集團銷售額約為</w:t>
      </w:r>
      <w:r w:rsidRPr="0043329A">
        <w:rPr>
          <w:rFonts w:cs="Segoe UI"/>
          <w:szCs w:val="22"/>
          <w:lang w:eastAsia="zh-TW"/>
        </w:rPr>
        <w:t>53</w:t>
      </w:r>
      <w:r w:rsidRPr="0043329A">
        <w:rPr>
          <w:rFonts w:cs="Segoe UI" w:hint="eastAsia"/>
          <w:szCs w:val="22"/>
          <w:lang w:eastAsia="zh-TW"/>
        </w:rPr>
        <w:t>億歐元，實現</w:t>
      </w:r>
      <w:r w:rsidRPr="0043329A">
        <w:rPr>
          <w:rFonts w:cs="Segoe UI"/>
          <w:szCs w:val="22"/>
          <w:lang w:eastAsia="zh-TW"/>
        </w:rPr>
        <w:t>3.0%</w:t>
      </w:r>
      <w:r w:rsidRPr="0043329A">
        <w:rPr>
          <w:rFonts w:cs="Segoe UI" w:hint="eastAsia"/>
          <w:szCs w:val="22"/>
          <w:lang w:eastAsia="zh-TW"/>
        </w:rPr>
        <w:t>的強勁有機銷售額增長。粘合劑技術業務部的銷售額約為</w:t>
      </w:r>
      <w:r w:rsidRPr="0043329A">
        <w:rPr>
          <w:rFonts w:cs="Segoe UI"/>
          <w:szCs w:val="22"/>
          <w:lang w:eastAsia="zh-TW"/>
        </w:rPr>
        <w:t>27</w:t>
      </w:r>
      <w:r w:rsidRPr="0043329A">
        <w:rPr>
          <w:rFonts w:cs="Segoe UI" w:hint="eastAsia"/>
          <w:szCs w:val="22"/>
          <w:lang w:eastAsia="zh-TW"/>
        </w:rPr>
        <w:t>億歐元，有機銷售額增長</w:t>
      </w:r>
      <w:r w:rsidRPr="0043329A">
        <w:rPr>
          <w:rFonts w:cs="Segoe UI"/>
          <w:szCs w:val="22"/>
          <w:lang w:eastAsia="zh-TW"/>
        </w:rPr>
        <w:t>1.3%</w:t>
      </w:r>
      <w:r w:rsidRPr="0043329A">
        <w:rPr>
          <w:rFonts w:cs="Segoe UI" w:hint="eastAsia"/>
          <w:szCs w:val="22"/>
          <w:lang w:eastAsia="zh-TW"/>
        </w:rPr>
        <w:t>。消費品牌業務部的銷售額為</w:t>
      </w:r>
      <w:r w:rsidRPr="0043329A">
        <w:rPr>
          <w:rFonts w:cs="Segoe UI"/>
          <w:szCs w:val="22"/>
          <w:lang w:eastAsia="zh-TW"/>
        </w:rPr>
        <w:t>26</w:t>
      </w:r>
      <w:r w:rsidRPr="0043329A">
        <w:rPr>
          <w:rFonts w:cs="Segoe UI" w:hint="eastAsia"/>
          <w:szCs w:val="22"/>
          <w:lang w:eastAsia="zh-TW"/>
        </w:rPr>
        <w:t>億歐元，有機銷售額強勁增長</w:t>
      </w:r>
      <w:r w:rsidRPr="0043329A">
        <w:rPr>
          <w:rFonts w:cs="Segoe UI"/>
          <w:szCs w:val="22"/>
          <w:lang w:eastAsia="zh-TW"/>
        </w:rPr>
        <w:t>5.2%</w:t>
      </w:r>
      <w:r w:rsidRPr="0043329A">
        <w:rPr>
          <w:rFonts w:cs="Segoe UI" w:hint="eastAsia"/>
          <w:szCs w:val="22"/>
          <w:lang w:eastAsia="zh-TW"/>
        </w:rPr>
        <w:t>。</w:t>
      </w:r>
    </w:p>
    <w:p w14:paraId="4E34A0A5" w14:textId="1BCB336B" w:rsidR="00DA74BC" w:rsidRPr="0043329A" w:rsidRDefault="004E5F78" w:rsidP="00013F6A">
      <w:pPr>
        <w:rPr>
          <w:rFonts w:eastAsia="PMingLiU"/>
          <w:b/>
          <w:bCs/>
          <w:szCs w:val="22"/>
          <w:lang w:eastAsia="zh-CN"/>
        </w:rPr>
      </w:pPr>
      <w:r w:rsidRPr="0043329A">
        <w:rPr>
          <w:rFonts w:cs="Segoe UI" w:hint="eastAsia"/>
          <w:szCs w:val="22"/>
          <w:lang w:eastAsia="zh-TW"/>
        </w:rPr>
        <w:t>漢高將於</w:t>
      </w:r>
      <w:r w:rsidRPr="0043329A">
        <w:rPr>
          <w:rFonts w:cs="Segoe UI"/>
          <w:szCs w:val="22"/>
          <w:lang w:eastAsia="zh-TW"/>
        </w:rPr>
        <w:t>5</w:t>
      </w:r>
      <w:r w:rsidRPr="0043329A">
        <w:rPr>
          <w:rFonts w:cs="Segoe UI" w:hint="eastAsia"/>
          <w:szCs w:val="22"/>
          <w:lang w:eastAsia="zh-TW"/>
        </w:rPr>
        <w:t>月</w:t>
      </w:r>
      <w:r w:rsidRPr="0043329A">
        <w:rPr>
          <w:rFonts w:cs="Segoe UI"/>
          <w:szCs w:val="22"/>
          <w:lang w:eastAsia="zh-TW"/>
        </w:rPr>
        <w:t>8</w:t>
      </w:r>
      <w:r w:rsidRPr="0043329A">
        <w:rPr>
          <w:rFonts w:cs="Segoe UI" w:hint="eastAsia"/>
          <w:szCs w:val="22"/>
          <w:lang w:eastAsia="zh-TW"/>
        </w:rPr>
        <w:t>日</w:t>
      </w:r>
      <w:r>
        <w:rPr>
          <w:rFonts w:cs="Segoe UI" w:hint="eastAsia"/>
          <w:szCs w:val="22"/>
          <w:lang w:eastAsia="zh-TW"/>
        </w:rPr>
        <w:t>發佈</w:t>
      </w:r>
      <w:r w:rsidRPr="0043329A">
        <w:rPr>
          <w:rFonts w:cs="Segoe UI" w:hint="eastAsia"/>
          <w:szCs w:val="22"/>
          <w:lang w:eastAsia="zh-TW"/>
        </w:rPr>
        <w:t>第一季度的銷售</w:t>
      </w:r>
      <w:r>
        <w:rPr>
          <w:rFonts w:cs="Segoe UI" w:hint="eastAsia"/>
          <w:szCs w:val="22"/>
          <w:lang w:eastAsia="zh-TW"/>
        </w:rPr>
        <w:t>表現</w:t>
      </w:r>
      <w:r w:rsidRPr="0043329A">
        <w:rPr>
          <w:rFonts w:cs="Segoe UI" w:hint="eastAsia"/>
          <w:szCs w:val="22"/>
          <w:lang w:eastAsia="zh-TW"/>
        </w:rPr>
        <w:t>詳情。</w:t>
      </w:r>
    </w:p>
    <w:p w14:paraId="030F84F6" w14:textId="77777777" w:rsidR="00B577B8" w:rsidRDefault="00B577B8" w:rsidP="0054023C">
      <w:pPr>
        <w:jc w:val="left"/>
        <w:rPr>
          <w:rStyle w:val="AboutandContactHeadline"/>
          <w:szCs w:val="18"/>
          <w:lang w:eastAsia="zh-CN"/>
        </w:rPr>
      </w:pPr>
    </w:p>
    <w:p w14:paraId="756B1658" w14:textId="77777777" w:rsidR="00B577B8" w:rsidRDefault="00B577B8" w:rsidP="0054023C">
      <w:pPr>
        <w:jc w:val="left"/>
        <w:rPr>
          <w:rStyle w:val="AboutandContactHeadline"/>
          <w:szCs w:val="18"/>
          <w:lang w:eastAsia="zh-CN"/>
        </w:rPr>
      </w:pPr>
    </w:p>
    <w:p w14:paraId="3CBDB78C" w14:textId="77777777" w:rsidR="00B577B8" w:rsidRDefault="00B577B8" w:rsidP="0054023C">
      <w:pPr>
        <w:jc w:val="left"/>
        <w:rPr>
          <w:rStyle w:val="AboutandContactHeadline"/>
          <w:szCs w:val="18"/>
          <w:lang w:eastAsia="zh-CN"/>
        </w:rPr>
      </w:pPr>
    </w:p>
    <w:p w14:paraId="585036EE" w14:textId="5676689D" w:rsidR="00B577B8" w:rsidRPr="0043329A" w:rsidRDefault="004E5F78" w:rsidP="00FB79B1">
      <w:pPr>
        <w:rPr>
          <w:sz w:val="16"/>
          <w:szCs w:val="16"/>
          <w:lang w:eastAsia="zh-CN"/>
        </w:rPr>
      </w:pPr>
      <w:r w:rsidRPr="00667947">
        <w:rPr>
          <w:sz w:val="16"/>
          <w:szCs w:val="16"/>
          <w:vertAlign w:val="superscript"/>
          <w:lang w:eastAsia="zh-TW"/>
        </w:rPr>
        <w:t>1</w:t>
      </w:r>
      <w:r w:rsidRPr="0043329A">
        <w:rPr>
          <w:rFonts w:hint="eastAsia"/>
          <w:sz w:val="16"/>
          <w:szCs w:val="16"/>
          <w:lang w:eastAsia="zh-TW"/>
        </w:rPr>
        <w:t>與前一年平均值相比</w:t>
      </w:r>
    </w:p>
    <w:p w14:paraId="2B2BBFE1" w14:textId="77777777" w:rsidR="00E9570E" w:rsidRDefault="00E9570E" w:rsidP="00FB79B1">
      <w:pPr>
        <w:jc w:val="left"/>
        <w:rPr>
          <w:rStyle w:val="AboutandContactHeadline"/>
          <w:szCs w:val="18"/>
          <w:lang w:eastAsia="zh-CN"/>
        </w:rPr>
      </w:pPr>
    </w:p>
    <w:p w14:paraId="56983CE5" w14:textId="77777777" w:rsidR="002644A4" w:rsidRDefault="002644A4" w:rsidP="002644A4">
      <w:pPr>
        <w:rPr>
          <w:rStyle w:val="AboutandContactHeadline"/>
          <w:szCs w:val="18"/>
          <w:lang w:eastAsia="zh-CN"/>
        </w:rPr>
      </w:pPr>
    </w:p>
    <w:p w14:paraId="51BB63BA" w14:textId="77777777" w:rsidR="00AA7CD3" w:rsidRPr="00341406" w:rsidRDefault="00AA7CD3" w:rsidP="002644A4">
      <w:pPr>
        <w:rPr>
          <w:rStyle w:val="AboutandContactHeadline"/>
          <w:lang w:eastAsia="zh-CN"/>
        </w:rPr>
      </w:pPr>
    </w:p>
    <w:p w14:paraId="41C9F230" w14:textId="7B2505E1" w:rsidR="002644A4" w:rsidRPr="0041450D" w:rsidRDefault="004E5F78" w:rsidP="0041450D">
      <w:pPr>
        <w:rPr>
          <w:sz w:val="12"/>
          <w:szCs w:val="12"/>
          <w:lang w:eastAsia="zh-CN"/>
        </w:rPr>
      </w:pPr>
      <w:bookmarkStart w:id="0" w:name="_Hlk166161348"/>
      <w:r w:rsidRPr="0041450D">
        <w:rPr>
          <w:rFonts w:hint="eastAsia"/>
          <w:sz w:val="12"/>
          <w:szCs w:val="12"/>
          <w:lang w:eastAsia="zh-TW"/>
        </w:rPr>
        <w:t>本文件所含提及未來業務發展、財務業績及其他與漢高未來相關的事件或發展的聲明，由此構成前瞻性聲明。前瞻性表述的特點是使用諸如期望、打算、計劃、預測、假設、相信、預計、預期、預見和類似的表述。這些表述乃漢高股份有限及兩合公司管理層基於現有的預測和假設。該等表述在任何情況下都不應該被理解成保證該等預期的準確無誤。漢高股份有限及兩合公司及其關聯公司實際實現的未來業績和結果取決於一系列的風險和不確定性，因此可能與前瞻性表述有明顯差別。很多因素，例如未來的經濟環境和競爭者行為以及市場上其他參與者的行為，</w:t>
      </w:r>
      <w:proofErr w:type="gramStart"/>
      <w:r w:rsidRPr="0041450D">
        <w:rPr>
          <w:rFonts w:hint="eastAsia"/>
          <w:sz w:val="12"/>
          <w:szCs w:val="12"/>
          <w:lang w:eastAsia="zh-TW"/>
        </w:rPr>
        <w:t>均在漢高</w:t>
      </w:r>
      <w:proofErr w:type="gramEnd"/>
      <w:r w:rsidRPr="0041450D">
        <w:rPr>
          <w:rFonts w:hint="eastAsia"/>
          <w:sz w:val="12"/>
          <w:szCs w:val="12"/>
          <w:lang w:eastAsia="zh-TW"/>
        </w:rPr>
        <w:t>的控制之外，無法準確預計。漢高不計劃也不承諾更新前瞻性表述。</w:t>
      </w:r>
    </w:p>
    <w:p w14:paraId="7B5CEF21" w14:textId="046400D8" w:rsidR="002644A4" w:rsidRPr="0041450D" w:rsidRDefault="004E5F78" w:rsidP="0041450D">
      <w:pPr>
        <w:rPr>
          <w:sz w:val="12"/>
          <w:szCs w:val="12"/>
          <w:lang w:eastAsia="zh-CN"/>
        </w:rPr>
      </w:pPr>
      <w:r w:rsidRPr="0041450D">
        <w:rPr>
          <w:rFonts w:hint="eastAsia"/>
          <w:sz w:val="12"/>
          <w:szCs w:val="12"/>
          <w:lang w:eastAsia="zh-TW"/>
        </w:rPr>
        <w:t>本文件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項目的替代性財務計量指標，可能使用不同的計算方法。</w:t>
      </w:r>
    </w:p>
    <w:p w14:paraId="374EC112" w14:textId="7049F1B7" w:rsidR="002644A4" w:rsidRPr="0041450D" w:rsidRDefault="004E5F78" w:rsidP="0041450D">
      <w:pPr>
        <w:rPr>
          <w:sz w:val="12"/>
          <w:szCs w:val="12"/>
          <w:lang w:eastAsia="zh-CN"/>
        </w:rPr>
      </w:pPr>
      <w:r w:rsidRPr="0041450D">
        <w:rPr>
          <w:rFonts w:hint="eastAsia"/>
          <w:sz w:val="12"/>
          <w:szCs w:val="12"/>
          <w:lang w:eastAsia="zh-TW"/>
        </w:rPr>
        <w:t>本文件僅供參考，並不構成任何對證券的投資建議、出售要約或購買要約。</w:t>
      </w:r>
    </w:p>
    <w:bookmarkEnd w:id="0"/>
    <w:p w14:paraId="23552B25" w14:textId="47D47F05" w:rsidR="00A15D78" w:rsidRPr="00AC3D15" w:rsidRDefault="00A15D78" w:rsidP="002644A4">
      <w:pPr>
        <w:tabs>
          <w:tab w:val="left" w:pos="1080"/>
          <w:tab w:val="left" w:pos="4500"/>
        </w:tabs>
        <w:spacing w:line="264" w:lineRule="auto"/>
        <w:rPr>
          <w:rStyle w:val="a7"/>
          <w:rFonts w:eastAsia="PMingLiU"/>
          <w:color w:val="9A141B"/>
          <w:szCs w:val="24"/>
          <w:u w:val="none"/>
          <w:lang w:eastAsia="zh-CN"/>
        </w:rPr>
      </w:pPr>
    </w:p>
    <w:sectPr w:rsidR="00A15D78" w:rsidRPr="00AC3D15" w:rsidSect="00496794">
      <w:headerReference w:type="even" r:id="rId12"/>
      <w:footerReference w:type="default" r:id="rId13"/>
      <w:headerReference w:type="first" r:id="rId14"/>
      <w:footerReference w:type="first" r:id="rId15"/>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445F" w14:textId="77777777" w:rsidR="00496794" w:rsidRDefault="00496794">
      <w:r>
        <w:separator/>
      </w:r>
    </w:p>
  </w:endnote>
  <w:endnote w:type="continuationSeparator" w:id="0">
    <w:p w14:paraId="0085028A" w14:textId="77777777" w:rsidR="00496794" w:rsidRDefault="00496794">
      <w:r>
        <w:continuationSeparator/>
      </w:r>
    </w:p>
  </w:endnote>
  <w:endnote w:type="continuationNotice" w:id="1">
    <w:p w14:paraId="01261D49" w14:textId="77777777" w:rsidR="00496794" w:rsidRDefault="004967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37FB0B15" w:rsidR="00CF6F33" w:rsidRDefault="00112A28" w:rsidP="00112A28">
    <w:pPr>
      <w:pStyle w:val="a4"/>
      <w:tabs>
        <w:tab w:val="clear" w:pos="7083"/>
        <w:tab w:val="clear" w:pos="8640"/>
        <w:tab w:val="right" w:pos="9071"/>
      </w:tabs>
      <w:jc w:val="both"/>
    </w:pPr>
    <w:r w:rsidRPr="00BF6E82">
      <w:t>Henkel AG &amp; Co. KGaA</w:t>
    </w:r>
    <w:r>
      <w:tab/>
    </w:r>
    <w:r w:rsidR="00E05302">
      <w:t>Page</w:t>
    </w:r>
    <w:r w:rsidR="00EF55E6" w:rsidRPr="00BF6E82">
      <w:t xml:space="preserve"> </w:t>
    </w:r>
    <w:r w:rsidRPr="00BF6E82">
      <w:fldChar w:fldCharType="begin"/>
    </w:r>
    <w:r w:rsidRPr="00BF6E82">
      <w:instrText xml:space="preserve"> PAGE  \* Arabic  \* MERGEFORMAT </w:instrText>
    </w:r>
    <w:r w:rsidRPr="00BF6E82">
      <w:fldChar w:fldCharType="separate"/>
    </w:r>
    <w:r w:rsidR="00C954A1">
      <w:t>2</w:t>
    </w:r>
    <w:r w:rsidRPr="00BF6E82">
      <w:fldChar w:fldCharType="end"/>
    </w:r>
    <w:r w:rsidRPr="00BF6E82">
      <w:t>/</w:t>
    </w:r>
    <w:fldSimple w:instr="NUMPAGES  \* Arabic  \* MERGEFORMAT">
      <w:r w:rsidR="00C954A1">
        <w:t>4</w:t>
      </w:r>
    </w:fldSimple>
  </w:p>
  <w:p w14:paraId="51DF6D69" w14:textId="248E8F19" w:rsidR="00377C84" w:rsidRPr="00112A28" w:rsidRDefault="00377C84" w:rsidP="00377C84">
    <w:pPr>
      <w:pStyle w:val="a4"/>
      <w:tabs>
        <w:tab w:val="clear" w:pos="7083"/>
        <w:tab w:val="clear" w:pos="8640"/>
        <w:tab w:val="right" w:pos="9071"/>
      </w:tabs>
    </w:pPr>
    <w:r>
      <w:rPr>
        <w:rFonts w:hint="eastAsia"/>
        <w:lang w:eastAsia="zh-CN"/>
      </w:rPr>
      <w:t>页码</w:t>
    </w:r>
    <w:r w:rsidRPr="00992A11">
      <w:fldChar w:fldCharType="begin"/>
    </w:r>
    <w:r w:rsidRPr="00992A11">
      <w:instrText xml:space="preserve"> PAGE  \* Arabic  \* MERGEFORMAT </w:instrText>
    </w:r>
    <w:r w:rsidRPr="00992A11">
      <w:fldChar w:fldCharType="separate"/>
    </w:r>
    <w:r w:rsidR="00C954A1">
      <w:t>2</w:t>
    </w:r>
    <w:r w:rsidRPr="00992A11">
      <w:fldChar w:fldCharType="end"/>
    </w:r>
    <w:r w:rsidRPr="00992A11">
      <w:t>/</w:t>
    </w:r>
    <w:fldSimple w:instr=" NUMPAGES  \* Arabic  \* MERGEFORMAT ">
      <w:r w:rsidR="00C954A1">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E7F3B1F" w:rsidR="00CF6F33" w:rsidRDefault="009E5B95" w:rsidP="00992A11">
    <w:pPr>
      <w:pStyle w:val="a4"/>
    </w:pPr>
    <w:r w:rsidRPr="00E143D5">
      <w:rPr>
        <w:lang w:eastAsia="zh-CN"/>
      </w:rPr>
      <w:drawing>
        <wp:inline distT="0" distB="0" distL="0" distR="0" wp14:anchorId="1C787FF5" wp14:editId="55D1AB26">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r w:rsidR="00E05302">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C954A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C954A1">
      <w:t>4</w:t>
    </w:r>
    <w:r w:rsidR="00CF6F33" w:rsidRPr="00992A11">
      <w:fldChar w:fldCharType="end"/>
    </w:r>
  </w:p>
  <w:p w14:paraId="5CCE0FB5" w14:textId="7E63BF37" w:rsidR="00377C84" w:rsidRPr="00992A11" w:rsidRDefault="00377C84" w:rsidP="00377C84">
    <w:pPr>
      <w:pStyle w:val="a4"/>
      <w:wordWrap w:val="0"/>
    </w:pPr>
    <w:r>
      <w:rPr>
        <w:rFonts w:hint="eastAsia"/>
        <w:lang w:eastAsia="zh-CN"/>
      </w:rPr>
      <w:t>页码</w:t>
    </w:r>
    <w:r w:rsidRPr="00992A11">
      <w:fldChar w:fldCharType="begin"/>
    </w:r>
    <w:r w:rsidRPr="00992A11">
      <w:instrText xml:space="preserve"> PAGE  \* Arabic  \* MERGEFORMAT </w:instrText>
    </w:r>
    <w:r w:rsidRPr="00992A11">
      <w:fldChar w:fldCharType="separate"/>
    </w:r>
    <w:r w:rsidR="00C954A1">
      <w:t>1</w:t>
    </w:r>
    <w:r w:rsidRPr="00992A11">
      <w:fldChar w:fldCharType="end"/>
    </w:r>
    <w:r w:rsidRPr="00992A11">
      <w:t>/</w:t>
    </w:r>
    <w:fldSimple w:instr=" NUMPAGES  \* Arabic  \* MERGEFORMAT ">
      <w:r w:rsidR="00C954A1">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E6DB" w14:textId="77777777" w:rsidR="00496794" w:rsidRDefault="00496794">
      <w:r>
        <w:separator/>
      </w:r>
    </w:p>
  </w:footnote>
  <w:footnote w:type="continuationSeparator" w:id="0">
    <w:p w14:paraId="7251693E" w14:textId="77777777" w:rsidR="00496794" w:rsidRDefault="00496794">
      <w:r>
        <w:continuationSeparator/>
      </w:r>
    </w:p>
  </w:footnote>
  <w:footnote w:type="continuationNotice" w:id="1">
    <w:p w14:paraId="717AC93F" w14:textId="77777777" w:rsidR="00496794" w:rsidRDefault="004967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D5B003B" w:rsidR="00CF6F33" w:rsidRPr="00EB46D9" w:rsidRDefault="0059722C" w:rsidP="00004B63">
    <w:pPr>
      <w:pStyle w:val="a3"/>
    </w:pPr>
    <w:r w:rsidRPr="00EB46D9">
      <w:rPr>
        <w:noProof/>
        <w:lang w:eastAsia="zh-CN"/>
      </w:rPr>
      <w:drawing>
        <wp:anchor distT="0" distB="0" distL="114300" distR="114300" simplePos="0" relativeHeight="251659264" behindDoc="0" locked="0" layoutInCell="1" allowOverlap="1" wp14:anchorId="1490028D" wp14:editId="55586566">
          <wp:simplePos x="0" y="0"/>
          <wp:positionH relativeFrom="margin">
            <wp:align>right</wp:align>
          </wp:positionH>
          <wp:positionV relativeFrom="paragraph">
            <wp:posOffset>-182245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cstate="print">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zh-CN"/>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DE371A9"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A1E67">
      <w:rPr>
        <w:rFonts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13B0B26E"/>
    <w:lvl w:ilvl="0" w:tplc="7F22C7A8">
      <w:start w:val="1"/>
      <w:numFmt w:val="bullet"/>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05F442F"/>
    <w:multiLevelType w:val="hybridMultilevel"/>
    <w:tmpl w:val="8F308B52"/>
    <w:lvl w:ilvl="0" w:tplc="FFFFFFFF">
      <w:start w:val="1"/>
      <w:numFmt w:val="bullet"/>
      <w:lvlText w:val=""/>
      <w:lvlJc w:val="left"/>
      <w:pPr>
        <w:ind w:left="1429" w:hanging="360"/>
      </w:pPr>
      <w:rPr>
        <w:rFonts w:ascii="Wingdings" w:hAnsi="Wingdings" w:hint="default"/>
        <w:color w:val="E1000F"/>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F2D08"/>
    <w:multiLevelType w:val="hybridMultilevel"/>
    <w:tmpl w:val="FFAC382E"/>
    <w:lvl w:ilvl="0" w:tplc="FFFFFFFF">
      <w:start w:val="1"/>
      <w:numFmt w:val="bullet"/>
      <w:lvlText w:val=""/>
      <w:lvlJc w:val="left"/>
      <w:pPr>
        <w:ind w:left="1080" w:hanging="360"/>
      </w:pPr>
      <w:rPr>
        <w:rFonts w:ascii="Wingdings" w:hAnsi="Wingdings" w:hint="default"/>
        <w:color w:val="E1000F"/>
      </w:rPr>
    </w:lvl>
    <w:lvl w:ilvl="1" w:tplc="4B4C214C">
      <w:start w:val="1"/>
      <w:numFmt w:val="bullet"/>
      <w:lvlText w:val=""/>
      <w:lvlJc w:val="left"/>
      <w:pPr>
        <w:ind w:left="2160" w:hanging="360"/>
      </w:pPr>
      <w:rPr>
        <w:rFonts w:ascii="Wingdings" w:hAnsi="Wingdings" w:hint="default"/>
        <w:color w:val="E1000F"/>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A90A4E"/>
    <w:multiLevelType w:val="hybridMultilevel"/>
    <w:tmpl w:val="27BE010E"/>
    <w:lvl w:ilvl="0" w:tplc="FFFFFFFF">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2985536">
    <w:abstractNumId w:val="2"/>
  </w:num>
  <w:num w:numId="2" w16cid:durableId="1653873797">
    <w:abstractNumId w:val="1"/>
  </w:num>
  <w:num w:numId="3" w16cid:durableId="1253465147">
    <w:abstractNumId w:val="13"/>
  </w:num>
  <w:num w:numId="4" w16cid:durableId="1369527012">
    <w:abstractNumId w:val="9"/>
  </w:num>
  <w:num w:numId="5" w16cid:durableId="396173468">
    <w:abstractNumId w:val="6"/>
  </w:num>
  <w:num w:numId="6" w16cid:durableId="789010035">
    <w:abstractNumId w:val="10"/>
  </w:num>
  <w:num w:numId="7" w16cid:durableId="725572553">
    <w:abstractNumId w:val="8"/>
  </w:num>
  <w:num w:numId="8" w16cid:durableId="12077691">
    <w:abstractNumId w:val="12"/>
  </w:num>
  <w:num w:numId="9" w16cid:durableId="1645693503">
    <w:abstractNumId w:val="0"/>
  </w:num>
  <w:num w:numId="10" w16cid:durableId="1724330628">
    <w:abstractNumId w:val="7"/>
  </w:num>
  <w:num w:numId="11" w16cid:durableId="1207599037">
    <w:abstractNumId w:val="3"/>
  </w:num>
  <w:num w:numId="12" w16cid:durableId="1901018135">
    <w:abstractNumId w:val="5"/>
  </w:num>
  <w:num w:numId="13" w16cid:durableId="1285959773">
    <w:abstractNumId w:val="11"/>
  </w:num>
  <w:num w:numId="14" w16cid:durableId="369764288">
    <w:abstractNumId w:val="4"/>
  </w:num>
  <w:num w:numId="15" w16cid:durableId="12998428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550"/>
    <w:rsid w:val="00000839"/>
    <w:rsid w:val="00002AA4"/>
    <w:rsid w:val="00004B63"/>
    <w:rsid w:val="00005267"/>
    <w:rsid w:val="00006346"/>
    <w:rsid w:val="000069EB"/>
    <w:rsid w:val="00006A45"/>
    <w:rsid w:val="000077E6"/>
    <w:rsid w:val="00007D89"/>
    <w:rsid w:val="00013F6A"/>
    <w:rsid w:val="000142CA"/>
    <w:rsid w:val="00014FC1"/>
    <w:rsid w:val="00016137"/>
    <w:rsid w:val="00020DC3"/>
    <w:rsid w:val="00021C67"/>
    <w:rsid w:val="00024147"/>
    <w:rsid w:val="00024483"/>
    <w:rsid w:val="000256A9"/>
    <w:rsid w:val="00026EEE"/>
    <w:rsid w:val="000301F0"/>
    <w:rsid w:val="00030557"/>
    <w:rsid w:val="00030701"/>
    <w:rsid w:val="00030F51"/>
    <w:rsid w:val="000343EB"/>
    <w:rsid w:val="00035A84"/>
    <w:rsid w:val="00040816"/>
    <w:rsid w:val="00040CC9"/>
    <w:rsid w:val="00041F81"/>
    <w:rsid w:val="000425ED"/>
    <w:rsid w:val="00045CCB"/>
    <w:rsid w:val="000510FC"/>
    <w:rsid w:val="00051555"/>
    <w:rsid w:val="00051E86"/>
    <w:rsid w:val="00054AFE"/>
    <w:rsid w:val="0005544E"/>
    <w:rsid w:val="000575F9"/>
    <w:rsid w:val="000618FC"/>
    <w:rsid w:val="00065466"/>
    <w:rsid w:val="000665F3"/>
    <w:rsid w:val="00067071"/>
    <w:rsid w:val="00067F67"/>
    <w:rsid w:val="00070652"/>
    <w:rsid w:val="00070757"/>
    <w:rsid w:val="00071284"/>
    <w:rsid w:val="00073AED"/>
    <w:rsid w:val="000751A7"/>
    <w:rsid w:val="0007746E"/>
    <w:rsid w:val="00077AF9"/>
    <w:rsid w:val="00080D10"/>
    <w:rsid w:val="00081241"/>
    <w:rsid w:val="00081692"/>
    <w:rsid w:val="00081AB9"/>
    <w:rsid w:val="00081EF8"/>
    <w:rsid w:val="00082417"/>
    <w:rsid w:val="0008357F"/>
    <w:rsid w:val="00083A35"/>
    <w:rsid w:val="00083A61"/>
    <w:rsid w:val="00083DAB"/>
    <w:rsid w:val="0008406B"/>
    <w:rsid w:val="00084918"/>
    <w:rsid w:val="00090DB6"/>
    <w:rsid w:val="00090E73"/>
    <w:rsid w:val="00091F11"/>
    <w:rsid w:val="00094235"/>
    <w:rsid w:val="00096AD4"/>
    <w:rsid w:val="000A05E0"/>
    <w:rsid w:val="000A06FB"/>
    <w:rsid w:val="000A31D3"/>
    <w:rsid w:val="000A50CF"/>
    <w:rsid w:val="000A511E"/>
    <w:rsid w:val="000A64B3"/>
    <w:rsid w:val="000A6C25"/>
    <w:rsid w:val="000B005C"/>
    <w:rsid w:val="000B10DE"/>
    <w:rsid w:val="000B2E86"/>
    <w:rsid w:val="000B5D2F"/>
    <w:rsid w:val="000B5E32"/>
    <w:rsid w:val="000B6244"/>
    <w:rsid w:val="000B695A"/>
    <w:rsid w:val="000B72A8"/>
    <w:rsid w:val="000C210A"/>
    <w:rsid w:val="000C27E5"/>
    <w:rsid w:val="000C30D6"/>
    <w:rsid w:val="000C47D1"/>
    <w:rsid w:val="000C50A1"/>
    <w:rsid w:val="000C56DD"/>
    <w:rsid w:val="000C63F4"/>
    <w:rsid w:val="000D11CB"/>
    <w:rsid w:val="000D14C4"/>
    <w:rsid w:val="000D1672"/>
    <w:rsid w:val="000D178A"/>
    <w:rsid w:val="000D18CE"/>
    <w:rsid w:val="000D40C6"/>
    <w:rsid w:val="000D6C67"/>
    <w:rsid w:val="000E0CAB"/>
    <w:rsid w:val="000E1B84"/>
    <w:rsid w:val="000E2F62"/>
    <w:rsid w:val="000E38ED"/>
    <w:rsid w:val="000E45C7"/>
    <w:rsid w:val="000E59CE"/>
    <w:rsid w:val="000E7F24"/>
    <w:rsid w:val="000F03BE"/>
    <w:rsid w:val="000F1757"/>
    <w:rsid w:val="000F225B"/>
    <w:rsid w:val="000F333E"/>
    <w:rsid w:val="000F41BC"/>
    <w:rsid w:val="000F48E9"/>
    <w:rsid w:val="000F4DAE"/>
    <w:rsid w:val="000F7ADB"/>
    <w:rsid w:val="000F7FAF"/>
    <w:rsid w:val="001002C6"/>
    <w:rsid w:val="00100D8B"/>
    <w:rsid w:val="00102045"/>
    <w:rsid w:val="00102264"/>
    <w:rsid w:val="00103537"/>
    <w:rsid w:val="0010421C"/>
    <w:rsid w:val="0010465B"/>
    <w:rsid w:val="0010570F"/>
    <w:rsid w:val="00105975"/>
    <w:rsid w:val="00110090"/>
    <w:rsid w:val="0011116D"/>
    <w:rsid w:val="00111386"/>
    <w:rsid w:val="001118DF"/>
    <w:rsid w:val="00111F4D"/>
    <w:rsid w:val="00112A28"/>
    <w:rsid w:val="00113571"/>
    <w:rsid w:val="00114DDF"/>
    <w:rsid w:val="00115230"/>
    <w:rsid w:val="00115B5F"/>
    <w:rsid w:val="001162B4"/>
    <w:rsid w:val="00116DF3"/>
    <w:rsid w:val="00122B90"/>
    <w:rsid w:val="00122CBC"/>
    <w:rsid w:val="0012414B"/>
    <w:rsid w:val="00124FA3"/>
    <w:rsid w:val="00126C65"/>
    <w:rsid w:val="00126D4A"/>
    <w:rsid w:val="00131762"/>
    <w:rsid w:val="001318EB"/>
    <w:rsid w:val="00132DA9"/>
    <w:rsid w:val="0013305B"/>
    <w:rsid w:val="00133B99"/>
    <w:rsid w:val="0013569C"/>
    <w:rsid w:val="00135939"/>
    <w:rsid w:val="001369E3"/>
    <w:rsid w:val="001375DD"/>
    <w:rsid w:val="00142E1D"/>
    <w:rsid w:val="00142EFB"/>
    <w:rsid w:val="001438BF"/>
    <w:rsid w:val="001443BD"/>
    <w:rsid w:val="00144A87"/>
    <w:rsid w:val="00145B62"/>
    <w:rsid w:val="00146193"/>
    <w:rsid w:val="00152022"/>
    <w:rsid w:val="00152026"/>
    <w:rsid w:val="00152A41"/>
    <w:rsid w:val="001577E9"/>
    <w:rsid w:val="00157A59"/>
    <w:rsid w:val="0016138C"/>
    <w:rsid w:val="00162D60"/>
    <w:rsid w:val="001640D5"/>
    <w:rsid w:val="001653D7"/>
    <w:rsid w:val="001659FB"/>
    <w:rsid w:val="001726A1"/>
    <w:rsid w:val="00172C99"/>
    <w:rsid w:val="001731CE"/>
    <w:rsid w:val="00175C72"/>
    <w:rsid w:val="00180F93"/>
    <w:rsid w:val="00181B06"/>
    <w:rsid w:val="0018672E"/>
    <w:rsid w:val="00191A4D"/>
    <w:rsid w:val="00196A14"/>
    <w:rsid w:val="00197E9B"/>
    <w:rsid w:val="001A1185"/>
    <w:rsid w:val="001A3D77"/>
    <w:rsid w:val="001B30F7"/>
    <w:rsid w:val="001B31F0"/>
    <w:rsid w:val="001B377A"/>
    <w:rsid w:val="001B4862"/>
    <w:rsid w:val="001B5147"/>
    <w:rsid w:val="001B65FF"/>
    <w:rsid w:val="001B710A"/>
    <w:rsid w:val="001B771D"/>
    <w:rsid w:val="001B7C20"/>
    <w:rsid w:val="001C0B32"/>
    <w:rsid w:val="001C2D66"/>
    <w:rsid w:val="001C36F7"/>
    <w:rsid w:val="001C4BE1"/>
    <w:rsid w:val="001C5338"/>
    <w:rsid w:val="001C63C6"/>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6D05"/>
    <w:rsid w:val="001E73E8"/>
    <w:rsid w:val="001E7C28"/>
    <w:rsid w:val="001F11A1"/>
    <w:rsid w:val="001F1AB5"/>
    <w:rsid w:val="001F1BDF"/>
    <w:rsid w:val="001F1D6D"/>
    <w:rsid w:val="001F35F8"/>
    <w:rsid w:val="001F39FC"/>
    <w:rsid w:val="001F4AC3"/>
    <w:rsid w:val="001F4CAC"/>
    <w:rsid w:val="001F52E0"/>
    <w:rsid w:val="001F590C"/>
    <w:rsid w:val="001F7110"/>
    <w:rsid w:val="001F773D"/>
    <w:rsid w:val="001F7E96"/>
    <w:rsid w:val="002005F5"/>
    <w:rsid w:val="00202284"/>
    <w:rsid w:val="0020528D"/>
    <w:rsid w:val="0020543B"/>
    <w:rsid w:val="00205A66"/>
    <w:rsid w:val="002063CF"/>
    <w:rsid w:val="00206613"/>
    <w:rsid w:val="0020756B"/>
    <w:rsid w:val="00207E75"/>
    <w:rsid w:val="00210D86"/>
    <w:rsid w:val="0021158F"/>
    <w:rsid w:val="00212488"/>
    <w:rsid w:val="002129A6"/>
    <w:rsid w:val="002151DB"/>
    <w:rsid w:val="00220628"/>
    <w:rsid w:val="00221A45"/>
    <w:rsid w:val="00221BA0"/>
    <w:rsid w:val="00224C4C"/>
    <w:rsid w:val="002260C7"/>
    <w:rsid w:val="002304D2"/>
    <w:rsid w:val="002338C1"/>
    <w:rsid w:val="00233D04"/>
    <w:rsid w:val="00234ABD"/>
    <w:rsid w:val="00236491"/>
    <w:rsid w:val="00236C3B"/>
    <w:rsid w:val="00236E2A"/>
    <w:rsid w:val="00237F62"/>
    <w:rsid w:val="00241E10"/>
    <w:rsid w:val="0024586A"/>
    <w:rsid w:val="0024601F"/>
    <w:rsid w:val="002502E1"/>
    <w:rsid w:val="00250F80"/>
    <w:rsid w:val="0025124F"/>
    <w:rsid w:val="002518A2"/>
    <w:rsid w:val="00251E51"/>
    <w:rsid w:val="002528B3"/>
    <w:rsid w:val="0025551F"/>
    <w:rsid w:val="00255F8C"/>
    <w:rsid w:val="00256174"/>
    <w:rsid w:val="00256F0C"/>
    <w:rsid w:val="00257231"/>
    <w:rsid w:val="00260318"/>
    <w:rsid w:val="00261C23"/>
    <w:rsid w:val="00262C05"/>
    <w:rsid w:val="002644A4"/>
    <w:rsid w:val="002715AF"/>
    <w:rsid w:val="002717F0"/>
    <w:rsid w:val="0027301C"/>
    <w:rsid w:val="00273099"/>
    <w:rsid w:val="00281D14"/>
    <w:rsid w:val="00282C13"/>
    <w:rsid w:val="002833D8"/>
    <w:rsid w:val="00285669"/>
    <w:rsid w:val="00286586"/>
    <w:rsid w:val="00286BF6"/>
    <w:rsid w:val="002903B7"/>
    <w:rsid w:val="00295E54"/>
    <w:rsid w:val="002962D7"/>
    <w:rsid w:val="00296C33"/>
    <w:rsid w:val="002A0D7B"/>
    <w:rsid w:val="002A0DF7"/>
    <w:rsid w:val="002A0FA6"/>
    <w:rsid w:val="002A268C"/>
    <w:rsid w:val="002A2975"/>
    <w:rsid w:val="002A460D"/>
    <w:rsid w:val="002A505B"/>
    <w:rsid w:val="002A5EE9"/>
    <w:rsid w:val="002A60E0"/>
    <w:rsid w:val="002B1AA8"/>
    <w:rsid w:val="002B1E87"/>
    <w:rsid w:val="002B687A"/>
    <w:rsid w:val="002C1344"/>
    <w:rsid w:val="002C252E"/>
    <w:rsid w:val="002C3A2A"/>
    <w:rsid w:val="002C458A"/>
    <w:rsid w:val="002C6552"/>
    <w:rsid w:val="002C6773"/>
    <w:rsid w:val="002C6F51"/>
    <w:rsid w:val="002C73EC"/>
    <w:rsid w:val="002D06D9"/>
    <w:rsid w:val="002D0FE0"/>
    <w:rsid w:val="002D269A"/>
    <w:rsid w:val="002D2A3D"/>
    <w:rsid w:val="002D3E72"/>
    <w:rsid w:val="002D3EAC"/>
    <w:rsid w:val="002D46A9"/>
    <w:rsid w:val="002D5A7F"/>
    <w:rsid w:val="002D5D1D"/>
    <w:rsid w:val="002D6EFD"/>
    <w:rsid w:val="002D74CF"/>
    <w:rsid w:val="002E0A45"/>
    <w:rsid w:val="002E0B17"/>
    <w:rsid w:val="002E26B4"/>
    <w:rsid w:val="002E4FFB"/>
    <w:rsid w:val="002E63A7"/>
    <w:rsid w:val="002E650E"/>
    <w:rsid w:val="002E6ACB"/>
    <w:rsid w:val="002E6E2F"/>
    <w:rsid w:val="002E7DED"/>
    <w:rsid w:val="002F0334"/>
    <w:rsid w:val="002F2A7B"/>
    <w:rsid w:val="002F4AB2"/>
    <w:rsid w:val="002F5944"/>
    <w:rsid w:val="002F6850"/>
    <w:rsid w:val="002F7BC2"/>
    <w:rsid w:val="002F7E11"/>
    <w:rsid w:val="0030037C"/>
    <w:rsid w:val="00304087"/>
    <w:rsid w:val="003053DC"/>
    <w:rsid w:val="003054B0"/>
    <w:rsid w:val="003057B1"/>
    <w:rsid w:val="003062AD"/>
    <w:rsid w:val="00310ACD"/>
    <w:rsid w:val="00312C23"/>
    <w:rsid w:val="0031379F"/>
    <w:rsid w:val="00313A9C"/>
    <w:rsid w:val="0031621E"/>
    <w:rsid w:val="00316A16"/>
    <w:rsid w:val="00320228"/>
    <w:rsid w:val="00320A26"/>
    <w:rsid w:val="003212F3"/>
    <w:rsid w:val="00321344"/>
    <w:rsid w:val="00321788"/>
    <w:rsid w:val="00325064"/>
    <w:rsid w:val="00325EC9"/>
    <w:rsid w:val="003279C6"/>
    <w:rsid w:val="0032B295"/>
    <w:rsid w:val="00331A3E"/>
    <w:rsid w:val="0033335E"/>
    <w:rsid w:val="003335E2"/>
    <w:rsid w:val="0033451C"/>
    <w:rsid w:val="00335660"/>
    <w:rsid w:val="00335FBD"/>
    <w:rsid w:val="00336854"/>
    <w:rsid w:val="0033769B"/>
    <w:rsid w:val="0034015C"/>
    <w:rsid w:val="00341409"/>
    <w:rsid w:val="00341CAE"/>
    <w:rsid w:val="003442F4"/>
    <w:rsid w:val="00344546"/>
    <w:rsid w:val="00344A70"/>
    <w:rsid w:val="003455CF"/>
    <w:rsid w:val="0034716E"/>
    <w:rsid w:val="00350CB4"/>
    <w:rsid w:val="00353705"/>
    <w:rsid w:val="00354C69"/>
    <w:rsid w:val="00355536"/>
    <w:rsid w:val="003562E8"/>
    <w:rsid w:val="003614D7"/>
    <w:rsid w:val="0036357D"/>
    <w:rsid w:val="003649BC"/>
    <w:rsid w:val="00364F7E"/>
    <w:rsid w:val="00365E44"/>
    <w:rsid w:val="003662B1"/>
    <w:rsid w:val="003667AD"/>
    <w:rsid w:val="00367AA1"/>
    <w:rsid w:val="00370A5B"/>
    <w:rsid w:val="00372497"/>
    <w:rsid w:val="00372E36"/>
    <w:rsid w:val="00373D53"/>
    <w:rsid w:val="00375653"/>
    <w:rsid w:val="00375DFA"/>
    <w:rsid w:val="00375F7D"/>
    <w:rsid w:val="003767D3"/>
    <w:rsid w:val="00376EE9"/>
    <w:rsid w:val="00376FFC"/>
    <w:rsid w:val="00377C84"/>
    <w:rsid w:val="00377CBB"/>
    <w:rsid w:val="00384F62"/>
    <w:rsid w:val="00385438"/>
    <w:rsid w:val="003858E5"/>
    <w:rsid w:val="003877B6"/>
    <w:rsid w:val="00391539"/>
    <w:rsid w:val="003921B7"/>
    <w:rsid w:val="00393887"/>
    <w:rsid w:val="00393F1B"/>
    <w:rsid w:val="00394C6B"/>
    <w:rsid w:val="0039610B"/>
    <w:rsid w:val="00397C2B"/>
    <w:rsid w:val="003A290F"/>
    <w:rsid w:val="003A4AAA"/>
    <w:rsid w:val="003A4B10"/>
    <w:rsid w:val="003A4E2E"/>
    <w:rsid w:val="003A4E62"/>
    <w:rsid w:val="003A5A6A"/>
    <w:rsid w:val="003A775E"/>
    <w:rsid w:val="003B02F2"/>
    <w:rsid w:val="003B0BD0"/>
    <w:rsid w:val="003B0CDD"/>
    <w:rsid w:val="003B1069"/>
    <w:rsid w:val="003B38CC"/>
    <w:rsid w:val="003B390A"/>
    <w:rsid w:val="003B3D53"/>
    <w:rsid w:val="003B4E3A"/>
    <w:rsid w:val="003B6373"/>
    <w:rsid w:val="003B79E1"/>
    <w:rsid w:val="003C0E8C"/>
    <w:rsid w:val="003C15DE"/>
    <w:rsid w:val="003C2096"/>
    <w:rsid w:val="003C2889"/>
    <w:rsid w:val="003C34C9"/>
    <w:rsid w:val="003C4EB2"/>
    <w:rsid w:val="003C514D"/>
    <w:rsid w:val="003C5E05"/>
    <w:rsid w:val="003C63D0"/>
    <w:rsid w:val="003C7959"/>
    <w:rsid w:val="003D3968"/>
    <w:rsid w:val="003D42AF"/>
    <w:rsid w:val="003D4AD2"/>
    <w:rsid w:val="003D5E11"/>
    <w:rsid w:val="003D73C0"/>
    <w:rsid w:val="003E031D"/>
    <w:rsid w:val="003E7305"/>
    <w:rsid w:val="003F0C1C"/>
    <w:rsid w:val="003F1AF3"/>
    <w:rsid w:val="003F25E4"/>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137C0"/>
    <w:rsid w:val="004138F3"/>
    <w:rsid w:val="0041450D"/>
    <w:rsid w:val="00421F20"/>
    <w:rsid w:val="00423B63"/>
    <w:rsid w:val="00427BEA"/>
    <w:rsid w:val="00430120"/>
    <w:rsid w:val="004313E7"/>
    <w:rsid w:val="00432542"/>
    <w:rsid w:val="0043329A"/>
    <w:rsid w:val="004339B2"/>
    <w:rsid w:val="00444A70"/>
    <w:rsid w:val="0044763B"/>
    <w:rsid w:val="00450E75"/>
    <w:rsid w:val="00452696"/>
    <w:rsid w:val="00453F32"/>
    <w:rsid w:val="00456A53"/>
    <w:rsid w:val="0046213C"/>
    <w:rsid w:val="00462518"/>
    <w:rsid w:val="0046266D"/>
    <w:rsid w:val="004629B3"/>
    <w:rsid w:val="0046376E"/>
    <w:rsid w:val="00463B50"/>
    <w:rsid w:val="0046587C"/>
    <w:rsid w:val="0046690F"/>
    <w:rsid w:val="00471116"/>
    <w:rsid w:val="00472FEC"/>
    <w:rsid w:val="0047574A"/>
    <w:rsid w:val="00476830"/>
    <w:rsid w:val="004770F6"/>
    <w:rsid w:val="004812D2"/>
    <w:rsid w:val="00483B28"/>
    <w:rsid w:val="004858E1"/>
    <w:rsid w:val="00485EF2"/>
    <w:rsid w:val="004864A1"/>
    <w:rsid w:val="0048769E"/>
    <w:rsid w:val="00490A03"/>
    <w:rsid w:val="00490B0D"/>
    <w:rsid w:val="00490E5D"/>
    <w:rsid w:val="00492B0A"/>
    <w:rsid w:val="00492D88"/>
    <w:rsid w:val="00492E60"/>
    <w:rsid w:val="00493327"/>
    <w:rsid w:val="0049382E"/>
    <w:rsid w:val="00494DBE"/>
    <w:rsid w:val="00495CE6"/>
    <w:rsid w:val="00496794"/>
    <w:rsid w:val="00497D5E"/>
    <w:rsid w:val="004A144D"/>
    <w:rsid w:val="004A1D27"/>
    <w:rsid w:val="004A323C"/>
    <w:rsid w:val="004B0801"/>
    <w:rsid w:val="004B1117"/>
    <w:rsid w:val="004B1A6B"/>
    <w:rsid w:val="004B1FC8"/>
    <w:rsid w:val="004B339A"/>
    <w:rsid w:val="004B54E8"/>
    <w:rsid w:val="004B5560"/>
    <w:rsid w:val="004B773C"/>
    <w:rsid w:val="004C0138"/>
    <w:rsid w:val="004C0686"/>
    <w:rsid w:val="004C12E8"/>
    <w:rsid w:val="004C130C"/>
    <w:rsid w:val="004C1578"/>
    <w:rsid w:val="004C174B"/>
    <w:rsid w:val="004C286B"/>
    <w:rsid w:val="004C33BA"/>
    <w:rsid w:val="004C47EA"/>
    <w:rsid w:val="004C4FEB"/>
    <w:rsid w:val="004C618D"/>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341"/>
    <w:rsid w:val="004E5124"/>
    <w:rsid w:val="004E5F78"/>
    <w:rsid w:val="004E7BE2"/>
    <w:rsid w:val="004E7E3A"/>
    <w:rsid w:val="004F10C1"/>
    <w:rsid w:val="004F1C5E"/>
    <w:rsid w:val="004F3E47"/>
    <w:rsid w:val="004F4CC8"/>
    <w:rsid w:val="004F4F5A"/>
    <w:rsid w:val="004F51FF"/>
    <w:rsid w:val="004F5AD9"/>
    <w:rsid w:val="0050159C"/>
    <w:rsid w:val="005022B7"/>
    <w:rsid w:val="00502C44"/>
    <w:rsid w:val="00502E62"/>
    <w:rsid w:val="00506B8A"/>
    <w:rsid w:val="005110D3"/>
    <w:rsid w:val="00520502"/>
    <w:rsid w:val="00520A65"/>
    <w:rsid w:val="005218B8"/>
    <w:rsid w:val="0052212B"/>
    <w:rsid w:val="005221A8"/>
    <w:rsid w:val="005230C7"/>
    <w:rsid w:val="0052625A"/>
    <w:rsid w:val="005266EA"/>
    <w:rsid w:val="00527072"/>
    <w:rsid w:val="0053001D"/>
    <w:rsid w:val="00534B46"/>
    <w:rsid w:val="00534CE8"/>
    <w:rsid w:val="00535018"/>
    <w:rsid w:val="005355DB"/>
    <w:rsid w:val="00535866"/>
    <w:rsid w:val="0054023C"/>
    <w:rsid w:val="00540358"/>
    <w:rsid w:val="00540A05"/>
    <w:rsid w:val="00540D47"/>
    <w:rsid w:val="005428D7"/>
    <w:rsid w:val="00542D43"/>
    <w:rsid w:val="005463C3"/>
    <w:rsid w:val="005465A3"/>
    <w:rsid w:val="00547C7C"/>
    <w:rsid w:val="005506D5"/>
    <w:rsid w:val="00550864"/>
    <w:rsid w:val="00551D6C"/>
    <w:rsid w:val="00553580"/>
    <w:rsid w:val="005550A8"/>
    <w:rsid w:val="0055571E"/>
    <w:rsid w:val="00556F67"/>
    <w:rsid w:val="00557849"/>
    <w:rsid w:val="00563009"/>
    <w:rsid w:val="005635B7"/>
    <w:rsid w:val="005652E8"/>
    <w:rsid w:val="0056772E"/>
    <w:rsid w:val="00567A17"/>
    <w:rsid w:val="0057667C"/>
    <w:rsid w:val="00576BDA"/>
    <w:rsid w:val="00577DB4"/>
    <w:rsid w:val="00580B01"/>
    <w:rsid w:val="005811D2"/>
    <w:rsid w:val="005826DA"/>
    <w:rsid w:val="00582943"/>
    <w:rsid w:val="00582D0E"/>
    <w:rsid w:val="00582E09"/>
    <w:rsid w:val="005833F0"/>
    <w:rsid w:val="00584813"/>
    <w:rsid w:val="00586280"/>
    <w:rsid w:val="005865FC"/>
    <w:rsid w:val="005869CE"/>
    <w:rsid w:val="00586CAF"/>
    <w:rsid w:val="005873E9"/>
    <w:rsid w:val="00587A90"/>
    <w:rsid w:val="00591180"/>
    <w:rsid w:val="00592E9F"/>
    <w:rsid w:val="00595286"/>
    <w:rsid w:val="0059722C"/>
    <w:rsid w:val="005977A6"/>
    <w:rsid w:val="00597D07"/>
    <w:rsid w:val="00597DD6"/>
    <w:rsid w:val="005A16E6"/>
    <w:rsid w:val="005A30D7"/>
    <w:rsid w:val="005A3846"/>
    <w:rsid w:val="005A678F"/>
    <w:rsid w:val="005A6DE6"/>
    <w:rsid w:val="005A7DE8"/>
    <w:rsid w:val="005A7E97"/>
    <w:rsid w:val="005B2CD2"/>
    <w:rsid w:val="005B632A"/>
    <w:rsid w:val="005B6A58"/>
    <w:rsid w:val="005C2D0E"/>
    <w:rsid w:val="005C5636"/>
    <w:rsid w:val="005C5A83"/>
    <w:rsid w:val="005C6302"/>
    <w:rsid w:val="005C7112"/>
    <w:rsid w:val="005D0561"/>
    <w:rsid w:val="005D0AD9"/>
    <w:rsid w:val="005D1A67"/>
    <w:rsid w:val="005D22F6"/>
    <w:rsid w:val="005D4DEE"/>
    <w:rsid w:val="005D53EF"/>
    <w:rsid w:val="005D6774"/>
    <w:rsid w:val="005D68AA"/>
    <w:rsid w:val="005D6BD1"/>
    <w:rsid w:val="005E060E"/>
    <w:rsid w:val="005E0C30"/>
    <w:rsid w:val="005E1DB5"/>
    <w:rsid w:val="005E1DCB"/>
    <w:rsid w:val="005E33E0"/>
    <w:rsid w:val="005E38D7"/>
    <w:rsid w:val="005E3FBB"/>
    <w:rsid w:val="005E66B4"/>
    <w:rsid w:val="005E69D9"/>
    <w:rsid w:val="005E6CB1"/>
    <w:rsid w:val="005E7116"/>
    <w:rsid w:val="005E7971"/>
    <w:rsid w:val="005E7C22"/>
    <w:rsid w:val="005F17D1"/>
    <w:rsid w:val="005F27F4"/>
    <w:rsid w:val="005F3239"/>
    <w:rsid w:val="005F39BF"/>
    <w:rsid w:val="005F566C"/>
    <w:rsid w:val="005F6567"/>
    <w:rsid w:val="005F676D"/>
    <w:rsid w:val="005F7A8A"/>
    <w:rsid w:val="00600998"/>
    <w:rsid w:val="00600ACF"/>
    <w:rsid w:val="00600DBC"/>
    <w:rsid w:val="006019EB"/>
    <w:rsid w:val="00605DFE"/>
    <w:rsid w:val="00607094"/>
    <w:rsid w:val="00607256"/>
    <w:rsid w:val="0060790C"/>
    <w:rsid w:val="0060791E"/>
    <w:rsid w:val="00611F08"/>
    <w:rsid w:val="00613BF1"/>
    <w:rsid w:val="006144B1"/>
    <w:rsid w:val="00615A5C"/>
    <w:rsid w:val="006177FF"/>
    <w:rsid w:val="0062077F"/>
    <w:rsid w:val="00621BC7"/>
    <w:rsid w:val="00622033"/>
    <w:rsid w:val="00630644"/>
    <w:rsid w:val="00632A50"/>
    <w:rsid w:val="00632D1B"/>
    <w:rsid w:val="006335F1"/>
    <w:rsid w:val="006336FD"/>
    <w:rsid w:val="00633B49"/>
    <w:rsid w:val="006345B6"/>
    <w:rsid w:val="00635616"/>
    <w:rsid w:val="00635712"/>
    <w:rsid w:val="00635984"/>
    <w:rsid w:val="00635F41"/>
    <w:rsid w:val="006368FF"/>
    <w:rsid w:val="006377D4"/>
    <w:rsid w:val="00640135"/>
    <w:rsid w:val="006402FF"/>
    <w:rsid w:val="0064107F"/>
    <w:rsid w:val="00643D8A"/>
    <w:rsid w:val="00645A5C"/>
    <w:rsid w:val="00646FEC"/>
    <w:rsid w:val="00647AB9"/>
    <w:rsid w:val="00650894"/>
    <w:rsid w:val="0065112B"/>
    <w:rsid w:val="00652091"/>
    <w:rsid w:val="00652229"/>
    <w:rsid w:val="00652793"/>
    <w:rsid w:val="006528DE"/>
    <w:rsid w:val="00657789"/>
    <w:rsid w:val="00657A49"/>
    <w:rsid w:val="00660320"/>
    <w:rsid w:val="0066187E"/>
    <w:rsid w:val="00662375"/>
    <w:rsid w:val="006626CA"/>
    <w:rsid w:val="00663487"/>
    <w:rsid w:val="00665F22"/>
    <w:rsid w:val="00667947"/>
    <w:rsid w:val="00670F0E"/>
    <w:rsid w:val="00672382"/>
    <w:rsid w:val="006733BB"/>
    <w:rsid w:val="00676E80"/>
    <w:rsid w:val="00681257"/>
    <w:rsid w:val="00681C3E"/>
    <w:rsid w:val="006822E9"/>
    <w:rsid w:val="00682643"/>
    <w:rsid w:val="00682EB9"/>
    <w:rsid w:val="00682F1E"/>
    <w:rsid w:val="0068378C"/>
    <w:rsid w:val="006839D3"/>
    <w:rsid w:val="0068441A"/>
    <w:rsid w:val="0068699A"/>
    <w:rsid w:val="00690B19"/>
    <w:rsid w:val="0069650C"/>
    <w:rsid w:val="006A0A3C"/>
    <w:rsid w:val="006A1ED8"/>
    <w:rsid w:val="006A59E9"/>
    <w:rsid w:val="006A5AB1"/>
    <w:rsid w:val="006A75B8"/>
    <w:rsid w:val="006A79F0"/>
    <w:rsid w:val="006B048F"/>
    <w:rsid w:val="006B359D"/>
    <w:rsid w:val="006B47EE"/>
    <w:rsid w:val="006B499F"/>
    <w:rsid w:val="006B54C6"/>
    <w:rsid w:val="006B617F"/>
    <w:rsid w:val="006C1FB8"/>
    <w:rsid w:val="006C2BB0"/>
    <w:rsid w:val="006C33BE"/>
    <w:rsid w:val="006C4B3D"/>
    <w:rsid w:val="006C51AB"/>
    <w:rsid w:val="006C5B53"/>
    <w:rsid w:val="006C7E78"/>
    <w:rsid w:val="006D064D"/>
    <w:rsid w:val="006D098F"/>
    <w:rsid w:val="006D20E3"/>
    <w:rsid w:val="006D2218"/>
    <w:rsid w:val="006D33E1"/>
    <w:rsid w:val="006D4996"/>
    <w:rsid w:val="006D535B"/>
    <w:rsid w:val="006D54AB"/>
    <w:rsid w:val="006D58E5"/>
    <w:rsid w:val="006E1084"/>
    <w:rsid w:val="006E10B2"/>
    <w:rsid w:val="006E1FA9"/>
    <w:rsid w:val="006E2D24"/>
    <w:rsid w:val="006E3006"/>
    <w:rsid w:val="006E4F02"/>
    <w:rsid w:val="006E5032"/>
    <w:rsid w:val="006E5BDA"/>
    <w:rsid w:val="006E74BB"/>
    <w:rsid w:val="006E7AC9"/>
    <w:rsid w:val="006F0FC7"/>
    <w:rsid w:val="006F39A9"/>
    <w:rsid w:val="006F3D9D"/>
    <w:rsid w:val="006F524E"/>
    <w:rsid w:val="006F5D57"/>
    <w:rsid w:val="006F643F"/>
    <w:rsid w:val="006F670F"/>
    <w:rsid w:val="006F77F3"/>
    <w:rsid w:val="0070063C"/>
    <w:rsid w:val="00700D69"/>
    <w:rsid w:val="00702921"/>
    <w:rsid w:val="00703272"/>
    <w:rsid w:val="0070362C"/>
    <w:rsid w:val="00705BBE"/>
    <w:rsid w:val="0070733C"/>
    <w:rsid w:val="007102D5"/>
    <w:rsid w:val="00710C5D"/>
    <w:rsid w:val="0071348C"/>
    <w:rsid w:val="00717273"/>
    <w:rsid w:val="00720FD4"/>
    <w:rsid w:val="00723C6D"/>
    <w:rsid w:val="00724550"/>
    <w:rsid w:val="00724AF2"/>
    <w:rsid w:val="00725B02"/>
    <w:rsid w:val="00730624"/>
    <w:rsid w:val="0073096C"/>
    <w:rsid w:val="0073100D"/>
    <w:rsid w:val="00731368"/>
    <w:rsid w:val="00733429"/>
    <w:rsid w:val="00733A46"/>
    <w:rsid w:val="00735E2D"/>
    <w:rsid w:val="00736F2C"/>
    <w:rsid w:val="007419C8"/>
    <w:rsid w:val="00742398"/>
    <w:rsid w:val="007432A9"/>
    <w:rsid w:val="00745C0B"/>
    <w:rsid w:val="00746050"/>
    <w:rsid w:val="00746118"/>
    <w:rsid w:val="00746C7F"/>
    <w:rsid w:val="007507B5"/>
    <w:rsid w:val="0075091D"/>
    <w:rsid w:val="00750EC4"/>
    <w:rsid w:val="00751831"/>
    <w:rsid w:val="0075201B"/>
    <w:rsid w:val="00753A24"/>
    <w:rsid w:val="0075430D"/>
    <w:rsid w:val="0075779F"/>
    <w:rsid w:val="0076354B"/>
    <w:rsid w:val="007658F3"/>
    <w:rsid w:val="00766EA2"/>
    <w:rsid w:val="00767034"/>
    <w:rsid w:val="00772188"/>
    <w:rsid w:val="0077222A"/>
    <w:rsid w:val="00773909"/>
    <w:rsid w:val="0077433B"/>
    <w:rsid w:val="00774E1E"/>
    <w:rsid w:val="007813D0"/>
    <w:rsid w:val="007845AC"/>
    <w:rsid w:val="00785993"/>
    <w:rsid w:val="00785A0D"/>
    <w:rsid w:val="007863BF"/>
    <w:rsid w:val="007866E2"/>
    <w:rsid w:val="00786BA3"/>
    <w:rsid w:val="00790993"/>
    <w:rsid w:val="0079202F"/>
    <w:rsid w:val="0079203E"/>
    <w:rsid w:val="007934C3"/>
    <w:rsid w:val="00794903"/>
    <w:rsid w:val="00795486"/>
    <w:rsid w:val="00795AF2"/>
    <w:rsid w:val="00795E4F"/>
    <w:rsid w:val="007A00A2"/>
    <w:rsid w:val="007A0287"/>
    <w:rsid w:val="007A09FC"/>
    <w:rsid w:val="007A2AAD"/>
    <w:rsid w:val="007A36E7"/>
    <w:rsid w:val="007A4432"/>
    <w:rsid w:val="007A59E9"/>
    <w:rsid w:val="007A784E"/>
    <w:rsid w:val="007A7E31"/>
    <w:rsid w:val="007B02A0"/>
    <w:rsid w:val="007B278C"/>
    <w:rsid w:val="007B2DAD"/>
    <w:rsid w:val="007B3774"/>
    <w:rsid w:val="007B4939"/>
    <w:rsid w:val="007B499C"/>
    <w:rsid w:val="007B4D4B"/>
    <w:rsid w:val="007B58C6"/>
    <w:rsid w:val="007B76D8"/>
    <w:rsid w:val="007C0646"/>
    <w:rsid w:val="007C1E5E"/>
    <w:rsid w:val="007C1E9D"/>
    <w:rsid w:val="007C3AE3"/>
    <w:rsid w:val="007C6C51"/>
    <w:rsid w:val="007C6EE9"/>
    <w:rsid w:val="007D0000"/>
    <w:rsid w:val="007D2A02"/>
    <w:rsid w:val="007D5EA2"/>
    <w:rsid w:val="007D6144"/>
    <w:rsid w:val="007D62A4"/>
    <w:rsid w:val="007D6CE5"/>
    <w:rsid w:val="007E0917"/>
    <w:rsid w:val="007E1736"/>
    <w:rsid w:val="007E25DD"/>
    <w:rsid w:val="007E2887"/>
    <w:rsid w:val="007E3318"/>
    <w:rsid w:val="007E6EA1"/>
    <w:rsid w:val="007F0F63"/>
    <w:rsid w:val="007F2B1E"/>
    <w:rsid w:val="007F4590"/>
    <w:rsid w:val="007F62B4"/>
    <w:rsid w:val="007F7DF9"/>
    <w:rsid w:val="00800FD6"/>
    <w:rsid w:val="00801517"/>
    <w:rsid w:val="00804966"/>
    <w:rsid w:val="0080510A"/>
    <w:rsid w:val="0080596A"/>
    <w:rsid w:val="00805CBF"/>
    <w:rsid w:val="00810AC4"/>
    <w:rsid w:val="0081218E"/>
    <w:rsid w:val="0081228B"/>
    <w:rsid w:val="00813492"/>
    <w:rsid w:val="00814DE2"/>
    <w:rsid w:val="008177EE"/>
    <w:rsid w:val="00817895"/>
    <w:rsid w:val="00817AE8"/>
    <w:rsid w:val="00817C11"/>
    <w:rsid w:val="00817DE8"/>
    <w:rsid w:val="008229F5"/>
    <w:rsid w:val="00822DA7"/>
    <w:rsid w:val="008259DE"/>
    <w:rsid w:val="0082699A"/>
    <w:rsid w:val="00827F2A"/>
    <w:rsid w:val="00832633"/>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5FD0"/>
    <w:rsid w:val="00856F81"/>
    <w:rsid w:val="00857408"/>
    <w:rsid w:val="008578A9"/>
    <w:rsid w:val="0086072A"/>
    <w:rsid w:val="0086088F"/>
    <w:rsid w:val="008614F1"/>
    <w:rsid w:val="008639B3"/>
    <w:rsid w:val="00863C1A"/>
    <w:rsid w:val="00863DA3"/>
    <w:rsid w:val="0086470F"/>
    <w:rsid w:val="00865882"/>
    <w:rsid w:val="00866CDD"/>
    <w:rsid w:val="008712FE"/>
    <w:rsid w:val="0087142D"/>
    <w:rsid w:val="0087276F"/>
    <w:rsid w:val="00872928"/>
    <w:rsid w:val="00872DA6"/>
    <w:rsid w:val="00873416"/>
    <w:rsid w:val="00873956"/>
    <w:rsid w:val="0087538C"/>
    <w:rsid w:val="00875CB0"/>
    <w:rsid w:val="008770CC"/>
    <w:rsid w:val="00877800"/>
    <w:rsid w:val="00877C32"/>
    <w:rsid w:val="0088094B"/>
    <w:rsid w:val="00880E72"/>
    <w:rsid w:val="0088176E"/>
    <w:rsid w:val="008825EE"/>
    <w:rsid w:val="00882DE4"/>
    <w:rsid w:val="0088313E"/>
    <w:rsid w:val="0088596E"/>
    <w:rsid w:val="00885D26"/>
    <w:rsid w:val="00886C54"/>
    <w:rsid w:val="008870ED"/>
    <w:rsid w:val="008877FC"/>
    <w:rsid w:val="0089796A"/>
    <w:rsid w:val="0089799B"/>
    <w:rsid w:val="008A2375"/>
    <w:rsid w:val="008A54B6"/>
    <w:rsid w:val="008A7DEB"/>
    <w:rsid w:val="008B1B65"/>
    <w:rsid w:val="008B3557"/>
    <w:rsid w:val="008B39E0"/>
    <w:rsid w:val="008B4302"/>
    <w:rsid w:val="008B605A"/>
    <w:rsid w:val="008C093B"/>
    <w:rsid w:val="008C0E76"/>
    <w:rsid w:val="008C2665"/>
    <w:rsid w:val="008C3851"/>
    <w:rsid w:val="008C6041"/>
    <w:rsid w:val="008C74E3"/>
    <w:rsid w:val="008D0936"/>
    <w:rsid w:val="008D403B"/>
    <w:rsid w:val="008D4707"/>
    <w:rsid w:val="008D76C5"/>
    <w:rsid w:val="008E0A04"/>
    <w:rsid w:val="008E0AFA"/>
    <w:rsid w:val="008E411B"/>
    <w:rsid w:val="008E4F56"/>
    <w:rsid w:val="008E75D3"/>
    <w:rsid w:val="008F02E9"/>
    <w:rsid w:val="008F0CE4"/>
    <w:rsid w:val="008F125E"/>
    <w:rsid w:val="008F1CC5"/>
    <w:rsid w:val="008F2B54"/>
    <w:rsid w:val="008F2CC5"/>
    <w:rsid w:val="008F4C1E"/>
    <w:rsid w:val="008F4D2F"/>
    <w:rsid w:val="008F510A"/>
    <w:rsid w:val="008F55A2"/>
    <w:rsid w:val="00900235"/>
    <w:rsid w:val="00900D3C"/>
    <w:rsid w:val="00906292"/>
    <w:rsid w:val="00913090"/>
    <w:rsid w:val="00914B5B"/>
    <w:rsid w:val="00917162"/>
    <w:rsid w:val="009172B9"/>
    <w:rsid w:val="009178AA"/>
    <w:rsid w:val="00922CB8"/>
    <w:rsid w:val="00923001"/>
    <w:rsid w:val="0092358D"/>
    <w:rsid w:val="009238BF"/>
    <w:rsid w:val="009251CC"/>
    <w:rsid w:val="0092714E"/>
    <w:rsid w:val="00927661"/>
    <w:rsid w:val="00931E24"/>
    <w:rsid w:val="009324F0"/>
    <w:rsid w:val="0093478F"/>
    <w:rsid w:val="00936826"/>
    <w:rsid w:val="00940B3D"/>
    <w:rsid w:val="00942002"/>
    <w:rsid w:val="00942359"/>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032"/>
    <w:rsid w:val="00960539"/>
    <w:rsid w:val="009605B1"/>
    <w:rsid w:val="00960CBC"/>
    <w:rsid w:val="00963A06"/>
    <w:rsid w:val="00965192"/>
    <w:rsid w:val="00967DD4"/>
    <w:rsid w:val="009700B1"/>
    <w:rsid w:val="00970ECF"/>
    <w:rsid w:val="00971261"/>
    <w:rsid w:val="00971FD4"/>
    <w:rsid w:val="009722CB"/>
    <w:rsid w:val="009739A0"/>
    <w:rsid w:val="00974EE4"/>
    <w:rsid w:val="00974F84"/>
    <w:rsid w:val="00975D5B"/>
    <w:rsid w:val="00976216"/>
    <w:rsid w:val="009767C7"/>
    <w:rsid w:val="00977D30"/>
    <w:rsid w:val="00980E69"/>
    <w:rsid w:val="0098334C"/>
    <w:rsid w:val="00984643"/>
    <w:rsid w:val="0098576C"/>
    <w:rsid w:val="0098579A"/>
    <w:rsid w:val="00991475"/>
    <w:rsid w:val="009918DD"/>
    <w:rsid w:val="0099195A"/>
    <w:rsid w:val="00991BD2"/>
    <w:rsid w:val="00992407"/>
    <w:rsid w:val="00992A11"/>
    <w:rsid w:val="00994681"/>
    <w:rsid w:val="0099486A"/>
    <w:rsid w:val="009A0B33"/>
    <w:rsid w:val="009A0E26"/>
    <w:rsid w:val="009A16EC"/>
    <w:rsid w:val="009A22C2"/>
    <w:rsid w:val="009A57A9"/>
    <w:rsid w:val="009A743E"/>
    <w:rsid w:val="009A7CF6"/>
    <w:rsid w:val="009B1B55"/>
    <w:rsid w:val="009B29B7"/>
    <w:rsid w:val="009B3199"/>
    <w:rsid w:val="009B3B37"/>
    <w:rsid w:val="009B4265"/>
    <w:rsid w:val="009B63F4"/>
    <w:rsid w:val="009B7D1F"/>
    <w:rsid w:val="009C088E"/>
    <w:rsid w:val="009C17DC"/>
    <w:rsid w:val="009C37AB"/>
    <w:rsid w:val="009C4C7A"/>
    <w:rsid w:val="009C4D35"/>
    <w:rsid w:val="009C5E51"/>
    <w:rsid w:val="009C7B68"/>
    <w:rsid w:val="009D0253"/>
    <w:rsid w:val="009D1522"/>
    <w:rsid w:val="009D51F0"/>
    <w:rsid w:val="009D7252"/>
    <w:rsid w:val="009E1FF6"/>
    <w:rsid w:val="009E3CAF"/>
    <w:rsid w:val="009E3F48"/>
    <w:rsid w:val="009E53A5"/>
    <w:rsid w:val="009E5B95"/>
    <w:rsid w:val="009E5EB4"/>
    <w:rsid w:val="009F563C"/>
    <w:rsid w:val="009F610E"/>
    <w:rsid w:val="00A00DA9"/>
    <w:rsid w:val="00A00F7E"/>
    <w:rsid w:val="00A044D6"/>
    <w:rsid w:val="00A04ADB"/>
    <w:rsid w:val="00A04F89"/>
    <w:rsid w:val="00A05F11"/>
    <w:rsid w:val="00A11E0F"/>
    <w:rsid w:val="00A12378"/>
    <w:rsid w:val="00A141E9"/>
    <w:rsid w:val="00A15D78"/>
    <w:rsid w:val="00A15EBE"/>
    <w:rsid w:val="00A17F5B"/>
    <w:rsid w:val="00A216E5"/>
    <w:rsid w:val="00A24F45"/>
    <w:rsid w:val="00A26744"/>
    <w:rsid w:val="00A26CB6"/>
    <w:rsid w:val="00A30A00"/>
    <w:rsid w:val="00A32F82"/>
    <w:rsid w:val="00A32F8B"/>
    <w:rsid w:val="00A34F9F"/>
    <w:rsid w:val="00A36481"/>
    <w:rsid w:val="00A36675"/>
    <w:rsid w:val="00A3756F"/>
    <w:rsid w:val="00A42D6F"/>
    <w:rsid w:val="00A43870"/>
    <w:rsid w:val="00A4474B"/>
    <w:rsid w:val="00A45A62"/>
    <w:rsid w:val="00A462DC"/>
    <w:rsid w:val="00A4657C"/>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6DB1"/>
    <w:rsid w:val="00A67A92"/>
    <w:rsid w:val="00A70DC6"/>
    <w:rsid w:val="00A71797"/>
    <w:rsid w:val="00A74FDC"/>
    <w:rsid w:val="00A77192"/>
    <w:rsid w:val="00A8089F"/>
    <w:rsid w:val="00A842D5"/>
    <w:rsid w:val="00A87870"/>
    <w:rsid w:val="00A903F3"/>
    <w:rsid w:val="00A90F18"/>
    <w:rsid w:val="00A90FFB"/>
    <w:rsid w:val="00A9149D"/>
    <w:rsid w:val="00A91A70"/>
    <w:rsid w:val="00A9302F"/>
    <w:rsid w:val="00A957F6"/>
    <w:rsid w:val="00A959CF"/>
    <w:rsid w:val="00A97316"/>
    <w:rsid w:val="00AA010B"/>
    <w:rsid w:val="00AA0D54"/>
    <w:rsid w:val="00AA1B85"/>
    <w:rsid w:val="00AA3290"/>
    <w:rsid w:val="00AA46F0"/>
    <w:rsid w:val="00AA6481"/>
    <w:rsid w:val="00AA7270"/>
    <w:rsid w:val="00AA7CD3"/>
    <w:rsid w:val="00AB0C08"/>
    <w:rsid w:val="00AB12AC"/>
    <w:rsid w:val="00AB1CB6"/>
    <w:rsid w:val="00AB1D9A"/>
    <w:rsid w:val="00AB4A1F"/>
    <w:rsid w:val="00AB5C61"/>
    <w:rsid w:val="00AB6B85"/>
    <w:rsid w:val="00AC3540"/>
    <w:rsid w:val="00AC3D15"/>
    <w:rsid w:val="00AC5055"/>
    <w:rsid w:val="00AD0C22"/>
    <w:rsid w:val="00AD1AD7"/>
    <w:rsid w:val="00AD1AE2"/>
    <w:rsid w:val="00AD3290"/>
    <w:rsid w:val="00AD442C"/>
    <w:rsid w:val="00AD44FE"/>
    <w:rsid w:val="00AD5A37"/>
    <w:rsid w:val="00AE05A4"/>
    <w:rsid w:val="00AE177E"/>
    <w:rsid w:val="00AE25FC"/>
    <w:rsid w:val="00AE400C"/>
    <w:rsid w:val="00AE49F1"/>
    <w:rsid w:val="00AE4A1C"/>
    <w:rsid w:val="00AE4B7A"/>
    <w:rsid w:val="00AE5532"/>
    <w:rsid w:val="00AE74D8"/>
    <w:rsid w:val="00AF0674"/>
    <w:rsid w:val="00AF0B6F"/>
    <w:rsid w:val="00AF1D69"/>
    <w:rsid w:val="00AF30D0"/>
    <w:rsid w:val="00AF41FA"/>
    <w:rsid w:val="00AF71EB"/>
    <w:rsid w:val="00B00988"/>
    <w:rsid w:val="00B01405"/>
    <w:rsid w:val="00B052E8"/>
    <w:rsid w:val="00B05CCA"/>
    <w:rsid w:val="00B100C9"/>
    <w:rsid w:val="00B11099"/>
    <w:rsid w:val="00B1118A"/>
    <w:rsid w:val="00B14271"/>
    <w:rsid w:val="00B16270"/>
    <w:rsid w:val="00B22578"/>
    <w:rsid w:val="00B23C16"/>
    <w:rsid w:val="00B23C52"/>
    <w:rsid w:val="00B259E1"/>
    <w:rsid w:val="00B2685D"/>
    <w:rsid w:val="00B26D1E"/>
    <w:rsid w:val="00B30351"/>
    <w:rsid w:val="00B31E6E"/>
    <w:rsid w:val="00B334DA"/>
    <w:rsid w:val="00B33837"/>
    <w:rsid w:val="00B33C2A"/>
    <w:rsid w:val="00B34A14"/>
    <w:rsid w:val="00B35967"/>
    <w:rsid w:val="00B363D9"/>
    <w:rsid w:val="00B422EC"/>
    <w:rsid w:val="00B44875"/>
    <w:rsid w:val="00B44C07"/>
    <w:rsid w:val="00B46320"/>
    <w:rsid w:val="00B4657A"/>
    <w:rsid w:val="00B47F0A"/>
    <w:rsid w:val="00B50B6B"/>
    <w:rsid w:val="00B52692"/>
    <w:rsid w:val="00B54329"/>
    <w:rsid w:val="00B54885"/>
    <w:rsid w:val="00B54BFF"/>
    <w:rsid w:val="00B554C9"/>
    <w:rsid w:val="00B56AD9"/>
    <w:rsid w:val="00B57158"/>
    <w:rsid w:val="00B5778D"/>
    <w:rsid w:val="00B577B8"/>
    <w:rsid w:val="00B614C0"/>
    <w:rsid w:val="00B634AB"/>
    <w:rsid w:val="00B63624"/>
    <w:rsid w:val="00B7037B"/>
    <w:rsid w:val="00B719F6"/>
    <w:rsid w:val="00B726D4"/>
    <w:rsid w:val="00B72969"/>
    <w:rsid w:val="00B74991"/>
    <w:rsid w:val="00B758FD"/>
    <w:rsid w:val="00B76807"/>
    <w:rsid w:val="00B77D24"/>
    <w:rsid w:val="00B8214F"/>
    <w:rsid w:val="00B82B43"/>
    <w:rsid w:val="00B82B48"/>
    <w:rsid w:val="00B85133"/>
    <w:rsid w:val="00B8643A"/>
    <w:rsid w:val="00B86A4F"/>
    <w:rsid w:val="00B8777B"/>
    <w:rsid w:val="00B879DE"/>
    <w:rsid w:val="00B93035"/>
    <w:rsid w:val="00B940EB"/>
    <w:rsid w:val="00B9431C"/>
    <w:rsid w:val="00B95798"/>
    <w:rsid w:val="00B958E8"/>
    <w:rsid w:val="00B97E4A"/>
    <w:rsid w:val="00BA09B2"/>
    <w:rsid w:val="00BA0F35"/>
    <w:rsid w:val="00BA1E67"/>
    <w:rsid w:val="00BA465D"/>
    <w:rsid w:val="00BA52C0"/>
    <w:rsid w:val="00BA5B46"/>
    <w:rsid w:val="00BA63D4"/>
    <w:rsid w:val="00BB2D73"/>
    <w:rsid w:val="00BB35A3"/>
    <w:rsid w:val="00BB400D"/>
    <w:rsid w:val="00BB45BA"/>
    <w:rsid w:val="00BB48B2"/>
    <w:rsid w:val="00BB4A3A"/>
    <w:rsid w:val="00BB5D0B"/>
    <w:rsid w:val="00BB629C"/>
    <w:rsid w:val="00BC0995"/>
    <w:rsid w:val="00BC1761"/>
    <w:rsid w:val="00BC19ED"/>
    <w:rsid w:val="00BC46D4"/>
    <w:rsid w:val="00BC513A"/>
    <w:rsid w:val="00BC5907"/>
    <w:rsid w:val="00BC6C56"/>
    <w:rsid w:val="00BC6DE2"/>
    <w:rsid w:val="00BC6E62"/>
    <w:rsid w:val="00BD013A"/>
    <w:rsid w:val="00BD2510"/>
    <w:rsid w:val="00BD3A53"/>
    <w:rsid w:val="00BD5A19"/>
    <w:rsid w:val="00BD656A"/>
    <w:rsid w:val="00BD6D1B"/>
    <w:rsid w:val="00BE2403"/>
    <w:rsid w:val="00BE2D0A"/>
    <w:rsid w:val="00BE3681"/>
    <w:rsid w:val="00BE47D4"/>
    <w:rsid w:val="00BE793A"/>
    <w:rsid w:val="00BE7A0B"/>
    <w:rsid w:val="00BF114D"/>
    <w:rsid w:val="00BF2B82"/>
    <w:rsid w:val="00BF2CEB"/>
    <w:rsid w:val="00BF40D3"/>
    <w:rsid w:val="00BF432A"/>
    <w:rsid w:val="00BF6E82"/>
    <w:rsid w:val="00C044AA"/>
    <w:rsid w:val="00C060C7"/>
    <w:rsid w:val="00C06DCC"/>
    <w:rsid w:val="00C07F92"/>
    <w:rsid w:val="00C10EA4"/>
    <w:rsid w:val="00C10F01"/>
    <w:rsid w:val="00C11D25"/>
    <w:rsid w:val="00C13217"/>
    <w:rsid w:val="00C15BEC"/>
    <w:rsid w:val="00C15DB5"/>
    <w:rsid w:val="00C208E2"/>
    <w:rsid w:val="00C21897"/>
    <w:rsid w:val="00C21EBD"/>
    <w:rsid w:val="00C2288E"/>
    <w:rsid w:val="00C22B54"/>
    <w:rsid w:val="00C238C2"/>
    <w:rsid w:val="00C24279"/>
    <w:rsid w:val="00C24BB1"/>
    <w:rsid w:val="00C24C17"/>
    <w:rsid w:val="00C31595"/>
    <w:rsid w:val="00C31B25"/>
    <w:rsid w:val="00C3309D"/>
    <w:rsid w:val="00C3411D"/>
    <w:rsid w:val="00C34357"/>
    <w:rsid w:val="00C34829"/>
    <w:rsid w:val="00C363B8"/>
    <w:rsid w:val="00C3758F"/>
    <w:rsid w:val="00C37960"/>
    <w:rsid w:val="00C40B88"/>
    <w:rsid w:val="00C44489"/>
    <w:rsid w:val="00C44FC2"/>
    <w:rsid w:val="00C47A70"/>
    <w:rsid w:val="00C47D87"/>
    <w:rsid w:val="00C47FCD"/>
    <w:rsid w:val="00C50FA6"/>
    <w:rsid w:val="00C5376E"/>
    <w:rsid w:val="00C554C1"/>
    <w:rsid w:val="00C55AEE"/>
    <w:rsid w:val="00C5701B"/>
    <w:rsid w:val="00C6069A"/>
    <w:rsid w:val="00C61BDC"/>
    <w:rsid w:val="00C64D40"/>
    <w:rsid w:val="00C65957"/>
    <w:rsid w:val="00C66218"/>
    <w:rsid w:val="00C677C9"/>
    <w:rsid w:val="00C70DBC"/>
    <w:rsid w:val="00C71E80"/>
    <w:rsid w:val="00C7750A"/>
    <w:rsid w:val="00C80467"/>
    <w:rsid w:val="00C808A6"/>
    <w:rsid w:val="00C84AC6"/>
    <w:rsid w:val="00C855DB"/>
    <w:rsid w:val="00C855F3"/>
    <w:rsid w:val="00C86270"/>
    <w:rsid w:val="00C87DAC"/>
    <w:rsid w:val="00C90C20"/>
    <w:rsid w:val="00C913FE"/>
    <w:rsid w:val="00C948CF"/>
    <w:rsid w:val="00C954A1"/>
    <w:rsid w:val="00C95798"/>
    <w:rsid w:val="00C95A74"/>
    <w:rsid w:val="00C97091"/>
    <w:rsid w:val="00C97260"/>
    <w:rsid w:val="00C97391"/>
    <w:rsid w:val="00CA14A5"/>
    <w:rsid w:val="00CA1AB8"/>
    <w:rsid w:val="00CA2001"/>
    <w:rsid w:val="00CA2B10"/>
    <w:rsid w:val="00CA3F11"/>
    <w:rsid w:val="00CA5256"/>
    <w:rsid w:val="00CA5564"/>
    <w:rsid w:val="00CB078E"/>
    <w:rsid w:val="00CB3782"/>
    <w:rsid w:val="00CB4D20"/>
    <w:rsid w:val="00CB5B6C"/>
    <w:rsid w:val="00CB74E3"/>
    <w:rsid w:val="00CC052E"/>
    <w:rsid w:val="00CC06E5"/>
    <w:rsid w:val="00CC0B14"/>
    <w:rsid w:val="00CC5B9C"/>
    <w:rsid w:val="00CD02DF"/>
    <w:rsid w:val="00CD10A5"/>
    <w:rsid w:val="00CD16BE"/>
    <w:rsid w:val="00CD179F"/>
    <w:rsid w:val="00CD1F32"/>
    <w:rsid w:val="00CD2268"/>
    <w:rsid w:val="00CD4616"/>
    <w:rsid w:val="00CD56AF"/>
    <w:rsid w:val="00CD5FFA"/>
    <w:rsid w:val="00CD608B"/>
    <w:rsid w:val="00CD61BB"/>
    <w:rsid w:val="00CE134D"/>
    <w:rsid w:val="00CE33D5"/>
    <w:rsid w:val="00CE4712"/>
    <w:rsid w:val="00CE6073"/>
    <w:rsid w:val="00CE761C"/>
    <w:rsid w:val="00CF4B76"/>
    <w:rsid w:val="00CF5D37"/>
    <w:rsid w:val="00CF6353"/>
    <w:rsid w:val="00CF6F33"/>
    <w:rsid w:val="00D02248"/>
    <w:rsid w:val="00D04429"/>
    <w:rsid w:val="00D04B47"/>
    <w:rsid w:val="00D04E37"/>
    <w:rsid w:val="00D063B8"/>
    <w:rsid w:val="00D06825"/>
    <w:rsid w:val="00D07467"/>
    <w:rsid w:val="00D076E6"/>
    <w:rsid w:val="00D15CDD"/>
    <w:rsid w:val="00D17185"/>
    <w:rsid w:val="00D17E3B"/>
    <w:rsid w:val="00D2306F"/>
    <w:rsid w:val="00D23C09"/>
    <w:rsid w:val="00D23CED"/>
    <w:rsid w:val="00D241D1"/>
    <w:rsid w:val="00D24BD2"/>
    <w:rsid w:val="00D254F7"/>
    <w:rsid w:val="00D2573D"/>
    <w:rsid w:val="00D260A2"/>
    <w:rsid w:val="00D30CC6"/>
    <w:rsid w:val="00D30DA4"/>
    <w:rsid w:val="00D31722"/>
    <w:rsid w:val="00D3260C"/>
    <w:rsid w:val="00D33DB5"/>
    <w:rsid w:val="00D35790"/>
    <w:rsid w:val="00D41971"/>
    <w:rsid w:val="00D44038"/>
    <w:rsid w:val="00D442D5"/>
    <w:rsid w:val="00D45043"/>
    <w:rsid w:val="00D4757A"/>
    <w:rsid w:val="00D51576"/>
    <w:rsid w:val="00D519AF"/>
    <w:rsid w:val="00D532A9"/>
    <w:rsid w:val="00D5437A"/>
    <w:rsid w:val="00D5611E"/>
    <w:rsid w:val="00D5653B"/>
    <w:rsid w:val="00D56C30"/>
    <w:rsid w:val="00D5726D"/>
    <w:rsid w:val="00D572AC"/>
    <w:rsid w:val="00D6071F"/>
    <w:rsid w:val="00D61D6E"/>
    <w:rsid w:val="00D62EF1"/>
    <w:rsid w:val="00D6309D"/>
    <w:rsid w:val="00D644CA"/>
    <w:rsid w:val="00D64EA0"/>
    <w:rsid w:val="00D66FC2"/>
    <w:rsid w:val="00D7044E"/>
    <w:rsid w:val="00D704A8"/>
    <w:rsid w:val="00D76C7E"/>
    <w:rsid w:val="00D771DE"/>
    <w:rsid w:val="00D7776D"/>
    <w:rsid w:val="00D81AEF"/>
    <w:rsid w:val="00D82A42"/>
    <w:rsid w:val="00D834F1"/>
    <w:rsid w:val="00D83609"/>
    <w:rsid w:val="00D83AA6"/>
    <w:rsid w:val="00D85C0D"/>
    <w:rsid w:val="00D866CB"/>
    <w:rsid w:val="00D86909"/>
    <w:rsid w:val="00D87326"/>
    <w:rsid w:val="00D87A9A"/>
    <w:rsid w:val="00D90625"/>
    <w:rsid w:val="00D909F8"/>
    <w:rsid w:val="00D9152C"/>
    <w:rsid w:val="00D91B23"/>
    <w:rsid w:val="00D92179"/>
    <w:rsid w:val="00D922C6"/>
    <w:rsid w:val="00D9293F"/>
    <w:rsid w:val="00D92DE7"/>
    <w:rsid w:val="00D93598"/>
    <w:rsid w:val="00D93FDD"/>
    <w:rsid w:val="00D942F8"/>
    <w:rsid w:val="00D97A5B"/>
    <w:rsid w:val="00DA1E18"/>
    <w:rsid w:val="00DA2009"/>
    <w:rsid w:val="00DA585A"/>
    <w:rsid w:val="00DA74BC"/>
    <w:rsid w:val="00DA7741"/>
    <w:rsid w:val="00DA7769"/>
    <w:rsid w:val="00DB05B1"/>
    <w:rsid w:val="00DB2823"/>
    <w:rsid w:val="00DB2D74"/>
    <w:rsid w:val="00DB3786"/>
    <w:rsid w:val="00DB59E8"/>
    <w:rsid w:val="00DB5A79"/>
    <w:rsid w:val="00DC0207"/>
    <w:rsid w:val="00DC2465"/>
    <w:rsid w:val="00DC4943"/>
    <w:rsid w:val="00DC4BCA"/>
    <w:rsid w:val="00DC5E2C"/>
    <w:rsid w:val="00DC7D48"/>
    <w:rsid w:val="00DD0253"/>
    <w:rsid w:val="00DD145A"/>
    <w:rsid w:val="00DD512E"/>
    <w:rsid w:val="00DD5736"/>
    <w:rsid w:val="00DD5EC8"/>
    <w:rsid w:val="00DD7BEC"/>
    <w:rsid w:val="00DE083E"/>
    <w:rsid w:val="00DE0C22"/>
    <w:rsid w:val="00DE1177"/>
    <w:rsid w:val="00DE2CEA"/>
    <w:rsid w:val="00DE3CFE"/>
    <w:rsid w:val="00DE567C"/>
    <w:rsid w:val="00DE6154"/>
    <w:rsid w:val="00DE634D"/>
    <w:rsid w:val="00DE6A3C"/>
    <w:rsid w:val="00DE74F4"/>
    <w:rsid w:val="00DE7C8B"/>
    <w:rsid w:val="00DE7F97"/>
    <w:rsid w:val="00DF0AAF"/>
    <w:rsid w:val="00DF1010"/>
    <w:rsid w:val="00DF2244"/>
    <w:rsid w:val="00DF334D"/>
    <w:rsid w:val="00DF53D9"/>
    <w:rsid w:val="00DF5AEA"/>
    <w:rsid w:val="00DF5D49"/>
    <w:rsid w:val="00DF63F6"/>
    <w:rsid w:val="00DF7992"/>
    <w:rsid w:val="00DF7BD0"/>
    <w:rsid w:val="00E00C8E"/>
    <w:rsid w:val="00E0219D"/>
    <w:rsid w:val="00E0276A"/>
    <w:rsid w:val="00E0374B"/>
    <w:rsid w:val="00E05302"/>
    <w:rsid w:val="00E0632F"/>
    <w:rsid w:val="00E06C36"/>
    <w:rsid w:val="00E071A9"/>
    <w:rsid w:val="00E07D26"/>
    <w:rsid w:val="00E10B28"/>
    <w:rsid w:val="00E11356"/>
    <w:rsid w:val="00E117FD"/>
    <w:rsid w:val="00E13747"/>
    <w:rsid w:val="00E14758"/>
    <w:rsid w:val="00E21088"/>
    <w:rsid w:val="00E23C5E"/>
    <w:rsid w:val="00E23E29"/>
    <w:rsid w:val="00E24632"/>
    <w:rsid w:val="00E25155"/>
    <w:rsid w:val="00E25AEA"/>
    <w:rsid w:val="00E27C2C"/>
    <w:rsid w:val="00E30D26"/>
    <w:rsid w:val="00E30DEF"/>
    <w:rsid w:val="00E30ED2"/>
    <w:rsid w:val="00E31276"/>
    <w:rsid w:val="00E3155D"/>
    <w:rsid w:val="00E32102"/>
    <w:rsid w:val="00E34666"/>
    <w:rsid w:val="00E36A66"/>
    <w:rsid w:val="00E37F70"/>
    <w:rsid w:val="00E41377"/>
    <w:rsid w:val="00E41985"/>
    <w:rsid w:val="00E42B89"/>
    <w:rsid w:val="00E446C1"/>
    <w:rsid w:val="00E46BCD"/>
    <w:rsid w:val="00E51CCC"/>
    <w:rsid w:val="00E52079"/>
    <w:rsid w:val="00E545D7"/>
    <w:rsid w:val="00E547FE"/>
    <w:rsid w:val="00E54960"/>
    <w:rsid w:val="00E55927"/>
    <w:rsid w:val="00E5669C"/>
    <w:rsid w:val="00E60ECA"/>
    <w:rsid w:val="00E613AB"/>
    <w:rsid w:val="00E619D8"/>
    <w:rsid w:val="00E637B6"/>
    <w:rsid w:val="00E63FD1"/>
    <w:rsid w:val="00E663B6"/>
    <w:rsid w:val="00E66BBE"/>
    <w:rsid w:val="00E6780D"/>
    <w:rsid w:val="00E71DFE"/>
    <w:rsid w:val="00E73083"/>
    <w:rsid w:val="00E756E4"/>
    <w:rsid w:val="00E758B9"/>
    <w:rsid w:val="00E76025"/>
    <w:rsid w:val="00E76B45"/>
    <w:rsid w:val="00E82FE5"/>
    <w:rsid w:val="00E83724"/>
    <w:rsid w:val="00E84236"/>
    <w:rsid w:val="00E84C02"/>
    <w:rsid w:val="00E85569"/>
    <w:rsid w:val="00E856AF"/>
    <w:rsid w:val="00E859D9"/>
    <w:rsid w:val="00E86B83"/>
    <w:rsid w:val="00E86D6E"/>
    <w:rsid w:val="00E878FB"/>
    <w:rsid w:val="00E87C64"/>
    <w:rsid w:val="00E90196"/>
    <w:rsid w:val="00E912E1"/>
    <w:rsid w:val="00E919C3"/>
    <w:rsid w:val="00E93A01"/>
    <w:rsid w:val="00E93FF8"/>
    <w:rsid w:val="00E948D8"/>
    <w:rsid w:val="00E94EB6"/>
    <w:rsid w:val="00E94F16"/>
    <w:rsid w:val="00E950CA"/>
    <w:rsid w:val="00E9570E"/>
    <w:rsid w:val="00E95CA8"/>
    <w:rsid w:val="00E96643"/>
    <w:rsid w:val="00E96CE0"/>
    <w:rsid w:val="00E96EAF"/>
    <w:rsid w:val="00EA044C"/>
    <w:rsid w:val="00EA1752"/>
    <w:rsid w:val="00EA1911"/>
    <w:rsid w:val="00EA539B"/>
    <w:rsid w:val="00EA5A89"/>
    <w:rsid w:val="00EA5BDB"/>
    <w:rsid w:val="00EA63FA"/>
    <w:rsid w:val="00EB0A73"/>
    <w:rsid w:val="00EB0A9C"/>
    <w:rsid w:val="00EB0B55"/>
    <w:rsid w:val="00EB3A98"/>
    <w:rsid w:val="00EB46D9"/>
    <w:rsid w:val="00EB6EF6"/>
    <w:rsid w:val="00EC0199"/>
    <w:rsid w:val="00EC0339"/>
    <w:rsid w:val="00EC0E64"/>
    <w:rsid w:val="00EC142D"/>
    <w:rsid w:val="00EC1E16"/>
    <w:rsid w:val="00EC2DD1"/>
    <w:rsid w:val="00EC4BA5"/>
    <w:rsid w:val="00EC52DA"/>
    <w:rsid w:val="00EC6F28"/>
    <w:rsid w:val="00ED0024"/>
    <w:rsid w:val="00ED0EA0"/>
    <w:rsid w:val="00ED0F85"/>
    <w:rsid w:val="00ED2B5C"/>
    <w:rsid w:val="00ED3269"/>
    <w:rsid w:val="00ED3A18"/>
    <w:rsid w:val="00ED3AB7"/>
    <w:rsid w:val="00ED3C57"/>
    <w:rsid w:val="00EE1A8C"/>
    <w:rsid w:val="00EE3FED"/>
    <w:rsid w:val="00EE4643"/>
    <w:rsid w:val="00EE529F"/>
    <w:rsid w:val="00EE65B6"/>
    <w:rsid w:val="00EE7C86"/>
    <w:rsid w:val="00EF1330"/>
    <w:rsid w:val="00EF15FF"/>
    <w:rsid w:val="00EF31D8"/>
    <w:rsid w:val="00EF55E6"/>
    <w:rsid w:val="00EF5707"/>
    <w:rsid w:val="00EF6F1F"/>
    <w:rsid w:val="00EF70EC"/>
    <w:rsid w:val="00EF7111"/>
    <w:rsid w:val="00EF7D1A"/>
    <w:rsid w:val="00F00DCE"/>
    <w:rsid w:val="00F02759"/>
    <w:rsid w:val="00F03B49"/>
    <w:rsid w:val="00F0448F"/>
    <w:rsid w:val="00F0716C"/>
    <w:rsid w:val="00F07728"/>
    <w:rsid w:val="00F105AE"/>
    <w:rsid w:val="00F108A8"/>
    <w:rsid w:val="00F13319"/>
    <w:rsid w:val="00F14353"/>
    <w:rsid w:val="00F1628B"/>
    <w:rsid w:val="00F22E81"/>
    <w:rsid w:val="00F270E9"/>
    <w:rsid w:val="00F27440"/>
    <w:rsid w:val="00F275C0"/>
    <w:rsid w:val="00F317B5"/>
    <w:rsid w:val="00F33348"/>
    <w:rsid w:val="00F346B6"/>
    <w:rsid w:val="00F359BA"/>
    <w:rsid w:val="00F36145"/>
    <w:rsid w:val="00F37BDD"/>
    <w:rsid w:val="00F40716"/>
    <w:rsid w:val="00F41503"/>
    <w:rsid w:val="00F417D4"/>
    <w:rsid w:val="00F432CF"/>
    <w:rsid w:val="00F437FD"/>
    <w:rsid w:val="00F43B69"/>
    <w:rsid w:val="00F4479A"/>
    <w:rsid w:val="00F44D82"/>
    <w:rsid w:val="00F45589"/>
    <w:rsid w:val="00F46207"/>
    <w:rsid w:val="00F466C8"/>
    <w:rsid w:val="00F469A9"/>
    <w:rsid w:val="00F46B50"/>
    <w:rsid w:val="00F47C20"/>
    <w:rsid w:val="00F50B46"/>
    <w:rsid w:val="00F50D1F"/>
    <w:rsid w:val="00F51545"/>
    <w:rsid w:val="00F521DE"/>
    <w:rsid w:val="00F541D4"/>
    <w:rsid w:val="00F553CE"/>
    <w:rsid w:val="00F56043"/>
    <w:rsid w:val="00F5664E"/>
    <w:rsid w:val="00F56BD8"/>
    <w:rsid w:val="00F56FA9"/>
    <w:rsid w:val="00F6171A"/>
    <w:rsid w:val="00F62306"/>
    <w:rsid w:val="00F635FC"/>
    <w:rsid w:val="00F63D03"/>
    <w:rsid w:val="00F65E2F"/>
    <w:rsid w:val="00F66520"/>
    <w:rsid w:val="00F67385"/>
    <w:rsid w:val="00F67DF1"/>
    <w:rsid w:val="00F7054E"/>
    <w:rsid w:val="00F7137C"/>
    <w:rsid w:val="00F72A09"/>
    <w:rsid w:val="00F74E67"/>
    <w:rsid w:val="00F8309B"/>
    <w:rsid w:val="00F833C9"/>
    <w:rsid w:val="00F90064"/>
    <w:rsid w:val="00F9368B"/>
    <w:rsid w:val="00F94217"/>
    <w:rsid w:val="00F9586C"/>
    <w:rsid w:val="00F96AFD"/>
    <w:rsid w:val="00F96F4C"/>
    <w:rsid w:val="00FA070D"/>
    <w:rsid w:val="00FA07F4"/>
    <w:rsid w:val="00FA1398"/>
    <w:rsid w:val="00FA1515"/>
    <w:rsid w:val="00FA2E19"/>
    <w:rsid w:val="00FA43C8"/>
    <w:rsid w:val="00FA4DD0"/>
    <w:rsid w:val="00FA697F"/>
    <w:rsid w:val="00FB0147"/>
    <w:rsid w:val="00FB0F92"/>
    <w:rsid w:val="00FB2FB3"/>
    <w:rsid w:val="00FB3846"/>
    <w:rsid w:val="00FB5059"/>
    <w:rsid w:val="00FB5521"/>
    <w:rsid w:val="00FB610D"/>
    <w:rsid w:val="00FB626E"/>
    <w:rsid w:val="00FB79B1"/>
    <w:rsid w:val="00FC4477"/>
    <w:rsid w:val="00FC46FB"/>
    <w:rsid w:val="00FC7B66"/>
    <w:rsid w:val="00FD0D94"/>
    <w:rsid w:val="00FD106C"/>
    <w:rsid w:val="00FD2BD3"/>
    <w:rsid w:val="00FD3DEF"/>
    <w:rsid w:val="00FD4CCA"/>
    <w:rsid w:val="00FD58B1"/>
    <w:rsid w:val="00FE04BA"/>
    <w:rsid w:val="00FE234B"/>
    <w:rsid w:val="00FE2A9E"/>
    <w:rsid w:val="00FE34B3"/>
    <w:rsid w:val="00FE46B7"/>
    <w:rsid w:val="00FE4CEC"/>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styleId="af0">
    <w:name w:val="Revision"/>
    <w:hidden/>
    <w:uiPriority w:val="62"/>
    <w:unhideWhenUsed/>
    <w:rsid w:val="006E2D24"/>
    <w:rPr>
      <w:sz w:val="22"/>
    </w:rPr>
  </w:style>
  <w:style w:type="paragraph" w:customStyle="1" w:styleId="He04Funote">
    <w:name w:val="_He_04_Fußnote"/>
    <w:next w:val="a"/>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af1">
    <w:name w:val="footnote reference"/>
    <w:basedOn w:val="a0"/>
    <w:uiPriority w:val="99"/>
    <w:unhideWhenUsed/>
    <w:rsid w:val="00A90F18"/>
    <w:rPr>
      <w:vertAlign w:val="superscript"/>
    </w:rPr>
  </w:style>
  <w:style w:type="character" w:styleId="af2">
    <w:name w:val="FollowedHyperlink"/>
    <w:basedOn w:val="a0"/>
    <w:rsid w:val="00B1118A"/>
    <w:rPr>
      <w:color w:val="954F72" w:themeColor="followedHyperlink"/>
      <w:u w:val="single"/>
    </w:rPr>
  </w:style>
  <w:style w:type="paragraph" w:customStyle="1" w:styleId="He01Flietext">
    <w:name w:val="_He_01_Fließtext"/>
    <w:qFormat/>
    <w:rsid w:val="00BC46D4"/>
    <w:pPr>
      <w:spacing w:after="160"/>
    </w:pPr>
    <w:rPr>
      <w:rFonts w:eastAsiaTheme="minorHAnsi" w:cstheme="minorBidi"/>
      <w:sz w:val="22"/>
      <w:szCs w:val="22"/>
      <w:lang w:val="de-DE"/>
    </w:rPr>
  </w:style>
  <w:style w:type="paragraph" w:customStyle="1" w:styleId="He01FlietextAufzhlung1Ebene">
    <w:name w:val="_He_01_Fließtext Aufzählung 1. Ebene"/>
    <w:next w:val="a"/>
    <w:qFormat/>
    <w:rsid w:val="00DA74BC"/>
    <w:pPr>
      <w:spacing w:after="113"/>
    </w:pPr>
    <w:rPr>
      <w:rFonts w:eastAsiaTheme="minorHAnsi" w:cstheme="minorBidi"/>
      <w:sz w:val="22"/>
      <w:szCs w:val="22"/>
      <w:lang w:val="de-DE"/>
    </w:rPr>
  </w:style>
  <w:style w:type="character" w:customStyle="1" w:styleId="ui-provider">
    <w:name w:val="ui-provider"/>
    <w:basedOn w:val="a0"/>
    <w:rsid w:val="001002C6"/>
  </w:style>
  <w:style w:type="paragraph" w:styleId="af3">
    <w:name w:val="Date"/>
    <w:basedOn w:val="a"/>
    <w:next w:val="a"/>
    <w:link w:val="af4"/>
    <w:rsid w:val="00BA1E67"/>
    <w:pPr>
      <w:ind w:leftChars="2500" w:left="100"/>
    </w:pPr>
  </w:style>
  <w:style w:type="character" w:customStyle="1" w:styleId="af4">
    <w:name w:val="日期 字符"/>
    <w:basedOn w:val="a0"/>
    <w:link w:val="af3"/>
    <w:rsid w:val="00BA1E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6d7dc2-177d-4a10-bf49-466f13ab92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EEBE17848E5A46B1BF92A874517C7E" ma:contentTypeVersion="18" ma:contentTypeDescription="Create a new document." ma:contentTypeScope="" ma:versionID="a9c0197c7cec7885f29e643a2a41b647">
  <xsd:schema xmlns:xsd="http://www.w3.org/2001/XMLSchema" xmlns:xs="http://www.w3.org/2001/XMLSchema" xmlns:p="http://schemas.microsoft.com/office/2006/metadata/properties" xmlns:ns3="414d8c0e-fdd4-4f8f-a520-9e54c5c9b41e" xmlns:ns4="926d7dc2-177d-4a10-bf49-466f13ab9217" targetNamespace="http://schemas.microsoft.com/office/2006/metadata/properties" ma:root="true" ma:fieldsID="2ffcf2db011f9df6169bc73766aa269d" ns3:_="" ns4:_="">
    <xsd:import namespace="414d8c0e-fdd4-4f8f-a520-9e54c5c9b41e"/>
    <xsd:import namespace="926d7dc2-177d-4a10-bf49-466f13ab92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d8c0e-fdd4-4f8f-a520-9e54c5c9b4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d7dc2-177d-4a10-bf49-466f13ab92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926d7dc2-177d-4a10-bf49-466f13ab9217"/>
  </ds:schemaRefs>
</ds:datastoreItem>
</file>

<file path=customXml/itemProps2.xml><?xml version="1.0" encoding="utf-8"?>
<ds:datastoreItem xmlns:ds="http://schemas.openxmlformats.org/officeDocument/2006/customXml" ds:itemID="{A6FC53C0-BE8A-414C-A32F-77D8FAEA7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d8c0e-fdd4-4f8f-a520-9e54c5c9b41e"/>
    <ds:schemaRef ds:uri="926d7dc2-177d-4a10-bf49-466f13ab9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56944987-C69C-411C-9450-4F496344ADC7}">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249</Words>
  <Characters>1420</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1666</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3</cp:revision>
  <cp:lastPrinted>2024-05-03T06:59:00Z</cp:lastPrinted>
  <dcterms:created xsi:type="dcterms:W3CDTF">2024-05-10T08:59:00Z</dcterms:created>
  <dcterms:modified xsi:type="dcterms:W3CDTF">2024-05-10T09:00:00Z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0x0101003BEEBE17848E5A46B1BF92A874517C7E</vt:lpwstr>
  </property>
  <property fmtid="{D5CDD505-2E9C-101B-9397-08002B2CF9AE}" pid="3" name="MediaServiceImageTags">
    <vt:lpwstr/>
  </property>
</Properties>
</file>