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3964" w14:textId="77777777" w:rsidR="00CC25FC" w:rsidRDefault="00000000">
      <w:pPr>
        <w:pStyle w:val="Textoindependiente"/>
        <w:ind w:left="8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32A21A" wp14:editId="0B61FF4F">
            <wp:simplePos x="0" y="0"/>
            <wp:positionH relativeFrom="column">
              <wp:posOffset>4915586</wp:posOffset>
            </wp:positionH>
            <wp:positionV relativeFrom="paragraph">
              <wp:posOffset>0</wp:posOffset>
            </wp:positionV>
            <wp:extent cx="1025824" cy="578072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24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D98E2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415456A0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</w:t>
      </w:r>
    </w:p>
    <w:p w14:paraId="2857B9DE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</w:p>
    <w:p w14:paraId="4A343ACF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</w:p>
    <w:p w14:paraId="077ECAA1" w14:textId="48824F97" w:rsidR="00CC25FC" w:rsidRPr="005D1B5E" w:rsidRDefault="005E58DA" w:rsidP="005D1B5E">
      <w:pPr>
        <w:pStyle w:val="Textoindependiente"/>
        <w:tabs>
          <w:tab w:val="left" w:pos="8598"/>
        </w:tabs>
        <w:ind w:right="504"/>
        <w:jc w:val="right"/>
        <w:rPr>
          <w:rFonts w:ascii="Segoe UI" w:hAnsi="Segoe UI" w:cs="Segoe UI"/>
          <w:b/>
          <w:bCs/>
          <w:sz w:val="20"/>
        </w:rPr>
      </w:pPr>
      <w:r w:rsidRPr="005D1B5E">
        <w:rPr>
          <w:rFonts w:ascii="Segoe UI" w:hAnsi="Segoe UI" w:cs="Segoe UI"/>
          <w:b/>
          <w:bCs/>
          <w:sz w:val="32"/>
          <w:szCs w:val="36"/>
        </w:rPr>
        <w:t>Comunicado de prensa</w:t>
      </w:r>
    </w:p>
    <w:p w14:paraId="263042A1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2478E08C" w14:textId="77777777" w:rsidR="00CC25FC" w:rsidRDefault="00CC25FC">
      <w:pPr>
        <w:rPr>
          <w:rFonts w:ascii="Times New Roman"/>
          <w:sz w:val="20"/>
        </w:rPr>
        <w:sectPr w:rsidR="00CC25FC" w:rsidSect="00F65B9C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4C4B2E54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B3D33B0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5F4EBB5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4F5E3A7D" w14:textId="77777777" w:rsidR="00CC25FC" w:rsidRPr="005D1B5E" w:rsidRDefault="00000000" w:rsidP="005D1B5E">
      <w:pPr>
        <w:pStyle w:val="Textoindependiente"/>
        <w:spacing w:before="121"/>
        <w:ind w:right="544"/>
        <w:jc w:val="right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03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mayo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2024</w:t>
      </w:r>
    </w:p>
    <w:p w14:paraId="6CF6A2E7" w14:textId="77777777" w:rsidR="00CC25FC" w:rsidRPr="005D1B5E" w:rsidRDefault="00CC25FC">
      <w:pPr>
        <w:rPr>
          <w:rFonts w:ascii="Segoe UI" w:hAnsi="Segoe UI" w:cs="Segoe UI"/>
        </w:rPr>
        <w:sectPr w:rsidR="00CC25FC" w:rsidRPr="005D1B5E" w:rsidSect="00F65B9C">
          <w:type w:val="continuous"/>
          <w:pgSz w:w="11900" w:h="16840"/>
          <w:pgMar w:top="840" w:right="800" w:bottom="280" w:left="1240" w:header="720" w:footer="720" w:gutter="0"/>
          <w:cols w:num="2" w:space="720" w:equalWidth="0">
            <w:col w:w="3359" w:space="2838"/>
            <w:col w:w="3663"/>
          </w:cols>
        </w:sectPr>
      </w:pPr>
    </w:p>
    <w:p w14:paraId="4CD45B6C" w14:textId="6D32FFA2" w:rsidR="00CC25FC" w:rsidRPr="00E64589" w:rsidRDefault="00E64589">
      <w:pPr>
        <w:pStyle w:val="Textoindependiente"/>
        <w:rPr>
          <w:rFonts w:ascii="Segoe UI" w:hAnsi="Segoe UI" w:cs="Segoe UI"/>
          <w:sz w:val="20"/>
        </w:rPr>
      </w:pPr>
      <w:r w:rsidRPr="00E64589">
        <w:rPr>
          <w:rFonts w:ascii="Segoe UI" w:hAnsi="Segoe UI" w:cs="Segoe UI"/>
          <w:sz w:val="20"/>
        </w:rPr>
        <w:t xml:space="preserve">   Buen comienzo del ejercicio fiscal.</w:t>
      </w:r>
    </w:p>
    <w:p w14:paraId="09C42078" w14:textId="77777777" w:rsidR="00CC25FC" w:rsidRPr="005D1B5E" w:rsidRDefault="00000000">
      <w:pPr>
        <w:spacing w:before="225" w:line="276" w:lineRule="auto"/>
        <w:ind w:left="171" w:right="578"/>
        <w:jc w:val="both"/>
        <w:rPr>
          <w:rFonts w:ascii="Segoe UI" w:hAnsi="Segoe UI" w:cs="Segoe UI"/>
          <w:b/>
          <w:sz w:val="32"/>
        </w:rPr>
      </w:pPr>
      <w:r w:rsidRPr="005D1B5E">
        <w:rPr>
          <w:rFonts w:ascii="Segoe UI" w:hAnsi="Segoe UI" w:cs="Segoe UI"/>
          <w:b/>
          <w:sz w:val="32"/>
        </w:rPr>
        <w:t>Henkel eleva sus previsiones de ventas y beneficios para</w:t>
      </w:r>
      <w:r w:rsidRPr="005D1B5E">
        <w:rPr>
          <w:rFonts w:ascii="Segoe UI" w:hAnsi="Segoe UI" w:cs="Segoe UI"/>
          <w:b/>
          <w:spacing w:val="1"/>
          <w:sz w:val="32"/>
        </w:rPr>
        <w:t xml:space="preserve"> </w:t>
      </w:r>
      <w:r w:rsidRPr="005D1B5E">
        <w:rPr>
          <w:rFonts w:ascii="Segoe UI" w:hAnsi="Segoe UI" w:cs="Segoe UI"/>
          <w:b/>
          <w:sz w:val="32"/>
        </w:rPr>
        <w:t>2024</w:t>
      </w:r>
    </w:p>
    <w:p w14:paraId="441E5417" w14:textId="658B5CBB" w:rsidR="00CC25FC" w:rsidRPr="005D1B5E" w:rsidRDefault="009D0164">
      <w:pPr>
        <w:pStyle w:val="Textoindependiente"/>
        <w:spacing w:before="289" w:line="273" w:lineRule="auto"/>
        <w:ind w:left="171" w:right="595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Düsserldorf</w:t>
      </w:r>
      <w:proofErr w:type="spellEnd"/>
      <w:r>
        <w:rPr>
          <w:rFonts w:ascii="Segoe UI" w:hAnsi="Segoe UI" w:cs="Segoe UI"/>
        </w:rPr>
        <w:t>, Alemania -</w:t>
      </w:r>
      <w:r w:rsidR="006677FA" w:rsidRPr="005D1B5E">
        <w:rPr>
          <w:rFonts w:ascii="Segoe UI" w:hAnsi="Segoe UI" w:cs="Segoe UI"/>
        </w:rPr>
        <w:t xml:space="preserve"> Basándose en los excelentes resultados empresariales obtenidos hasta la </w:t>
      </w:r>
      <w:proofErr w:type="gramStart"/>
      <w:r w:rsidR="006677FA" w:rsidRPr="005D1B5E">
        <w:rPr>
          <w:rFonts w:ascii="Segoe UI" w:hAnsi="Segoe UI" w:cs="Segoe UI"/>
        </w:rPr>
        <w:t>fecha</w:t>
      </w:r>
      <w:r>
        <w:rPr>
          <w:rFonts w:ascii="Segoe UI" w:hAnsi="Segoe UI" w:cs="Segoe UI"/>
        </w:rPr>
        <w:t xml:space="preserve"> </w:t>
      </w:r>
      <w:r w:rsidR="006677FA" w:rsidRPr="005D1B5E">
        <w:rPr>
          <w:rFonts w:ascii="Segoe UI" w:hAnsi="Segoe UI" w:cs="Segoe UI"/>
          <w:spacing w:val="-59"/>
        </w:rPr>
        <w:t xml:space="preserve"> </w:t>
      </w:r>
      <w:r w:rsidR="006677FA" w:rsidRPr="005D1B5E">
        <w:rPr>
          <w:rFonts w:ascii="Segoe UI" w:hAnsi="Segoe UI" w:cs="Segoe UI"/>
        </w:rPr>
        <w:t>y</w:t>
      </w:r>
      <w:proofErr w:type="gramEnd"/>
      <w:r w:rsidR="006677FA" w:rsidRPr="005D1B5E">
        <w:rPr>
          <w:rFonts w:ascii="Segoe UI" w:hAnsi="Segoe UI" w:cs="Segoe UI"/>
        </w:rPr>
        <w:t xml:space="preserve"> en las previsiones para el resto del año, el Consejo de Administración de Henkel AG &amp; Co.</w:t>
      </w:r>
      <w:r w:rsidR="006677FA" w:rsidRPr="005D1B5E">
        <w:rPr>
          <w:rFonts w:ascii="Segoe UI" w:hAnsi="Segoe UI" w:cs="Segoe UI"/>
          <w:spacing w:val="1"/>
        </w:rPr>
        <w:t xml:space="preserve"> </w:t>
      </w:r>
      <w:proofErr w:type="spellStart"/>
      <w:r w:rsidR="006677FA" w:rsidRPr="005D1B5E">
        <w:rPr>
          <w:rFonts w:ascii="Segoe UI" w:hAnsi="Segoe UI" w:cs="Segoe UI"/>
        </w:rPr>
        <w:t>KGaA</w:t>
      </w:r>
      <w:proofErr w:type="spellEnd"/>
      <w:r w:rsidR="006677FA" w:rsidRPr="005D1B5E">
        <w:rPr>
          <w:rFonts w:ascii="Segoe UI" w:hAnsi="Segoe UI" w:cs="Segoe UI"/>
        </w:rPr>
        <w:t xml:space="preserve"> ha decidido elevar las perspectivas para el ejercicio en curso, publicadas a principios</w:t>
      </w:r>
      <w:r w:rsidR="006677FA" w:rsidRPr="005D1B5E">
        <w:rPr>
          <w:rFonts w:ascii="Segoe UI" w:hAnsi="Segoe UI" w:cs="Segoe UI"/>
          <w:spacing w:val="1"/>
        </w:rPr>
        <w:t xml:space="preserve"> </w:t>
      </w:r>
      <w:r w:rsidR="006677FA" w:rsidRPr="005D1B5E">
        <w:rPr>
          <w:rFonts w:ascii="Segoe UI" w:hAnsi="Segoe UI" w:cs="Segoe UI"/>
        </w:rPr>
        <w:t>de</w:t>
      </w:r>
      <w:r w:rsidR="006677FA" w:rsidRPr="005D1B5E">
        <w:rPr>
          <w:rFonts w:ascii="Segoe UI" w:hAnsi="Segoe UI" w:cs="Segoe UI"/>
          <w:spacing w:val="3"/>
        </w:rPr>
        <w:t xml:space="preserve"> </w:t>
      </w:r>
      <w:r w:rsidR="006677FA" w:rsidRPr="005D1B5E">
        <w:rPr>
          <w:rFonts w:ascii="Segoe UI" w:hAnsi="Segoe UI" w:cs="Segoe UI"/>
        </w:rPr>
        <w:t>marzo.</w:t>
      </w:r>
    </w:p>
    <w:p w14:paraId="5A8CCE8B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6"/>
        </w:rPr>
      </w:pPr>
    </w:p>
    <w:p w14:paraId="66DCA2AE" w14:textId="77777777" w:rsidR="00CC25FC" w:rsidRPr="005D1B5E" w:rsidRDefault="00000000">
      <w:pPr>
        <w:pStyle w:val="Textoindependiente"/>
        <w:ind w:left="171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Se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han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elevado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expectativas tanto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como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los resultados 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Henkel:</w:t>
      </w:r>
    </w:p>
    <w:p w14:paraId="3959D48A" w14:textId="77777777" w:rsidR="00CC25FC" w:rsidRPr="005D1B5E" w:rsidRDefault="00CC25FC">
      <w:pPr>
        <w:pStyle w:val="Textoindependiente"/>
        <w:spacing w:before="5"/>
        <w:rPr>
          <w:rFonts w:ascii="Segoe UI" w:hAnsi="Segoe UI" w:cs="Segoe UI"/>
          <w:sz w:val="28"/>
        </w:rPr>
      </w:pPr>
    </w:p>
    <w:p w14:paraId="463B781E" w14:textId="7A77A0EF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Crecimiento</w:t>
      </w:r>
      <w:r w:rsidRPr="005D1B5E">
        <w:rPr>
          <w:rFonts w:ascii="Segoe UI" w:hAnsi="Segoe UI" w:cs="Segoe UI"/>
          <w:b/>
          <w:spacing w:val="-1"/>
        </w:rPr>
        <w:t xml:space="preserve"> </w:t>
      </w:r>
      <w:r w:rsidRPr="005D1B5E">
        <w:rPr>
          <w:rFonts w:ascii="Segoe UI" w:hAnsi="Segoe UI" w:cs="Segoe UI"/>
          <w:b/>
        </w:rPr>
        <w:t>orgánico</w:t>
      </w:r>
      <w:r w:rsidRPr="005D1B5E">
        <w:rPr>
          <w:rFonts w:ascii="Segoe UI" w:hAnsi="Segoe UI" w:cs="Segoe UI"/>
          <w:b/>
          <w:spacing w:val="-1"/>
        </w:rPr>
        <w:t xml:space="preserve"> </w:t>
      </w:r>
      <w:r w:rsidRPr="005D1B5E">
        <w:rPr>
          <w:rFonts w:ascii="Segoe UI" w:hAnsi="Segoe UI" w:cs="Segoe UI"/>
          <w:b/>
        </w:rPr>
        <w:t>de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las</w:t>
      </w:r>
      <w:r w:rsidRPr="005D1B5E">
        <w:rPr>
          <w:rFonts w:ascii="Segoe UI" w:hAnsi="Segoe UI" w:cs="Segoe UI"/>
          <w:b/>
          <w:spacing w:val="-3"/>
        </w:rPr>
        <w:t xml:space="preserve"> </w:t>
      </w:r>
      <w:r w:rsidRPr="005D1B5E">
        <w:rPr>
          <w:rFonts w:ascii="Segoe UI" w:hAnsi="Segoe UI" w:cs="Segoe UI"/>
          <w:b/>
        </w:rPr>
        <w:t>ventas</w:t>
      </w:r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</w:rPr>
        <w:t xml:space="preserve"> (anteriormente: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 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</w:rPr>
        <w:t>).</w:t>
      </w:r>
    </w:p>
    <w:p w14:paraId="727BE366" w14:textId="0448211F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20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Adhesive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Technologies: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(sin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cambios).</w:t>
      </w:r>
    </w:p>
    <w:p w14:paraId="15CFAB5B" w14:textId="15396C9B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  <w:rPr>
          <w:rFonts w:ascii="Segoe UI" w:hAnsi="Segoe UI" w:cs="Segoe UI"/>
        </w:rPr>
      </w:pP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-3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0%).</w:t>
      </w:r>
    </w:p>
    <w:p w14:paraId="5AED79BB" w14:textId="0C1BED1C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07" w:line="259" w:lineRule="auto"/>
        <w:ind w:right="1212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Rentabilidad ajustada de las ventas</w:t>
      </w:r>
      <w:r w:rsidR="005B7441">
        <w:rPr>
          <w:rFonts w:ascii="Segoe UI" w:hAnsi="Segoe UI" w:cs="Segoe UI"/>
          <w:b/>
        </w:rPr>
        <w:t xml:space="preserve"> (Margen EBIT)</w:t>
      </w:r>
      <w:r w:rsidRPr="005D1B5E">
        <w:rPr>
          <w:rFonts w:ascii="Segoe UI" w:hAnsi="Segoe UI" w:cs="Segoe UI"/>
        </w:rPr>
        <w:t>: 1</w:t>
      </w:r>
      <w:r w:rsidR="004467EC">
        <w:rPr>
          <w:rFonts w:ascii="Segoe UI" w:hAnsi="Segoe UI" w:cs="Segoe UI"/>
        </w:rPr>
        <w:t>3.</w:t>
      </w:r>
      <w:r w:rsidRPr="005D1B5E">
        <w:rPr>
          <w:rFonts w:ascii="Segoe UI" w:hAnsi="Segoe UI" w:cs="Segoe UI"/>
        </w:rPr>
        <w:t>0 a 14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 (anteriormente: 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 a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13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6363D333" w14:textId="6C1E1BAE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0" w:line="268" w:lineRule="exact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Adhesive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Technologies: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16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17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 (anteriormente: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15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16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07AA2452" w14:textId="62822AB0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  <w:rPr>
          <w:rFonts w:ascii="Segoe UI" w:hAnsi="Segoe UI" w:cs="Segoe UI"/>
        </w:rPr>
      </w:pP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-2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11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25401AA2" w14:textId="5B4C9B4D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" w:line="259" w:lineRule="auto"/>
        <w:ind w:right="744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Beneficio ajustado por acción preferente (</w:t>
      </w:r>
      <w:r w:rsidR="007F3F51">
        <w:rPr>
          <w:rFonts w:ascii="Segoe UI" w:hAnsi="Segoe UI" w:cs="Segoe UI"/>
          <w:b/>
        </w:rPr>
        <w:t>EPS</w:t>
      </w:r>
      <w:r w:rsidRPr="005D1B5E">
        <w:rPr>
          <w:rFonts w:ascii="Segoe UI" w:hAnsi="Segoe UI" w:cs="Segoe UI"/>
          <w:b/>
        </w:rPr>
        <w:t>)</w:t>
      </w:r>
      <w:r w:rsidRPr="005D1B5E">
        <w:rPr>
          <w:rFonts w:ascii="Segoe UI" w:hAnsi="Segoe UI" w:cs="Segoe UI"/>
        </w:rPr>
        <w:t xml:space="preserve">: </w:t>
      </w:r>
      <w:r w:rsidR="007F3F51">
        <w:rPr>
          <w:rFonts w:ascii="Segoe UI" w:hAnsi="Segoe UI" w:cs="Segoe UI"/>
        </w:rPr>
        <w:t>a</w:t>
      </w:r>
      <w:r w:rsidRPr="005D1B5E">
        <w:rPr>
          <w:rFonts w:ascii="Segoe UI" w:hAnsi="Segoe UI" w:cs="Segoe UI"/>
        </w:rPr>
        <w:t>umento en el rango de +15</w:t>
      </w:r>
      <w:r w:rsidR="004467EC">
        <w:rPr>
          <w:rFonts w:ascii="Segoe UI" w:hAnsi="Segoe UI" w:cs="Segoe UI"/>
        </w:rPr>
        <w:t>.</w:t>
      </w:r>
      <w:proofErr w:type="gramStart"/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60"/>
        </w:rPr>
        <w:t xml:space="preserve"> </w:t>
      </w:r>
      <w:r w:rsidRPr="005D1B5E">
        <w:rPr>
          <w:rFonts w:ascii="Segoe UI" w:hAnsi="Segoe UI" w:cs="Segoe UI"/>
        </w:rPr>
        <w:t>a</w:t>
      </w:r>
      <w:proofErr w:type="gramEnd"/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+25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tipos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cambio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constantes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+5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+20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0%).</w:t>
      </w:r>
    </w:p>
    <w:p w14:paraId="274A7F36" w14:textId="5340332B" w:rsidR="00CC25FC" w:rsidRPr="005D1B5E" w:rsidRDefault="00000000">
      <w:pPr>
        <w:spacing w:before="159"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"</w:t>
      </w:r>
      <w:r w:rsidRPr="005D1B5E">
        <w:rPr>
          <w:rFonts w:ascii="Segoe UI" w:hAnsi="Segoe UI" w:cs="Segoe UI"/>
          <w:i/>
        </w:rPr>
        <w:t>El buen comienzo de año y el aumento de las perspectivas para el conjunto del ejercicio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demuestran claramente que vamos por buen camino en nuestro programa de crecimiento.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Siempre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hemos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dicho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que</w:t>
      </w:r>
      <w:r w:rsidRPr="005D1B5E">
        <w:rPr>
          <w:rFonts w:ascii="Segoe UI" w:hAnsi="Segoe UI" w:cs="Segoe UI"/>
          <w:i/>
          <w:spacing w:val="-11"/>
        </w:rPr>
        <w:t xml:space="preserve"> </w:t>
      </w:r>
      <w:r w:rsidRPr="005D1B5E">
        <w:rPr>
          <w:rFonts w:ascii="Segoe UI" w:hAnsi="Segoe UI" w:cs="Segoe UI"/>
          <w:i/>
        </w:rPr>
        <w:t>queremos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cumplir,</w:t>
      </w:r>
      <w:r w:rsidRPr="005D1B5E">
        <w:rPr>
          <w:rFonts w:ascii="Segoe UI" w:hAnsi="Segoe UI" w:cs="Segoe UI"/>
          <w:i/>
          <w:spacing w:val="-3"/>
        </w:rPr>
        <w:t xml:space="preserve"> </w:t>
      </w:r>
      <w:r w:rsidRPr="005D1B5E">
        <w:rPr>
          <w:rFonts w:ascii="Segoe UI" w:hAnsi="Segoe UI" w:cs="Segoe UI"/>
          <w:i/>
        </w:rPr>
        <w:t>y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eso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es</w:t>
      </w:r>
      <w:r w:rsidRPr="005D1B5E">
        <w:rPr>
          <w:rFonts w:ascii="Segoe UI" w:hAnsi="Segoe UI" w:cs="Segoe UI"/>
          <w:i/>
          <w:spacing w:val="-4"/>
        </w:rPr>
        <w:t xml:space="preserve"> </w:t>
      </w:r>
      <w:r w:rsidRPr="005D1B5E">
        <w:rPr>
          <w:rFonts w:ascii="Segoe UI" w:hAnsi="Segoe UI" w:cs="Segoe UI"/>
          <w:i/>
        </w:rPr>
        <w:t>lo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que</w:t>
      </w:r>
      <w:r w:rsidRPr="005D1B5E">
        <w:rPr>
          <w:rFonts w:ascii="Segoe UI" w:hAnsi="Segoe UI" w:cs="Segoe UI"/>
          <w:i/>
          <w:spacing w:val="-6"/>
        </w:rPr>
        <w:t xml:space="preserve"> </w:t>
      </w:r>
      <w:r w:rsidRPr="005D1B5E">
        <w:rPr>
          <w:rFonts w:ascii="Segoe UI" w:hAnsi="Segoe UI" w:cs="Segoe UI"/>
          <w:i/>
        </w:rPr>
        <w:t>estamos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haciendo.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Los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cambios</w:t>
      </w:r>
      <w:r w:rsidRPr="005D1B5E">
        <w:rPr>
          <w:rFonts w:ascii="Segoe UI" w:hAnsi="Segoe UI" w:cs="Segoe UI"/>
          <w:i/>
          <w:spacing w:val="-59"/>
        </w:rPr>
        <w:t xml:space="preserve"> </w:t>
      </w:r>
      <w:r w:rsidRPr="005D1B5E">
        <w:rPr>
          <w:rFonts w:ascii="Segoe UI" w:hAnsi="Segoe UI" w:cs="Segoe UI"/>
          <w:i/>
        </w:rPr>
        <w:t>iniciados en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ambas unidades de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negocio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están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mostrando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resultados claros</w:t>
      </w:r>
      <w:r w:rsidRPr="005D1B5E">
        <w:rPr>
          <w:rFonts w:ascii="Segoe UI" w:hAnsi="Segoe UI" w:cs="Segoe UI"/>
        </w:rPr>
        <w:t>",</w:t>
      </w:r>
      <w:r w:rsidRPr="005D1B5E">
        <w:rPr>
          <w:rFonts w:ascii="Segoe UI" w:hAnsi="Segoe UI" w:cs="Segoe UI"/>
          <w:spacing w:val="1"/>
        </w:rPr>
        <w:t xml:space="preserve"> </w:t>
      </w:r>
      <w:r w:rsidR="008F2030">
        <w:rPr>
          <w:rFonts w:ascii="Segoe UI" w:hAnsi="Segoe UI" w:cs="Segoe UI"/>
        </w:rPr>
        <w:t>comentó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  <w:b/>
        </w:rPr>
        <w:t>Carsten</w:t>
      </w:r>
      <w:r w:rsidRPr="005D1B5E">
        <w:rPr>
          <w:rFonts w:ascii="Segoe UI" w:hAnsi="Segoe UI" w:cs="Segoe UI"/>
          <w:b/>
          <w:spacing w:val="-5"/>
        </w:rPr>
        <w:t xml:space="preserve"> </w:t>
      </w:r>
      <w:proofErr w:type="spellStart"/>
      <w:r w:rsidRPr="005D1B5E">
        <w:rPr>
          <w:rFonts w:ascii="Segoe UI" w:hAnsi="Segoe UI" w:cs="Segoe UI"/>
          <w:b/>
        </w:rPr>
        <w:t>Knobel</w:t>
      </w:r>
      <w:proofErr w:type="spellEnd"/>
      <w:r w:rsidRPr="005D1B5E">
        <w:rPr>
          <w:rFonts w:ascii="Segoe UI" w:hAnsi="Segoe UI" w:cs="Segoe UI"/>
          <w:b/>
        </w:rPr>
        <w:t>,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CEO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de</w:t>
      </w:r>
      <w:r w:rsidRPr="005D1B5E">
        <w:rPr>
          <w:rFonts w:ascii="Segoe UI" w:hAnsi="Segoe UI" w:cs="Segoe UI"/>
          <w:b/>
          <w:spacing w:val="-2"/>
        </w:rPr>
        <w:t xml:space="preserve"> </w:t>
      </w:r>
      <w:r w:rsidRPr="005D1B5E">
        <w:rPr>
          <w:rFonts w:ascii="Segoe UI" w:hAnsi="Segoe UI" w:cs="Segoe UI"/>
          <w:b/>
        </w:rPr>
        <w:t>Henkel</w:t>
      </w:r>
      <w:r w:rsidRPr="005D1B5E">
        <w:rPr>
          <w:rFonts w:ascii="Segoe UI" w:hAnsi="Segoe UI" w:cs="Segoe UI"/>
        </w:rPr>
        <w:t>.</w:t>
      </w:r>
    </w:p>
    <w:p w14:paraId="6FFF0398" w14:textId="77777777" w:rsidR="00CC25FC" w:rsidRPr="005D1B5E" w:rsidRDefault="00CC25FC">
      <w:pPr>
        <w:pStyle w:val="Textoindependiente"/>
        <w:spacing w:before="5"/>
        <w:rPr>
          <w:rFonts w:ascii="Segoe UI" w:hAnsi="Segoe UI" w:cs="Segoe UI"/>
          <w:sz w:val="25"/>
        </w:rPr>
      </w:pPr>
    </w:p>
    <w:p w14:paraId="13DDA92B" w14:textId="1E7499CF" w:rsidR="004051D5" w:rsidRPr="005D1B5E" w:rsidRDefault="00000000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El aumento de las expectativas para 2024 está respaldado por ambas unidades de negocio.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En Adhesive Technologies, la mayor solidez general del negocio y el desarrollo del margen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bruto en un entorno de mercado persistentemente desafiante, así como la recuperación del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 xml:space="preserve">mercado en el negocio de </w:t>
      </w:r>
      <w:proofErr w:type="spellStart"/>
      <w:r w:rsidR="003442CC" w:rsidRPr="003442CC">
        <w:rPr>
          <w:rFonts w:ascii="Segoe UI" w:hAnsi="Segoe UI" w:cs="Segoe UI"/>
        </w:rPr>
        <w:t>Electronics</w:t>
      </w:r>
      <w:proofErr w:type="spellEnd"/>
      <w:r w:rsidRPr="005D1B5E">
        <w:rPr>
          <w:rFonts w:ascii="Segoe UI" w:hAnsi="Segoe UI" w:cs="Segoe UI"/>
        </w:rPr>
        <w:t xml:space="preserve">, tienen un impacto positivo en </w:t>
      </w:r>
      <w:r w:rsidR="00E82B26">
        <w:rPr>
          <w:rFonts w:ascii="Segoe UI" w:hAnsi="Segoe UI" w:cs="Segoe UI"/>
        </w:rPr>
        <w:t>los resultados.</w:t>
      </w:r>
      <w:r w:rsidR="004051D5" w:rsidRPr="005D1B5E">
        <w:rPr>
          <w:rFonts w:ascii="Segoe UI" w:hAnsi="Segoe UI" w:cs="Segoe UI"/>
        </w:rPr>
        <w:t xml:space="preserve">  </w:t>
      </w:r>
    </w:p>
    <w:p w14:paraId="222026EA" w14:textId="77777777" w:rsidR="004051D5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</w:p>
    <w:p w14:paraId="7727AAD3" w14:textId="3A789B0C" w:rsidR="00CC25FC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unidad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negocio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1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,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aplicación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medidas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iniciativas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estratégicas está teniendo un impacto positivo en las ventas, los márgenes brutos y 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beneficios. Esta evolución se apoya en los excelentes resultados del negocio capilar, 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aplicación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continua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medidas</w:t>
      </w:r>
      <w:r w:rsidRPr="005D1B5E">
        <w:rPr>
          <w:rFonts w:ascii="Segoe UI" w:hAnsi="Segoe UI" w:cs="Segoe UI"/>
          <w:spacing w:val="-5"/>
        </w:rPr>
        <w:t xml:space="preserve"> </w:t>
      </w:r>
      <w:r w:rsidR="00E82B26">
        <w:rPr>
          <w:rFonts w:ascii="Segoe UI" w:hAnsi="Segoe UI" w:cs="Segoe UI"/>
        </w:rPr>
        <w:t>en el portafolio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y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desarrollo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marcas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principales</w:t>
      </w:r>
      <w:r w:rsidR="00E82B26">
        <w:rPr>
          <w:rFonts w:ascii="Segoe UI" w:hAnsi="Segoe UI" w:cs="Segoe UI"/>
        </w:rPr>
        <w:t xml:space="preserve"> y las </w:t>
      </w:r>
      <w:r w:rsidRPr="005D1B5E">
        <w:rPr>
          <w:rFonts w:ascii="Segoe UI" w:hAnsi="Segoe UI" w:cs="Segoe UI"/>
        </w:rPr>
        <w:t>innovaciones. Al mismo tiempo, Henkel sigue invirtiendo en innovación y, sobre todo, 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marketing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niveles</w:t>
      </w:r>
      <w:r w:rsidRPr="005D1B5E">
        <w:rPr>
          <w:rFonts w:ascii="Segoe UI" w:hAnsi="Segoe UI" w:cs="Segoe UI"/>
          <w:spacing w:val="-4"/>
        </w:rPr>
        <w:t xml:space="preserve"> </w:t>
      </w:r>
      <w:r w:rsidR="00E82B26">
        <w:rPr>
          <w:rFonts w:ascii="Segoe UI" w:hAnsi="Segoe UI" w:cs="Segoe UI"/>
        </w:rPr>
        <w:t>altos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seguir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impulsando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el crecimiento.</w:t>
      </w:r>
    </w:p>
    <w:p w14:paraId="6FD521A6" w14:textId="39AFA380" w:rsidR="004051D5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  <w:sz w:val="14"/>
        </w:rPr>
        <w:sectPr w:rsidR="004051D5" w:rsidRPr="005D1B5E" w:rsidSect="00F65B9C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5E78BFC2" w14:textId="77777777" w:rsidR="00CC25FC" w:rsidRPr="005D1B5E" w:rsidRDefault="00CC25FC">
      <w:pPr>
        <w:pStyle w:val="Textoindependiente"/>
        <w:spacing w:before="9"/>
        <w:rPr>
          <w:rFonts w:ascii="Segoe UI" w:hAnsi="Segoe UI" w:cs="Segoe UI"/>
          <w:sz w:val="21"/>
        </w:rPr>
      </w:pPr>
    </w:p>
    <w:p w14:paraId="0914FB19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5"/>
        </w:rPr>
      </w:pPr>
    </w:p>
    <w:p w14:paraId="04F1926D" w14:textId="4BFC2861" w:rsidR="00CC25FC" w:rsidRPr="005D1B5E" w:rsidRDefault="00000000">
      <w:pPr>
        <w:pStyle w:val="Textoindependiente"/>
        <w:spacing w:line="276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Henkel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también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ha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actualizado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sus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expectativas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respecto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efectos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adquisiciones/desinversiones, así como de las divisas en las ventas. Las adquisiciones más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 xml:space="preserve">recientes - </w:t>
      </w:r>
      <w:proofErr w:type="spellStart"/>
      <w:r w:rsidRPr="005D1B5E">
        <w:rPr>
          <w:rFonts w:ascii="Segoe UI" w:hAnsi="Segoe UI" w:cs="Segoe UI"/>
        </w:rPr>
        <w:t>Seal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for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Life</w:t>
      </w:r>
      <w:proofErr w:type="spellEnd"/>
      <w:r w:rsidRPr="005D1B5E">
        <w:rPr>
          <w:rFonts w:ascii="Segoe UI" w:hAnsi="Segoe UI" w:cs="Segoe UI"/>
        </w:rPr>
        <w:t xml:space="preserve"> Industries y Vidal Sassoon en China - se han cerrado antes de lo</w:t>
      </w:r>
      <w:r w:rsidRPr="005D1B5E">
        <w:rPr>
          <w:rFonts w:ascii="Segoe UI" w:hAnsi="Segoe UI" w:cs="Segoe UI"/>
          <w:spacing w:val="1"/>
        </w:rPr>
        <w:t xml:space="preserve"> </w:t>
      </w:r>
      <w:r w:rsidR="00E82B26">
        <w:rPr>
          <w:rFonts w:ascii="Segoe UI" w:hAnsi="Segoe UI" w:cs="Segoe UI"/>
        </w:rPr>
        <w:t>esperado</w:t>
      </w:r>
      <w:r w:rsidRPr="005D1B5E">
        <w:rPr>
          <w:rFonts w:ascii="Segoe UI" w:hAnsi="Segoe UI" w:cs="Segoe UI"/>
        </w:rPr>
        <w:t>,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contribuyendo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así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antes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previsto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al desarrollo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y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beneficios.</w:t>
      </w:r>
    </w:p>
    <w:p w14:paraId="428B16BF" w14:textId="77777777" w:rsidR="00CC25FC" w:rsidRPr="005D1B5E" w:rsidRDefault="00CC25FC">
      <w:pPr>
        <w:pStyle w:val="Textoindependiente"/>
        <w:spacing w:before="3"/>
        <w:rPr>
          <w:rFonts w:ascii="Segoe UI" w:hAnsi="Segoe UI" w:cs="Segoe UI"/>
          <w:sz w:val="25"/>
        </w:rPr>
      </w:pPr>
    </w:p>
    <w:p w14:paraId="6CF46B3C" w14:textId="77777777" w:rsidR="00CC25FC" w:rsidRPr="005D1B5E" w:rsidRDefault="00000000">
      <w:pPr>
        <w:pStyle w:val="Prrafodelista"/>
        <w:numPr>
          <w:ilvl w:val="0"/>
          <w:numId w:val="1"/>
        </w:numPr>
        <w:tabs>
          <w:tab w:val="left" w:pos="892"/>
        </w:tabs>
        <w:spacing w:line="259" w:lineRule="auto"/>
        <w:ind w:right="123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Adquisiciones/Desinversiones: impacto neutro en el crecimiento nominal de las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ventas (anteriormente: impacto negativo en el rango porcentual bajo de un solo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dígito).</w:t>
      </w:r>
    </w:p>
    <w:p w14:paraId="77C2D26E" w14:textId="77777777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line="259" w:lineRule="auto"/>
        <w:ind w:right="1109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Conversión de las ventas en monedas extranjeras: impacto negativo de entre un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dígito bajo y un dígito medio (anteriormente: un impacto negativo de un dígito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porcentual medio).</w:t>
      </w:r>
    </w:p>
    <w:p w14:paraId="080FCD0F" w14:textId="77777777" w:rsidR="00CC25FC" w:rsidRPr="005D1B5E" w:rsidRDefault="00CC25FC">
      <w:pPr>
        <w:pStyle w:val="Textoindependiente"/>
        <w:rPr>
          <w:rFonts w:ascii="Segoe UI" w:hAnsi="Segoe UI" w:cs="Segoe UI"/>
          <w:sz w:val="24"/>
        </w:rPr>
      </w:pPr>
    </w:p>
    <w:p w14:paraId="1C2B13AA" w14:textId="674667DD" w:rsidR="00CC25FC" w:rsidRPr="005D1B5E" w:rsidRDefault="00000000" w:rsidP="004051D5">
      <w:pPr>
        <w:pStyle w:val="Textoindependiente"/>
        <w:spacing w:before="176"/>
        <w:ind w:left="171"/>
        <w:jc w:val="both"/>
        <w:rPr>
          <w:rFonts w:ascii="Segoe UI" w:hAnsi="Segoe UI" w:cs="Segoe UI"/>
          <w:sz w:val="28"/>
        </w:rPr>
      </w:pP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siguientes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expectativas para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2024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se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mantienen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sin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cambios:</w:t>
      </w:r>
    </w:p>
    <w:p w14:paraId="3B9E26F7" w14:textId="5157C62C" w:rsidR="00CC25FC" w:rsidRPr="00F363E4" w:rsidRDefault="00000000" w:rsidP="00F363E4">
      <w:pPr>
        <w:pStyle w:val="Textoindependiente"/>
        <w:numPr>
          <w:ilvl w:val="0"/>
          <w:numId w:val="2"/>
        </w:numPr>
        <w:spacing w:line="251" w:lineRule="exact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Precios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materiales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directos: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evolución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plana</w:t>
      </w:r>
      <w:r w:rsidR="004051D5" w:rsidRPr="005D1B5E">
        <w:rPr>
          <w:rStyle w:val="Refdenotaalpie"/>
          <w:rFonts w:ascii="Segoe UI" w:hAnsi="Segoe UI" w:cs="Segoe UI"/>
        </w:rPr>
        <w:footnoteReference w:id="1"/>
      </w:r>
    </w:p>
    <w:p w14:paraId="3D49B323" w14:textId="7010336D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1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Gastos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reestructuración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250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300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millones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euros</w:t>
      </w:r>
      <w:r w:rsidR="00996D68">
        <w:rPr>
          <w:rFonts w:ascii="Segoe UI" w:hAnsi="Segoe UI" w:cs="Segoe UI"/>
        </w:rPr>
        <w:t>.</w:t>
      </w:r>
    </w:p>
    <w:p w14:paraId="4F6A24A6" w14:textId="7075BE3E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5" w:line="259" w:lineRule="auto"/>
        <w:ind w:right="830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 xml:space="preserve">Salidas de </w:t>
      </w:r>
      <w:r w:rsidR="006F036C">
        <w:rPr>
          <w:rFonts w:ascii="Segoe UI" w:hAnsi="Segoe UI" w:cs="Segoe UI"/>
        </w:rPr>
        <w:t>flujo de efectivo</w:t>
      </w:r>
      <w:r w:rsidRPr="005D1B5E">
        <w:rPr>
          <w:rFonts w:ascii="Segoe UI" w:hAnsi="Segoe UI" w:cs="Segoe UI"/>
        </w:rPr>
        <w:t xml:space="preserve"> por inversiones en inmovilizado material e inmaterial de entre 650 </w:t>
      </w:r>
      <w:proofErr w:type="gramStart"/>
      <w:r w:rsidRPr="005D1B5E">
        <w:rPr>
          <w:rFonts w:ascii="Segoe UI" w:hAnsi="Segoe UI" w:cs="Segoe UI"/>
        </w:rPr>
        <w:t>y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750</w:t>
      </w:r>
      <w:proofErr w:type="gramEnd"/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millones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euros</w:t>
      </w:r>
      <w:r w:rsidR="00996D68">
        <w:rPr>
          <w:rFonts w:ascii="Segoe UI" w:hAnsi="Segoe UI" w:cs="Segoe UI"/>
        </w:rPr>
        <w:t>.</w:t>
      </w:r>
    </w:p>
    <w:p w14:paraId="360CD377" w14:textId="77777777" w:rsidR="00CC25FC" w:rsidRPr="005D1B5E" w:rsidRDefault="00000000">
      <w:pPr>
        <w:pStyle w:val="Ttulo1"/>
        <w:spacing w:before="164" w:line="240" w:lineRule="auto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Evolución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orgánica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las 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primer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trimestre 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2024</w:t>
      </w:r>
    </w:p>
    <w:p w14:paraId="251949EF" w14:textId="0B80658B" w:rsidR="00CC25FC" w:rsidRPr="005D1B5E" w:rsidRDefault="00000000">
      <w:pPr>
        <w:pStyle w:val="Textoindependiente"/>
        <w:spacing w:before="35" w:line="276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Según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cifras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preliminares,</w:t>
      </w:r>
      <w:r w:rsidRPr="005D1B5E">
        <w:rPr>
          <w:rFonts w:ascii="Segoe UI" w:hAnsi="Segoe UI" w:cs="Segoe UI"/>
          <w:spacing w:val="-9"/>
        </w:rPr>
        <w:t xml:space="preserve"> </w:t>
      </w:r>
      <w:r w:rsidRPr="005D1B5E">
        <w:rPr>
          <w:rFonts w:ascii="Segoe UI" w:hAnsi="Segoe UI" w:cs="Segoe UI"/>
        </w:rPr>
        <w:t>Henkel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ha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generado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unas</w:t>
      </w:r>
      <w:r w:rsidRPr="005D1B5E">
        <w:rPr>
          <w:rFonts w:ascii="Segoe UI" w:hAnsi="Segoe UI" w:cs="Segoe UI"/>
          <w:spacing w:val="-9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15"/>
        </w:rPr>
        <w:t xml:space="preserve"> </w:t>
      </w:r>
      <w:r w:rsidRPr="005D1B5E">
        <w:rPr>
          <w:rFonts w:ascii="Segoe UI" w:hAnsi="Segoe UI" w:cs="Segoe UI"/>
        </w:rPr>
        <w:t>del</w:t>
      </w:r>
      <w:r w:rsidRPr="005D1B5E">
        <w:rPr>
          <w:rFonts w:ascii="Segoe UI" w:hAnsi="Segoe UI" w:cs="Segoe UI"/>
          <w:spacing w:val="-11"/>
        </w:rPr>
        <w:t xml:space="preserve"> </w:t>
      </w:r>
      <w:r w:rsidRPr="005D1B5E">
        <w:rPr>
          <w:rFonts w:ascii="Segoe UI" w:hAnsi="Segoe UI" w:cs="Segoe UI"/>
        </w:rPr>
        <w:t>Grupo</w:t>
      </w:r>
      <w:r w:rsidRPr="005D1B5E">
        <w:rPr>
          <w:rFonts w:ascii="Segoe UI" w:hAnsi="Segoe UI" w:cs="Segoe UI"/>
          <w:spacing w:val="-7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unos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5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300</w:t>
      </w:r>
      <w:r w:rsidRPr="005D1B5E">
        <w:rPr>
          <w:rFonts w:ascii="Segoe UI" w:hAnsi="Segoe UI" w:cs="Segoe UI"/>
          <w:spacing w:val="-8"/>
        </w:rPr>
        <w:t xml:space="preserve"> </w:t>
      </w:r>
      <w:proofErr w:type="gramStart"/>
      <w:r w:rsidRPr="005D1B5E">
        <w:rPr>
          <w:rFonts w:ascii="Segoe UI" w:hAnsi="Segoe UI" w:cs="Segoe UI"/>
        </w:rPr>
        <w:t>millones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58"/>
        </w:rPr>
        <w:t xml:space="preserve"> </w:t>
      </w:r>
      <w:r w:rsidRPr="005D1B5E">
        <w:rPr>
          <w:rFonts w:ascii="Segoe UI" w:hAnsi="Segoe UI" w:cs="Segoe UI"/>
        </w:rPr>
        <w:t>de</w:t>
      </w:r>
      <w:proofErr w:type="gramEnd"/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euros</w:t>
      </w:r>
      <w:r w:rsidRPr="005D1B5E">
        <w:rPr>
          <w:rFonts w:ascii="Segoe UI" w:hAnsi="Segoe UI" w:cs="Segoe UI"/>
          <w:spacing w:val="-15"/>
        </w:rPr>
        <w:t xml:space="preserve"> </w:t>
      </w: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primer</w:t>
      </w:r>
      <w:r w:rsidRPr="005D1B5E">
        <w:rPr>
          <w:rFonts w:ascii="Segoe UI" w:hAnsi="Segoe UI" w:cs="Segoe UI"/>
          <w:spacing w:val="-11"/>
        </w:rPr>
        <w:t xml:space="preserve"> </w:t>
      </w:r>
      <w:r w:rsidRPr="005D1B5E">
        <w:rPr>
          <w:rFonts w:ascii="Segoe UI" w:hAnsi="Segoe UI" w:cs="Segoe UI"/>
        </w:rPr>
        <w:t>trimestre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2024,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logrando</w:t>
      </w:r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un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crecimiento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orgánico</w:t>
      </w:r>
      <w:r w:rsidRPr="005D1B5E">
        <w:rPr>
          <w:rFonts w:ascii="Segoe UI" w:hAnsi="Segoe UI" w:cs="Segoe UI"/>
          <w:spacing w:val="-7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de 3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0%. La unidad de negocio Adhesive Technologies ha registrado unas ventas de unos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700 millones de euros y un crecimiento orgánico positivo de las ventas del 1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3%. La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</w:rPr>
        <w:t>unidad</w:t>
      </w:r>
      <w:r w:rsidR="00996D68">
        <w:rPr>
          <w:rFonts w:ascii="Segoe UI" w:hAnsi="Segoe UI" w:cs="Segoe UI"/>
        </w:rPr>
        <w:t xml:space="preserve"> de negocio </w:t>
      </w: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 xml:space="preserve"> ha alcanzado unas ventas de 2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600 millones de euros y un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crecimiento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orgánico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 5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2%.</w:t>
      </w:r>
    </w:p>
    <w:p w14:paraId="56361729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5"/>
        </w:rPr>
      </w:pPr>
    </w:p>
    <w:p w14:paraId="742368B7" w14:textId="77777777" w:rsidR="00CC25FC" w:rsidRPr="005D1B5E" w:rsidRDefault="00000000">
      <w:pPr>
        <w:pStyle w:val="Textoindependiente"/>
        <w:spacing w:before="1" w:line="278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Henkel comunicará más detalles sobre la evolución de las ventas en el primer trimestre el 8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mayo.</w:t>
      </w:r>
    </w:p>
    <w:p w14:paraId="0D75391B" w14:textId="77777777" w:rsidR="00CC25FC" w:rsidRPr="005D1B5E" w:rsidRDefault="00CC25FC">
      <w:pPr>
        <w:pStyle w:val="Textoindependiente"/>
        <w:spacing w:before="9"/>
        <w:rPr>
          <w:rFonts w:ascii="Segoe UI" w:hAnsi="Segoe UI" w:cs="Segoe UI"/>
          <w:sz w:val="24"/>
        </w:rPr>
      </w:pPr>
    </w:p>
    <w:p w14:paraId="61560253" w14:textId="77777777" w:rsidR="00AC7481" w:rsidRPr="00AC7481" w:rsidRDefault="00AC7481" w:rsidP="00C76104">
      <w:pPr>
        <w:spacing w:before="94"/>
        <w:ind w:right="603"/>
        <w:jc w:val="both"/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</w:pPr>
      <w:r w:rsidRPr="00AC7481"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  <w:t>Acerca de Henkel</w:t>
      </w:r>
    </w:p>
    <w:p w14:paraId="29780C08" w14:textId="77777777" w:rsidR="00C76104" w:rsidRDefault="00AC7481" w:rsidP="00C7610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</w:pPr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Consumer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Brands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, la empresa ocupa posiciones de liderazgo, especialmente en detergentes y cuidado del hogar, así como cuidado del cabello, en muchos mercados y categorías de todo el mundo. Las tres marcas más fuertes de la compañía son Loctite,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Persil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y Schwarzkopf. En el ejercicio fiscal 2023, Henkel registró unas ventas de cerca de 21.500 millones de euros y un resultado operativo ajustado de unos 2.600 millones de euros. Las acciones preferentes de Henkel cotizan en el índice bursátil alemán DAX. La sustentabilidad tiene una larga tradición en Henkel, y la empresa tiene una clara estrategia de sustentabilidad con objetivos específicos. Henkel se fundó en 1876 y hoy emplea a un equipo diverso de cerca de 48.000 personas en todo el mundo, unidas por una sólida cultura corporativa, valores compartidos y un propósito común: "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Pioneers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at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heart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for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the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good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of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generations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".  Más información en </w:t>
      </w:r>
      <w:hyperlink r:id="rId8" w:history="1">
        <w:r w:rsidRPr="00AC7481">
          <w:rPr>
            <w:rStyle w:val="Hipervnculo"/>
            <w:rFonts w:ascii="Segoe UI" w:eastAsia="Times New Roman" w:hAnsi="Segoe UI" w:cs="Segoe UI"/>
            <w:sz w:val="16"/>
            <w:szCs w:val="16"/>
            <w:lang w:val="es-PE" w:eastAsia="es-MX"/>
          </w:rPr>
          <w:t>www.henkel.com</w:t>
        </w:r>
      </w:hyperlink>
      <w:r w:rsidR="00C76104" w:rsidRPr="00C76104"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  <w:t xml:space="preserve"> </w:t>
      </w:r>
    </w:p>
    <w:p w14:paraId="1E81E1E9" w14:textId="28B456F0" w:rsidR="00C76104" w:rsidRDefault="00C76104" w:rsidP="00C7610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Quattrocento Sans" w:cs="Segoe UI"/>
          <w:bCs/>
          <w:color w:val="000000"/>
          <w:sz w:val="18"/>
          <w:szCs w:val="18"/>
        </w:rPr>
      </w:pPr>
      <w:r w:rsidRPr="00FE2A86"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  <w:t xml:space="preserve">Acerca de Henkel en </w:t>
      </w:r>
      <w:r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  <w:t>Argentina</w:t>
      </w:r>
      <w:r w:rsidRPr="00C76104">
        <w:rPr>
          <w:rFonts w:eastAsia="Quattrocento Sans" w:cs="Segoe UI"/>
          <w:bCs/>
          <w:color w:val="000000"/>
          <w:sz w:val="18"/>
          <w:szCs w:val="18"/>
        </w:rPr>
        <w:t xml:space="preserve"> </w:t>
      </w:r>
    </w:p>
    <w:p w14:paraId="77C479B0" w14:textId="77777777" w:rsidR="00C76104" w:rsidRPr="00C76104" w:rsidRDefault="00C76104" w:rsidP="00C7610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Segoe UI" w:eastAsia="Quattrocento Sans" w:hAnsi="Segoe UI" w:cs="Segoe UI"/>
          <w:bCs/>
          <w:color w:val="000000"/>
          <w:sz w:val="16"/>
          <w:szCs w:val="16"/>
        </w:rPr>
      </w:pPr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t xml:space="preserve">Henkel tiene más de 54 años de presencia en Argentina. Respaldados por su reconocida calidad a nivel mundial, se comercializan exitosamente productos en los sectores de Adhesive Technologies (sector industrial) y </w:t>
      </w:r>
      <w:proofErr w:type="spellStart"/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t>Consumer</w:t>
      </w:r>
      <w:proofErr w:type="spellEnd"/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t xml:space="preserve"> </w:t>
      </w:r>
      <w:proofErr w:type="spellStart"/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t>Brands</w:t>
      </w:r>
      <w:proofErr w:type="spellEnd"/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t xml:space="preserve"> (sector profesional). Hablando de las ventas, en 2023 fueron de más de 96 millones de euros, lo que representa más de 30,141 millones de pesos argentinos y cuenta con cerca de 120 colaboradores, distribuidos entre su oficina corporativa en San Isidro, una planta en Chivilcoy y una Academia en la Capital </w:t>
      </w:r>
      <w:r w:rsidRPr="00C76104">
        <w:rPr>
          <w:rFonts w:ascii="Segoe UI" w:eastAsia="Quattrocento Sans" w:hAnsi="Segoe UI" w:cs="Segoe UI"/>
          <w:bCs/>
          <w:color w:val="000000"/>
          <w:sz w:val="16"/>
          <w:szCs w:val="16"/>
        </w:rPr>
        <w:lastRenderedPageBreak/>
        <w:t xml:space="preserve">Federal. Para más información, visite </w:t>
      </w:r>
      <w:hyperlink r:id="rId9" w:history="1">
        <w:r w:rsidRPr="00C76104">
          <w:rPr>
            <w:rStyle w:val="Hipervnculo"/>
            <w:rFonts w:ascii="Segoe UI" w:eastAsia="Quattrocento Sans" w:hAnsi="Segoe UI" w:cs="Segoe UI"/>
            <w:bCs/>
            <w:sz w:val="16"/>
            <w:szCs w:val="16"/>
          </w:rPr>
          <w:t>www.henkel.com.ar</w:t>
        </w:r>
      </w:hyperlink>
    </w:p>
    <w:p w14:paraId="477D512B" w14:textId="77777777" w:rsidR="00C76104" w:rsidRPr="00C76104" w:rsidRDefault="00C76104" w:rsidP="00C76104">
      <w:pPr>
        <w:ind w:left="171"/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</w:pPr>
    </w:p>
    <w:p w14:paraId="2D9FBEC1" w14:textId="77777777" w:rsidR="00C76104" w:rsidRPr="00C76104" w:rsidRDefault="00C76104" w:rsidP="00C76104">
      <w:pPr>
        <w:ind w:left="171"/>
        <w:rPr>
          <w:rFonts w:ascii="Segoe UI" w:hAnsi="Segoe UI" w:cs="Segoe UI"/>
          <w:sz w:val="16"/>
          <w:szCs w:val="16"/>
        </w:rPr>
      </w:pPr>
    </w:p>
    <w:p w14:paraId="79309699" w14:textId="6465CDAC" w:rsidR="004051D5" w:rsidRPr="00AC7481" w:rsidRDefault="004051D5" w:rsidP="00AC7481">
      <w:pPr>
        <w:spacing w:before="94"/>
        <w:ind w:left="171" w:right="603"/>
        <w:jc w:val="both"/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</w:pPr>
    </w:p>
    <w:p w14:paraId="3418A0B5" w14:textId="77777777" w:rsidR="00AC7481" w:rsidRPr="005D1B5E" w:rsidRDefault="00AC7481" w:rsidP="00AC7481">
      <w:pPr>
        <w:spacing w:before="94"/>
        <w:ind w:left="171" w:right="603"/>
        <w:jc w:val="both"/>
        <w:rPr>
          <w:rFonts w:ascii="Segoe UI" w:hAnsi="Segoe UI" w:cs="Segoe UI"/>
          <w:color w:val="0000FF"/>
          <w:spacing w:val="1"/>
          <w:sz w:val="16"/>
        </w:rPr>
      </w:pPr>
    </w:p>
    <w:p w14:paraId="3BFB256A" w14:textId="77777777" w:rsidR="00C76104" w:rsidRPr="00C76104" w:rsidRDefault="00C76104">
      <w:pPr>
        <w:ind w:left="171"/>
        <w:rPr>
          <w:rFonts w:ascii="Segoe UI" w:hAnsi="Segoe UI" w:cs="Segoe UI"/>
          <w:sz w:val="16"/>
          <w:szCs w:val="16"/>
        </w:rPr>
      </w:pPr>
    </w:p>
    <w:sectPr w:rsidR="00C76104" w:rsidRPr="00C76104">
      <w:pgSz w:w="11900" w:h="16840"/>
      <w:pgMar w:top="1600" w:right="8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845D" w14:textId="77777777" w:rsidR="00F65B9C" w:rsidRDefault="00F65B9C" w:rsidP="004051D5">
      <w:r>
        <w:separator/>
      </w:r>
    </w:p>
  </w:endnote>
  <w:endnote w:type="continuationSeparator" w:id="0">
    <w:p w14:paraId="6936F42A" w14:textId="77777777" w:rsidR="00F65B9C" w:rsidRDefault="00F65B9C" w:rsidP="004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95AC" w14:textId="77777777" w:rsidR="00F65B9C" w:rsidRDefault="00F65B9C" w:rsidP="004051D5">
      <w:r>
        <w:separator/>
      </w:r>
    </w:p>
  </w:footnote>
  <w:footnote w:type="continuationSeparator" w:id="0">
    <w:p w14:paraId="1AA1185C" w14:textId="77777777" w:rsidR="00F65B9C" w:rsidRDefault="00F65B9C" w:rsidP="004051D5">
      <w:r>
        <w:continuationSeparator/>
      </w:r>
    </w:p>
  </w:footnote>
  <w:footnote w:id="1">
    <w:p w14:paraId="63EB688D" w14:textId="77777777" w:rsidR="004051D5" w:rsidRPr="004051D5" w:rsidRDefault="004051D5" w:rsidP="004051D5">
      <w:pPr>
        <w:spacing w:before="105"/>
        <w:ind w:left="171"/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</w:pPr>
      <w:r>
        <w:rPr>
          <w:rStyle w:val="Refdenotaalpie"/>
        </w:rPr>
        <w:footnoteRef/>
      </w:r>
      <w:r>
        <w:t xml:space="preserve"> </w:t>
      </w:r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 En comparación con la media del año anterior</w:t>
      </w:r>
    </w:p>
    <w:p w14:paraId="5916DEDC" w14:textId="77777777" w:rsidR="004051D5" w:rsidRPr="004051D5" w:rsidRDefault="004051D5" w:rsidP="004051D5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120E"/>
    <w:multiLevelType w:val="hybridMultilevel"/>
    <w:tmpl w:val="C4322D22"/>
    <w:lvl w:ilvl="0" w:tplc="DB4A2C62">
      <w:numFmt w:val="bullet"/>
      <w:lvlText w:val=""/>
      <w:lvlJc w:val="left"/>
      <w:pPr>
        <w:ind w:left="891" w:hanging="360"/>
      </w:pPr>
      <w:rPr>
        <w:rFonts w:ascii="Wingdings" w:eastAsia="Wingdings" w:hAnsi="Wingdings" w:cs="Wingdings" w:hint="default"/>
        <w:color w:val="E1000F"/>
        <w:w w:val="100"/>
        <w:sz w:val="22"/>
        <w:szCs w:val="22"/>
        <w:lang w:val="es-ES" w:eastAsia="en-US" w:bidi="ar-SA"/>
      </w:rPr>
    </w:lvl>
    <w:lvl w:ilvl="1" w:tplc="176E1B64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0AB288E8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9B163F28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59D4973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47CE1808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6" w:tplc="29E0F0E6">
      <w:numFmt w:val="bullet"/>
      <w:lvlText w:val="•"/>
      <w:lvlJc w:val="left"/>
      <w:pPr>
        <w:ind w:left="6197" w:hanging="360"/>
      </w:pPr>
      <w:rPr>
        <w:rFonts w:hint="default"/>
        <w:lang w:val="es-ES" w:eastAsia="en-US" w:bidi="ar-SA"/>
      </w:rPr>
    </w:lvl>
    <w:lvl w:ilvl="7" w:tplc="42D68A52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140063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C931077"/>
    <w:multiLevelType w:val="hybridMultilevel"/>
    <w:tmpl w:val="6A083F54"/>
    <w:lvl w:ilvl="0" w:tplc="DB4A2C62">
      <w:numFmt w:val="bullet"/>
      <w:lvlText w:val=""/>
      <w:lvlJc w:val="left"/>
      <w:pPr>
        <w:ind w:left="891" w:hanging="360"/>
      </w:pPr>
      <w:rPr>
        <w:rFonts w:ascii="Wingdings" w:eastAsia="Wingdings" w:hAnsi="Wingdings" w:cs="Wingdings" w:hint="default"/>
        <w:color w:val="E1000F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89687866">
    <w:abstractNumId w:val="0"/>
  </w:num>
  <w:num w:numId="2" w16cid:durableId="158757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C"/>
    <w:rsid w:val="001F3F0E"/>
    <w:rsid w:val="003442CC"/>
    <w:rsid w:val="004051D5"/>
    <w:rsid w:val="004467EC"/>
    <w:rsid w:val="00482738"/>
    <w:rsid w:val="005B7441"/>
    <w:rsid w:val="005D1B5E"/>
    <w:rsid w:val="005E58DA"/>
    <w:rsid w:val="006065F7"/>
    <w:rsid w:val="006677FA"/>
    <w:rsid w:val="006F036C"/>
    <w:rsid w:val="007D2319"/>
    <w:rsid w:val="007F3F51"/>
    <w:rsid w:val="008F2030"/>
    <w:rsid w:val="0094201C"/>
    <w:rsid w:val="00996D68"/>
    <w:rsid w:val="009D0164"/>
    <w:rsid w:val="00AC7481"/>
    <w:rsid w:val="00B51F26"/>
    <w:rsid w:val="00C76104"/>
    <w:rsid w:val="00CC25FC"/>
    <w:rsid w:val="00E64589"/>
    <w:rsid w:val="00E82B26"/>
    <w:rsid w:val="00F363E4"/>
    <w:rsid w:val="00F65B9C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4D23"/>
  <w15:docId w15:val="{32FCDE3F-6707-4DA0-854F-AE8A4DF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1" w:lineRule="exact"/>
      <w:ind w:left="17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51"/>
      <w:ind w:left="17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"/>
      <w:ind w:left="8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051D5"/>
    <w:rPr>
      <w:color w:val="0000FF"/>
      <w:u w:val="single"/>
    </w:rPr>
  </w:style>
  <w:style w:type="character" w:customStyle="1" w:styleId="AboutandContactBody">
    <w:name w:val="About and Contact Body"/>
    <w:basedOn w:val="Fuentedeprrafopredeter"/>
    <w:rsid w:val="004051D5"/>
    <w:rPr>
      <w:rFonts w:ascii="Segoe UI" w:hAnsi="Segoe UI"/>
      <w:sz w:val="18"/>
    </w:rPr>
  </w:style>
  <w:style w:type="table" w:styleId="Tablaconcuadrcula">
    <w:name w:val="Table Grid"/>
    <w:basedOn w:val="Tablanormal"/>
    <w:rsid w:val="004051D5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051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character" w:customStyle="1" w:styleId="normaltextrun">
    <w:name w:val="normaltextrun"/>
    <w:basedOn w:val="Fuentedeprrafopredeter"/>
    <w:rsid w:val="004051D5"/>
  </w:style>
  <w:style w:type="character" w:customStyle="1" w:styleId="eop">
    <w:name w:val="eop"/>
    <w:basedOn w:val="Fuentedeprrafopredeter"/>
    <w:rsid w:val="004051D5"/>
  </w:style>
  <w:style w:type="paragraph" w:styleId="Textonotapie">
    <w:name w:val="footnote text"/>
    <w:basedOn w:val="Normal"/>
    <w:link w:val="TextonotapieCar"/>
    <w:uiPriority w:val="99"/>
    <w:semiHidden/>
    <w:unhideWhenUsed/>
    <w:rsid w:val="004051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51D5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051D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1D5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nkel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NdP_Henkel eleva sus previsiones de ventas y beneficios para 2024</dc:title>
  <dc:creator>Maria M Marin</dc:creator>
  <cp:lastModifiedBy>Delfina Freidzon (ext)</cp:lastModifiedBy>
  <cp:revision>22</cp:revision>
  <dcterms:created xsi:type="dcterms:W3CDTF">2024-05-03T13:00:00Z</dcterms:created>
  <dcterms:modified xsi:type="dcterms:W3CDTF">2024-05-03T16:01:00Z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Word</vt:lpwstr>
  </property>
  <property fmtid="{D5CDD505-2E9C-101B-9397-08002B2CF9AE}" pid="4" name="LastSaved">
    <vt:filetime>2024-05-03T00:00:00Z</vt:filetime>
  </property>
</Properties>
</file>