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FD75373" w:rsidR="00B422EC" w:rsidRPr="003677DB" w:rsidRDefault="00C6011B" w:rsidP="00E23EC8">
      <w:pPr>
        <w:pStyle w:val="MonthDayYear"/>
        <w:ind w:right="-510"/>
        <w:rPr>
          <w:lang w:val="pt-PT"/>
        </w:rPr>
      </w:pPr>
      <w:r>
        <w:rPr>
          <w:lang w:val="pt-PT"/>
        </w:rPr>
        <w:t>4. mart</w:t>
      </w:r>
      <w:r w:rsidR="00BF6E82" w:rsidRPr="003677DB">
        <w:rPr>
          <w:lang w:val="pt-PT"/>
        </w:rPr>
        <w:t xml:space="preserve"> 20</w:t>
      </w:r>
      <w:r w:rsidR="00F635FC" w:rsidRPr="003677DB">
        <w:rPr>
          <w:lang w:val="pt-PT"/>
        </w:rPr>
        <w:t>2</w:t>
      </w:r>
      <w:r w:rsidR="003677DB" w:rsidRPr="003677DB">
        <w:rPr>
          <w:lang w:val="pt-PT"/>
        </w:rPr>
        <w:t>4</w:t>
      </w:r>
      <w:r>
        <w:rPr>
          <w:lang w:val="pt-PT"/>
        </w:rPr>
        <w:t>.</w:t>
      </w:r>
    </w:p>
    <w:p w14:paraId="782E67FD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22"/>
          <w:szCs w:val="22"/>
        </w:rPr>
      </w:pPr>
      <w:r>
        <w:rPr>
          <w:rStyle w:val="normaltextrun"/>
          <w:rFonts w:ascii="Segoe UI" w:hAnsi="Segoe UI" w:cs="Segoe UI"/>
          <w:sz w:val="22"/>
          <w:szCs w:val="22"/>
          <w:lang w:val="sr-Latn-RS"/>
        </w:rPr>
        <w:t>Henkel objavio Izveštaj o održivosti za 2023.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10167910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35574DD" w14:textId="0CC7870F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Segoe UI" w:hAnsi="Segoe UI" w:cs="Segoe UI"/>
          <w:sz w:val="32"/>
          <w:szCs w:val="32"/>
        </w:rPr>
      </w:pPr>
      <w:r>
        <w:rPr>
          <w:rStyle w:val="normaltextrun"/>
          <w:rFonts w:ascii="Segoe UI" w:hAnsi="Segoe UI" w:cs="Segoe UI"/>
          <w:b/>
          <w:bCs/>
          <w:sz w:val="32"/>
          <w:szCs w:val="32"/>
          <w:lang w:val="sr-Latn-RS"/>
        </w:rPr>
        <w:t>Snažan napredak ka Henkel-ovim ciljevima održivosti</w:t>
      </w:r>
      <w:r>
        <w:rPr>
          <w:rStyle w:val="eop"/>
          <w:rFonts w:ascii="Segoe UI" w:hAnsi="Segoe UI" w:cs="Segoe UI"/>
          <w:sz w:val="32"/>
          <w:szCs w:val="32"/>
        </w:rPr>
        <w:t> </w:t>
      </w:r>
    </w:p>
    <w:p w14:paraId="7C8576B7" w14:textId="77777777" w:rsidR="00C6011B" w:rsidRP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32"/>
          <w:szCs w:val="32"/>
        </w:rPr>
      </w:pPr>
    </w:p>
    <w:p w14:paraId="0070F52A" w14:textId="77777777" w:rsidR="00C6011B" w:rsidRPr="00F37A7F" w:rsidRDefault="00C6011B" w:rsidP="00C6011B">
      <w:pPr>
        <w:pStyle w:val="ListParagraph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 xml:space="preserve">Klimatske akcije: </w:t>
      </w:r>
    </w:p>
    <w:p w14:paraId="087A0C8D" w14:textId="77777777" w:rsidR="00C6011B" w:rsidRPr="008F7BEF" w:rsidRDefault="00C6011B" w:rsidP="00C6011B">
      <w:pPr>
        <w:pStyle w:val="ListParagraph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>smanjenje emisija CO</w:t>
      </w:r>
      <w:r>
        <w:rPr>
          <w:rFonts w:asciiTheme="majorHAnsi" w:hAnsiTheme="majorHAnsi"/>
          <w:b/>
          <w:vertAlign w:val="subscript"/>
        </w:rPr>
        <w:t>2</w:t>
      </w:r>
      <w:r>
        <w:rPr>
          <w:rFonts w:asciiTheme="majorHAnsi" w:hAnsiTheme="majorHAnsi"/>
          <w:b/>
        </w:rPr>
        <w:t xml:space="preserve"> u proizvodnji za 61%</w:t>
      </w:r>
    </w:p>
    <w:p w14:paraId="4D402ADB" w14:textId="77777777" w:rsidR="00C6011B" w:rsidRPr="008F7BEF" w:rsidRDefault="00C6011B" w:rsidP="00C6011B">
      <w:pPr>
        <w:pStyle w:val="ListParagraph"/>
        <w:numPr>
          <w:ilvl w:val="0"/>
          <w:numId w:val="12"/>
        </w:numPr>
        <w:spacing w:after="80"/>
        <w:ind w:left="851" w:right="-108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>udeo kupljene električne energije iz obnovljivih izvora povećan na 89%</w:t>
      </w:r>
    </w:p>
    <w:p w14:paraId="31B8EA4A" w14:textId="77777777" w:rsidR="00C6011B" w:rsidRPr="008F7BEF" w:rsidRDefault="00C6011B" w:rsidP="00C6011B">
      <w:pPr>
        <w:pStyle w:val="ListParagraph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 xml:space="preserve">Cirkularna ekonomija: udeo reciklirane plastike povećan na 19% širom sveta </w:t>
      </w:r>
    </w:p>
    <w:p w14:paraId="1E00E90F" w14:textId="77777777" w:rsidR="00C6011B" w:rsidRPr="008F7BEF" w:rsidRDefault="00C6011B" w:rsidP="00C6011B">
      <w:pPr>
        <w:pStyle w:val="ListParagraph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>Prirodni resursi: 10. godišnjica saradnje sa organizacijom Solidaridad za održivo ulje iz palminih koštica</w:t>
      </w:r>
    </w:p>
    <w:p w14:paraId="23F9A590" w14:textId="77777777" w:rsidR="00C6011B" w:rsidRPr="008F7BEF" w:rsidRDefault="00C6011B" w:rsidP="00C6011B">
      <w:pPr>
        <w:pStyle w:val="ListParagraph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 xml:space="preserve">Ambicija rodne ravnopravnosti: uvedene smernice o rodno neutralnom roditeljskom odsustvu </w:t>
      </w:r>
    </w:p>
    <w:p w14:paraId="3B51593C" w14:textId="77777777" w:rsidR="00C6011B" w:rsidRPr="00F37A7F" w:rsidRDefault="00C6011B" w:rsidP="00C6011B">
      <w:pPr>
        <w:pStyle w:val="ListParagraph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>Održiva rešenja: dalji razvoj portfelja proizvoda</w:t>
      </w:r>
    </w:p>
    <w:p w14:paraId="3AD9170F" w14:textId="77777777" w:rsidR="00C6011B" w:rsidRPr="00F37A7F" w:rsidRDefault="00C6011B" w:rsidP="00C6011B">
      <w:pPr>
        <w:pStyle w:val="ListParagraph"/>
        <w:numPr>
          <w:ilvl w:val="0"/>
          <w:numId w:val="11"/>
        </w:numPr>
        <w:spacing w:after="80"/>
        <w:ind w:left="357" w:right="-108" w:hanging="357"/>
        <w:contextualSpacing w:val="0"/>
        <w:jc w:val="left"/>
        <w:rPr>
          <w:rFonts w:asciiTheme="majorHAnsi" w:hAnsiTheme="majorHAnsi" w:cstheme="majorHAnsi"/>
          <w:b/>
          <w:szCs w:val="22"/>
        </w:rPr>
      </w:pPr>
      <w:r>
        <w:rPr>
          <w:rFonts w:asciiTheme="majorHAnsi" w:hAnsiTheme="majorHAnsi"/>
          <w:b/>
        </w:rPr>
        <w:t>Angažman zaposlenih: Proširen program „Održivost u srcu“</w:t>
      </w:r>
    </w:p>
    <w:p w14:paraId="6D408859" w14:textId="77777777" w:rsidR="00C6011B" w:rsidRP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sr-Latn-RS"/>
        </w:rPr>
      </w:pPr>
    </w:p>
    <w:p w14:paraId="2E92D986" w14:textId="58650A3A" w:rsidR="00C6011B" w:rsidRP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  <w:lang w:val="sr-Latn-CS"/>
        </w:rPr>
      </w:pPr>
    </w:p>
    <w:p w14:paraId="52AFC29E" w14:textId="2E922F3B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  <w:lang w:val="sr-Latn-RS"/>
        </w:rPr>
        <w:t>Henkel je objavio svoj Izveštaj o održivosti za fiskalnu godinu 2023, izveštavajući o napretku u sprovođenju svoje globalne strategije održivosti, posebno u korišćenju obnovljivih izvora energije i promociji cirkularne ekonomije. Pored toga, kompanija je nastavila sistematski rad na održivijem portfoliju proizvoda i dalje proširila svoj program angažovanja zaposlenih. 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3BCA188A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531C4A9C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  <w:lang w:val="sr-Latn-RS"/>
        </w:rPr>
        <w:t>„Održivost je centralni stub naše Agende održivog rasta,“ rekao je Karsten Knobel, izvršni direktor kompanije Henkel. „Pogotovo u izazovnim vremenima poput ovih, rad na održivosti je važniji nego ikad. Stoga neprekidno radimo na sprovođenju naših ciljeva održivosti, i ponosan sam što smo ponovo ostvarili veoma dobar napredak tokom 2023. godine. Naši odlični rezultati sa najvišim ocenama u ESG oblastima od strane eksternih organizacija, kao što je ponovno osvojeno priznane EcoVadis Platinum, pokazuju da smo na pravom putu i da se naš napredak prepoznaje“.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7F6732C3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351358DA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„Prošle godine smo se fokusirali na bolje ostvarivanje naših obaveza prema okolini i društvenim uticajima,“ dodala je Silvija Nikol, članica Upravnog odbora kompanije Henkel, odgovorna za ljudske resurse, infrastrukturu i održivost. „Želim da istaknem značajan napredak u održivom snabdevanju ključnim sirovinama, kao što su sertifikacija palminog ulja i ulja iz palminih koštica. Takođe smo uložili velike napore u doprinosu cirkularnoj ekonomiji u oba naša poslovna 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lastRenderedPageBreak/>
        <w:t>sektora. Osim toga, nastavili smo da promovišemo društvenu jednakost, i želela bih da istaknem uvođenje rodno neutralnog roditeljskog odsustva za sve zaposlene širom sveta.“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42448055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58FC0E40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Značajno unapređeni rezultati u oblasti održivosti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58BB9121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  <w:shd w:val="clear" w:color="auto" w:fill="FFFFFF"/>
          <w:lang w:val="sr-Latn-RS"/>
        </w:rPr>
        <w:t>„Okvir ambicija održivosti 2030+“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 definiše jasne ambicije i ciljeve na Henkel-ovom globalnom putu ka održivosti na temu životne sredine, socijalnih pitanja i upravljanja. Kompanija je prošle godine ostvarila značajna poboljšanja u oblasti klime i smanjila ukupne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CO</w:t>
      </w:r>
      <w:r>
        <w:rPr>
          <w:rStyle w:val="normaltextrun"/>
          <w:rFonts w:ascii="Segoe UI" w:hAnsi="Segoe UI" w:cs="Segoe UI"/>
          <w:b/>
          <w:bCs/>
          <w:sz w:val="17"/>
          <w:szCs w:val="17"/>
          <w:vertAlign w:val="subscript"/>
          <w:lang w:val="sr-Latn-RS"/>
        </w:rPr>
        <w:t>2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 xml:space="preserve"> emisije u proizvodnji za 61% 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po kubnoj toni proizvoda (u poređenju sa polaznom godinom 2010.), dok je povećala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udeo električne energije kupljene iz obnovljivih izvora na 89%.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 Ukupno je 2023. godine još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14 lokacija prešlo na proizvodnju sa neutralnim emisijama ugljenika.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 Nadovezujući se na svoj napredak u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smanjenju CO</w:t>
      </w:r>
      <w:r>
        <w:rPr>
          <w:rStyle w:val="normaltextrun"/>
          <w:rFonts w:ascii="Segoe UI" w:hAnsi="Segoe UI" w:cs="Segoe UI"/>
          <w:b/>
          <w:bCs/>
          <w:sz w:val="17"/>
          <w:szCs w:val="17"/>
          <w:vertAlign w:val="subscript"/>
          <w:lang w:val="sr-Latn-RS"/>
        </w:rPr>
        <w:t>2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 xml:space="preserve"> emisija iz sirovina i pakovanja za 17% 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>(po toni proizvoda, u poređenju sa polaznom godinom 2017.), Henkel je takođe razvio svoj put ka neto nuli u svim kategorijama emisija.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2EBB7DB3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69D20647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  <w:lang w:val="sr-Latn-RS"/>
        </w:rPr>
        <w:t>Važan cilj kompanije Henkel je promocija cirkularne ekonomije. Ukupno gledano, Henkel je povećao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 xml:space="preserve"> udeo reciklirane plastike u pakovanju svojih potrošačkih proizvoda na 19% širom sveta. 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Istaknut primer je dupliranje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 xml:space="preserve">nivoa recikliranog sadržaja na 50% 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>za ceo portfolio univerzalnih tečnih deterdženata u Evropi, kao što je Persil.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3947D239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135894EC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  <w:lang w:val="sr-Latn-RS"/>
        </w:rPr>
        <w:t>Henkel je takođe nastavio svoje napore u zaštiti prirodnih resursa. To uključuje odgovorno korišćenje sirovina poput palminog ulja i ulja palminih koštica. Na kraju 2023. godine, kompanija je uspela da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 xml:space="preserve"> pokrije 96% svoje globalne potražnje za palminim uljem i uljem od palminih koštica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 i postigla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stopu mogućnosti praćenja proizvoda do fabrike od 89%.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 Sa posebnim fokusom na podršku malim proizvođačima palminog ulja, Henkel je proslavio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10 godina saradnje s razvojnom organizacijom Solidaridad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.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 xml:space="preserve">Više od 39.000 malih farmera već je imalo koristi od zajedničkih inicijativa. 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>Partnerstvo će biti dodatno prošireno kroz specifične projekte u narednim godinama, uključujući Kolumbiju i Indoneziju. 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4855EEC3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23B57E31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U oblasti raznolikosti, jednakosti i inkluzije, Henkel ima ambiciju da do 2025. godine postigne rodnu ravnopravnost na svim nivoima menadžmenta, između ostalog. Prošle godine,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udeo žena na menadžerskim pozicijama povećao se na 39,5%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>.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 xml:space="preserve"> 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Kao deo svoje posvećenosti većoj jednakosti i pogodnosti za porodice, Henkel je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uveo program rodno neutralnog roditeljskog odsustva.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 Nova politika garantuje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100% plaćenog roditeljskog odsustva od osam nedelja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 za sve zaposlene širom sveta, zasnovano isključivo na ulozi negovatelja.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04B6DEFE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76956ACC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Dalje razvijen održiviji portfolio proizvoda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5D2EFA9C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U protekloj godini, Henkel je nastavio da radi na transformaciji svog portfolija proizvoda na održiv način. Jedan primer za to je projekat iz poslovnog sektora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Adhezivi Tehnologije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>.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 xml:space="preserve"> Ovaj segment je dalje razvio svoju internu metodologiju procene kako bi stvorio veću transparentnost u vezi sa rezultatima u oblasti održivosti svog portfolija proizvoda.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 Rezultati procene su deo upravljanja portfolijom i podržavaju prelazak ka novim rešenjima koja omogućavaju smanjenje emisija i cirkularnu ekonomiju.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6E511F17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3922AF31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  <w:lang w:val="sr-Latn-RS"/>
        </w:rPr>
        <w:lastRenderedPageBreak/>
        <w:t xml:space="preserve">U poslovnom sektoru Consumer Brands, Henkel je pokrenuo inicijativu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„Sa nama počinje“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 2023. godine. Cilj je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podrška potrošačima u efikasnijem korišćenju proizvoda putem jednostavnih saveta o ponašanju u svakodnevnom životu,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 na primer korišćenjem EKO programa njihove veš mašine. 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02A7ABC5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7575442F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Eksterna priznanja za rezultate i napredak u održivosti 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2EC5B1F1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Kao i prethodnih godina, održivost Henkel-a u 2023. godini prepoznata je od strane nekoliko agencija za ocenjivanje, između ostalih od strane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EcoVadis-a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>,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 xml:space="preserve"> 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koji je svrstao Henkel u 1% najboljih ocenjenih kompanija, kao i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Sustainalytics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>.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7148467C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7CC4FE60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Proširen globalni program angažovanja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2C5FA87B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Kao deo programa „Održivost u srcu“, koji je globalno sproveden 2022. godine, Henkel ima za cilj dalje promovisanje posvećenosti svojih zaposlenih održivosti i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proširio je svoju ponudu obuka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 u 2023. godini.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Više od 10.000 zaposlenih već je učestvovalo u osnovnoj obuci,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 koja je dostupna u elektronskom formatu na mnogim jezicima, kao i u novom formatu namenjenom radnicima u proizvodnji. Takođe postoje i obuke dubljeg sadržaja, kao i novi </w:t>
      </w:r>
      <w:r>
        <w:rPr>
          <w:rStyle w:val="normaltextrun"/>
          <w:rFonts w:ascii="Segoe UI" w:hAnsi="Segoe UI" w:cs="Segoe UI"/>
          <w:b/>
          <w:bCs/>
          <w:sz w:val="22"/>
          <w:szCs w:val="22"/>
          <w:lang w:val="sr-Latn-RS"/>
        </w:rPr>
        <w:t>Inkubator za održivost</w:t>
      </w:r>
      <w:r>
        <w:rPr>
          <w:rStyle w:val="normaltextrun"/>
          <w:rFonts w:ascii="Segoe UI" w:hAnsi="Segoe UI" w:cs="Segoe UI"/>
          <w:sz w:val="22"/>
          <w:szCs w:val="22"/>
          <w:lang w:val="sr-Latn-RS"/>
        </w:rPr>
        <w:t xml:space="preserve"> - format koji zaposlenima pruža mogućnost da rade na svojim sopstvenim idejama održivosti.</w:t>
      </w:r>
      <w:r>
        <w:rPr>
          <w:rStyle w:val="eop"/>
          <w:rFonts w:ascii="Segoe UI" w:hAnsi="Segoe UI" w:cs="Segoe UI"/>
          <w:sz w:val="22"/>
          <w:szCs w:val="22"/>
        </w:rPr>
        <w:t> </w:t>
      </w:r>
    </w:p>
    <w:p w14:paraId="6CCF370B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47FA252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9C5FE6E" w14:textId="1237F552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BBEA5B1" w14:textId="77777777" w:rsidR="00C6011B" w:rsidRDefault="00C6011B" w:rsidP="00C6011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6D953CE" w14:textId="77777777" w:rsidR="00647B71" w:rsidRPr="00647B71" w:rsidRDefault="00647B71" w:rsidP="00647B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647B71">
        <w:rPr>
          <w:rStyle w:val="normaltextrun"/>
          <w:rFonts w:ascii="Segoe UI" w:hAnsi="Segoe UI" w:cs="Segoe UI"/>
          <w:b/>
          <w:bCs/>
          <w:sz w:val="16"/>
          <w:szCs w:val="16"/>
          <w:lang w:val="sr-Latn-RS"/>
        </w:rPr>
        <w:t>O kompaniji Henkel</w:t>
      </w:r>
      <w:r w:rsidRPr="00647B71">
        <w:rPr>
          <w:rStyle w:val="eop"/>
          <w:rFonts w:ascii="Segoe UI" w:hAnsi="Segoe UI" w:cs="Segoe UI"/>
          <w:sz w:val="16"/>
          <w:szCs w:val="16"/>
        </w:rPr>
        <w:t> </w:t>
      </w:r>
    </w:p>
    <w:p w14:paraId="3A710118" w14:textId="77777777" w:rsidR="00647B71" w:rsidRPr="00647B71" w:rsidRDefault="00647B71" w:rsidP="00647B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  <w:lang w:val="sr-Latn-CS"/>
        </w:rPr>
      </w:pPr>
      <w:r w:rsidRPr="00647B71">
        <w:rPr>
          <w:rStyle w:val="normaltextrun"/>
          <w:rFonts w:ascii="Segoe UI" w:hAnsi="Segoe UI" w:cs="Segoe UI"/>
          <w:sz w:val="16"/>
          <w:szCs w:val="16"/>
          <w:lang w:val="sr-Latn-RS"/>
        </w:rPr>
        <w:t xml:space="preserve">Henkel, sa svojim brendovima, inovacijama i tehnologijama, zauzima vodeće pozicije na tržištu širom sveta u industrijskom i potrošačkom sektoru. Poslovni sektor Adhezivi Tehnologije je globalni lider na tržištu lepkova, zaptivača i funkcionalnih premaza. Sa sektorom Consumer Brands, kompanija drži vodeće pozicije posebno u sektorima pranja veša i održavanja domaćinstva i nege kose na mnogim tržištima i kategorijama širom sveta. Tri najjača brenda kompanije su Loctite, Persil i Schwarzkopf. U fiskalnoj 2023. godini, Henkel je ostvario prodaju od preko 21,5 milijarde evra i prilagođeni operativni profit od oko 2,6 milijarde evra. Prioritetne akcije Henkel-a su uvrštene u nemački indeks DAX. Održivost ima dugu tradiciju u Henkel-u, a kompanija ima jasnu strategiju održivosti sa specifičnim ciljevima. Henkel je osnovan 1876. godine i danas zapošljava raznovrsni tim od više od 48.000 ljudi širom sveta - ujedinjen jakom korporativnom kulturom, deljenim vrednostima i zajedničkom svrhom: „Pioneers at heart for the good of generations“. Za više informacija, molimo vas posetite </w:t>
      </w:r>
      <w:hyperlink r:id="rId12" w:history="1">
        <w:r w:rsidRPr="00647B71">
          <w:rPr>
            <w:rStyle w:val="Hyperlink"/>
            <w:rFonts w:cs="Segoe UI"/>
            <w:sz w:val="16"/>
            <w:szCs w:val="16"/>
            <w:lang w:val="sr-Latn-RS"/>
          </w:rPr>
          <w:t>www.henkel.rs</w:t>
        </w:r>
      </w:hyperlink>
    </w:p>
    <w:p w14:paraId="1C43C7D8" w14:textId="77777777" w:rsidR="00647B71" w:rsidRDefault="00647B71" w:rsidP="00647B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6F565FF0" w14:textId="77777777" w:rsidR="00647B71" w:rsidRPr="00647B71" w:rsidRDefault="00647B71" w:rsidP="00647B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647B71">
        <w:rPr>
          <w:rStyle w:val="normaltextrun"/>
          <w:rFonts w:ascii="Segoe UI" w:hAnsi="Segoe UI" w:cs="Segoe UI"/>
          <w:b/>
          <w:bCs/>
          <w:sz w:val="16"/>
          <w:szCs w:val="16"/>
          <w:lang w:val="sr-Latn-RS"/>
        </w:rPr>
        <w:t xml:space="preserve">Foto materijali dostupni na </w:t>
      </w:r>
      <w:hyperlink r:id="rId13" w:tgtFrame="_blank" w:history="1">
        <w:r w:rsidRPr="00647B71">
          <w:rPr>
            <w:rStyle w:val="normaltextrun"/>
            <w:rFonts w:ascii="Segoe UI" w:hAnsi="Segoe UI" w:cs="Segoe UI"/>
            <w:b/>
            <w:bCs/>
            <w:color w:val="0000FF"/>
            <w:sz w:val="16"/>
            <w:szCs w:val="16"/>
            <w:u w:val="single"/>
            <w:lang w:val="sr-Latn-RS"/>
          </w:rPr>
          <w:t>www.henkel.com/press</w:t>
        </w:r>
      </w:hyperlink>
      <w:r w:rsidRPr="00647B71">
        <w:rPr>
          <w:rStyle w:val="eop"/>
          <w:rFonts w:ascii="Segoe UI" w:hAnsi="Segoe UI" w:cs="Segoe UI"/>
          <w:sz w:val="16"/>
          <w:szCs w:val="16"/>
        </w:rPr>
        <w:t> </w:t>
      </w:r>
    </w:p>
    <w:p w14:paraId="5FAB7C69" w14:textId="77777777" w:rsidR="00647B71" w:rsidRDefault="00647B71" w:rsidP="00647B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2E2642D" w14:textId="1C271F6D" w:rsidR="00647B71" w:rsidRPr="00647B71" w:rsidRDefault="00647B71" w:rsidP="00647B71">
      <w:pPr>
        <w:pStyle w:val="paragraph"/>
        <w:spacing w:before="0" w:beforeAutospacing="0" w:after="0" w:afterAutospacing="0"/>
        <w:jc w:val="both"/>
        <w:textAlignment w:val="baseline"/>
        <w:rPr>
          <w:rStyle w:val="AboutandContactBody"/>
          <w:rFonts w:cs="Segoe UI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22A08CE" w14:textId="77777777" w:rsidR="00647B71" w:rsidRPr="00F40775" w:rsidRDefault="00647B71" w:rsidP="00647B71">
      <w:pPr>
        <w:tabs>
          <w:tab w:val="left" w:pos="1080"/>
          <w:tab w:val="left" w:pos="4500"/>
        </w:tabs>
        <w:rPr>
          <w:rStyle w:val="AboutandContactBody"/>
          <w:lang w:val="pt-PT"/>
        </w:rPr>
      </w:pPr>
      <w:r w:rsidRPr="00F40775">
        <w:rPr>
          <w:rStyle w:val="AboutandContactBody"/>
          <w:lang w:val="pt-PT"/>
        </w:rPr>
        <w:t>Kontakt</w:t>
      </w:r>
      <w:r w:rsidRPr="00F40775">
        <w:rPr>
          <w:rStyle w:val="AboutandContactBody"/>
          <w:lang w:val="pt-PT"/>
        </w:rPr>
        <w:tab/>
        <w:t>Jelena Gavrilović Šarenac</w:t>
      </w:r>
      <w:r w:rsidRPr="00F40775">
        <w:rPr>
          <w:rStyle w:val="AboutandContactBody"/>
          <w:lang w:val="pt-PT"/>
        </w:rPr>
        <w:tab/>
        <w:t>Ana Rončević</w:t>
      </w:r>
    </w:p>
    <w:p w14:paraId="51A0CDC8" w14:textId="77777777" w:rsidR="00647B71" w:rsidRPr="00F40775" w:rsidRDefault="00647B71" w:rsidP="00647B71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Telefon</w:t>
      </w:r>
      <w:r w:rsidRPr="00F40775">
        <w:rPr>
          <w:rStyle w:val="AboutandContactBody"/>
          <w:lang w:val="it-IT"/>
        </w:rPr>
        <w:tab/>
        <w:t>+381 60 207</w:t>
      </w:r>
      <w:r>
        <w:rPr>
          <w:rStyle w:val="AboutandContactBody"/>
          <w:lang w:val="it-IT"/>
        </w:rPr>
        <w:t xml:space="preserve"> </w:t>
      </w:r>
      <w:r w:rsidRPr="00F40775">
        <w:rPr>
          <w:rStyle w:val="AboutandContactBody"/>
          <w:lang w:val="it-IT"/>
        </w:rPr>
        <w:t>22 09</w:t>
      </w:r>
      <w:r w:rsidRPr="00F40775">
        <w:rPr>
          <w:rStyle w:val="AboutandContactBody"/>
          <w:lang w:val="it-IT"/>
        </w:rPr>
        <w:tab/>
      </w:r>
      <w:r w:rsidRPr="00F40775">
        <w:rPr>
          <w:sz w:val="18"/>
          <w:szCs w:val="18"/>
          <w:lang w:val="it-IT"/>
        </w:rPr>
        <w:t>+381 11 207 21 99</w:t>
      </w:r>
    </w:p>
    <w:p w14:paraId="210350BE" w14:textId="77777777" w:rsidR="00647B71" w:rsidRPr="00F40775" w:rsidRDefault="00647B71" w:rsidP="00647B71">
      <w:pPr>
        <w:tabs>
          <w:tab w:val="left" w:pos="1080"/>
          <w:tab w:val="left" w:pos="4500"/>
        </w:tabs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Email</w:t>
      </w:r>
      <w:r w:rsidRPr="00F40775">
        <w:rPr>
          <w:rStyle w:val="AboutandContactBody"/>
          <w:lang w:val="it-IT"/>
        </w:rPr>
        <w:tab/>
        <w:t>jelena.sarenac@henkel.com</w:t>
      </w:r>
      <w:r w:rsidRPr="00F40775">
        <w:rPr>
          <w:rStyle w:val="AboutandContactBody"/>
          <w:lang w:val="it-IT"/>
        </w:rPr>
        <w:tab/>
        <w:t>ana.roncevic@henkel.com</w:t>
      </w:r>
    </w:p>
    <w:p w14:paraId="173D4FC2" w14:textId="77777777" w:rsidR="00647B71" w:rsidRDefault="00647B71" w:rsidP="00647B71">
      <w:pPr>
        <w:rPr>
          <w:rStyle w:val="AboutandContactBody"/>
          <w:lang w:val="it-IT"/>
        </w:rPr>
      </w:pPr>
    </w:p>
    <w:p w14:paraId="26298AF0" w14:textId="77777777" w:rsidR="00647B71" w:rsidRPr="00F40775" w:rsidRDefault="00647B71" w:rsidP="00647B71">
      <w:pPr>
        <w:rPr>
          <w:rStyle w:val="AboutandContactBody"/>
          <w:lang w:val="it-IT"/>
        </w:rPr>
      </w:pPr>
      <w:r w:rsidRPr="00F40775">
        <w:rPr>
          <w:rStyle w:val="AboutandContactBody"/>
          <w:lang w:val="it-IT"/>
        </w:rPr>
        <w:t>Henkel Srbija d.o.o.</w:t>
      </w:r>
    </w:p>
    <w:p w14:paraId="22C3DB47" w14:textId="77777777" w:rsidR="00647B71" w:rsidRPr="00E23EC8" w:rsidRDefault="00647B71" w:rsidP="00647B71">
      <w:pPr>
        <w:rPr>
          <w:rFonts w:cs="Segoe UI"/>
          <w:szCs w:val="22"/>
          <w:lang w:val="it-IT"/>
        </w:rPr>
      </w:pPr>
      <w:hyperlink r:id="rId14" w:history="1">
        <w:r w:rsidRPr="00087B2F">
          <w:rPr>
            <w:rStyle w:val="Hyperlink"/>
            <w:rFonts w:cs="Segoe UI"/>
            <w:sz w:val="22"/>
            <w:szCs w:val="22"/>
            <w:lang w:val="it-IT"/>
          </w:rPr>
          <w:t>www.henkel.rs</w:t>
        </w:r>
      </w:hyperlink>
    </w:p>
    <w:p w14:paraId="0AE9B6D5" w14:textId="4317D1AF" w:rsidR="00385185" w:rsidRPr="00647B71" w:rsidRDefault="00385185" w:rsidP="00643D8A">
      <w:pPr>
        <w:rPr>
          <w:rFonts w:cs="Segoe UI"/>
          <w:szCs w:val="22"/>
          <w:lang w:val="sr-SP"/>
        </w:rPr>
      </w:pPr>
    </w:p>
    <w:p w14:paraId="1CAE75D3" w14:textId="3F5B019F" w:rsidR="00112A28" w:rsidRPr="00647B71" w:rsidRDefault="00112A28" w:rsidP="001577E9">
      <w:pPr>
        <w:rPr>
          <w:rStyle w:val="AboutandContactBody"/>
          <w:lang w:val="sr-Latn-RS"/>
        </w:rPr>
      </w:pPr>
    </w:p>
    <w:sectPr w:rsidR="00112A28" w:rsidRPr="00647B71" w:rsidSect="003677DB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B3B96" w14:textId="77777777" w:rsidR="005A15E5" w:rsidRDefault="005A15E5">
      <w:r>
        <w:separator/>
      </w:r>
    </w:p>
  </w:endnote>
  <w:endnote w:type="continuationSeparator" w:id="0">
    <w:p w14:paraId="0F078AEA" w14:textId="77777777" w:rsidR="005A15E5" w:rsidRDefault="005A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8F11" w14:textId="3EB48637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5ED6DBF" wp14:editId="30982928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48336825" wp14:editId="772F37D8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69F2161D" wp14:editId="07473420">
          <wp:extent cx="228966" cy="211777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5" cy="217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7882A986" wp14:editId="5F00F048">
          <wp:extent cx="613927" cy="247972"/>
          <wp:effectExtent l="0" t="0" r="0" b="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07" cy="24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3FB08666" wp14:editId="7220C08E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0521CD">
      <w:rPr>
        <w:rFonts w:cs="Arial"/>
        <w:szCs w:val="14"/>
      </w:rPr>
      <w:drawing>
        <wp:inline distT="0" distB="0" distL="0" distR="0" wp14:anchorId="0FA96498" wp14:editId="33410C41">
          <wp:extent cx="278765" cy="198738"/>
          <wp:effectExtent l="0" t="0" r="6985" b="0"/>
          <wp:docPr id="139138142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81429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154" cy="22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01E7DEF2" wp14:editId="37609E4A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5D4B9076" wp14:editId="36F1EAFD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9276B06" wp14:editId="68418E02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18C63BA6" wp14:editId="07EB1F7B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21CD" w:rsidRPr="00E23EC8">
      <w:rPr>
        <w:rFonts w:cs="Arial"/>
        <w:szCs w:val="14"/>
      </w:rPr>
      <w:drawing>
        <wp:inline distT="0" distB="0" distL="0" distR="0" wp14:anchorId="2E8DBB7B" wp14:editId="0E5E2CD0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    </w:t>
    </w:r>
    <w:r w:rsidR="000521CD" w:rsidRPr="000521CD">
      <w:rPr>
        <w:rFonts w:cs="Arial"/>
        <w:szCs w:val="14"/>
      </w:rPr>
      <w:br/>
    </w:r>
    <w:r w:rsidRPr="00E23EC8">
      <w:rPr>
        <w:rFonts w:cs="Arial"/>
        <w:szCs w:val="14"/>
      </w:rPr>
      <w:t xml:space="preserve">    </w:t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32F4" w14:textId="77777777" w:rsidR="005A15E5" w:rsidRDefault="005A15E5">
      <w:r>
        <w:separator/>
      </w:r>
    </w:p>
  </w:footnote>
  <w:footnote w:type="continuationSeparator" w:id="0">
    <w:p w14:paraId="35B6D7C1" w14:textId="77777777" w:rsidR="005A15E5" w:rsidRDefault="005A1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F4F23F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</w:t>
    </w:r>
    <w:proofErr w:type="spellStart"/>
    <w:r w:rsidR="003677DB">
      <w:t>Saopštenje</w:t>
    </w:r>
    <w:proofErr w:type="spellEnd"/>
    <w:r w:rsidR="003677DB">
      <w:t xml:space="preserve"> za </w:t>
    </w:r>
    <w:proofErr w:type="spellStart"/>
    <w:r w:rsidR="003677DB">
      <w:t>javnost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7688"/>
    <w:multiLevelType w:val="hybridMultilevel"/>
    <w:tmpl w:val="1A300A02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1223DA"/>
    <w:multiLevelType w:val="multilevel"/>
    <w:tmpl w:val="1B8E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207552"/>
    <w:multiLevelType w:val="hybridMultilevel"/>
    <w:tmpl w:val="29305BF6"/>
    <w:lvl w:ilvl="0" w:tplc="645A6B9C">
      <w:numFmt w:val="bullet"/>
      <w:lvlText w:val="-"/>
      <w:lvlJc w:val="left"/>
      <w:pPr>
        <w:ind w:left="1077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82D4262"/>
    <w:multiLevelType w:val="multilevel"/>
    <w:tmpl w:val="C8D05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82679"/>
    <w:multiLevelType w:val="hybridMultilevel"/>
    <w:tmpl w:val="5D54F0FA"/>
    <w:lvl w:ilvl="0" w:tplc="0C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52BEE"/>
    <w:multiLevelType w:val="multilevel"/>
    <w:tmpl w:val="F24A8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9"/>
  </w:num>
  <w:num w:numId="4" w16cid:durableId="1658344630">
    <w:abstractNumId w:val="7"/>
  </w:num>
  <w:num w:numId="5" w16cid:durableId="2132553883">
    <w:abstractNumId w:val="3"/>
  </w:num>
  <w:num w:numId="6" w16cid:durableId="545726518">
    <w:abstractNumId w:val="8"/>
  </w:num>
  <w:num w:numId="7" w16cid:durableId="1223445697">
    <w:abstractNumId w:val="6"/>
  </w:num>
  <w:num w:numId="8" w16cid:durableId="744382081">
    <w:abstractNumId w:val="4"/>
  </w:num>
  <w:num w:numId="9" w16cid:durableId="1778940687">
    <w:abstractNumId w:val="11"/>
  </w:num>
  <w:num w:numId="10" w16cid:durableId="1217666325">
    <w:abstractNumId w:val="10"/>
  </w:num>
  <w:num w:numId="11" w16cid:durableId="1462573007">
    <w:abstractNumId w:val="2"/>
  </w:num>
  <w:num w:numId="12" w16cid:durableId="3003040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DD9"/>
    <w:rsid w:val="00021C67"/>
    <w:rsid w:val="00030557"/>
    <w:rsid w:val="00030F51"/>
    <w:rsid w:val="00035A84"/>
    <w:rsid w:val="00040CC9"/>
    <w:rsid w:val="00051E86"/>
    <w:rsid w:val="000521CD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B7B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687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7DB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3F66F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15E5"/>
    <w:rsid w:val="005A3846"/>
    <w:rsid w:val="005B1F0C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47B71"/>
    <w:rsid w:val="006513EB"/>
    <w:rsid w:val="00652229"/>
    <w:rsid w:val="00652793"/>
    <w:rsid w:val="00652D7A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5581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1BF2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52A1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5432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4C02"/>
    <w:rsid w:val="00B16270"/>
    <w:rsid w:val="00B2685D"/>
    <w:rsid w:val="00B30351"/>
    <w:rsid w:val="00B33C2A"/>
    <w:rsid w:val="00B41DF5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258B8"/>
    <w:rsid w:val="00C3758F"/>
    <w:rsid w:val="00C40B88"/>
    <w:rsid w:val="00C42C93"/>
    <w:rsid w:val="00C43854"/>
    <w:rsid w:val="00C47D87"/>
    <w:rsid w:val="00C5376E"/>
    <w:rsid w:val="00C6011B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96D4C"/>
    <w:rsid w:val="00DA1E18"/>
    <w:rsid w:val="00DA2009"/>
    <w:rsid w:val="00DA47B4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3EC8"/>
    <w:rsid w:val="00E25AEA"/>
    <w:rsid w:val="00E279A9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734"/>
    <w:rsid w:val="00FD0A38"/>
    <w:rsid w:val="00FD2BD3"/>
    <w:rsid w:val="00FD4CCA"/>
    <w:rsid w:val="00FE2A9E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paragraph">
    <w:name w:val="paragraph"/>
    <w:basedOn w:val="Normal"/>
    <w:rsid w:val="00C6011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r-SP" w:eastAsia="sr-SP"/>
    </w:rPr>
  </w:style>
  <w:style w:type="character" w:customStyle="1" w:styleId="normaltextrun">
    <w:name w:val="normaltextrun"/>
    <w:basedOn w:val="DefaultParagraphFont"/>
    <w:rsid w:val="00C6011B"/>
  </w:style>
  <w:style w:type="character" w:customStyle="1" w:styleId="eop">
    <w:name w:val="eop"/>
    <w:basedOn w:val="DefaultParagraphFont"/>
    <w:rsid w:val="00C6011B"/>
  </w:style>
  <w:style w:type="character" w:customStyle="1" w:styleId="tabchar">
    <w:name w:val="tabchar"/>
    <w:basedOn w:val="DefaultParagraphFont"/>
    <w:rsid w:val="00C6011B"/>
  </w:style>
  <w:style w:type="paragraph" w:styleId="ListParagraph">
    <w:name w:val="List Paragraph"/>
    <w:basedOn w:val="Normal"/>
    <w:uiPriority w:val="34"/>
    <w:qFormat/>
    <w:rsid w:val="00C6011B"/>
    <w:pPr>
      <w:ind w:left="720"/>
      <w:contextualSpacing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r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rs/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1078</Words>
  <Characters>6722</Characters>
  <Application>Microsoft Office Word</Application>
  <DocSecurity>2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Ana Roncevic (ext)</cp:lastModifiedBy>
  <cp:revision>3</cp:revision>
  <cp:lastPrinted>2016-11-16T01:11:00Z</cp:lastPrinted>
  <dcterms:created xsi:type="dcterms:W3CDTF">2024-03-07T14:44:00Z</dcterms:created>
  <dcterms:modified xsi:type="dcterms:W3CDTF">2024-03-11T11:41:00Z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