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218E2A3C" w:rsidR="005742B4" w:rsidRPr="00A110E3" w:rsidRDefault="00C74696">
      <w:pPr>
        <w:pStyle w:val="MonthDayYear"/>
        <w:rPr>
          <w:lang w:val="cs-CZ"/>
        </w:rPr>
      </w:pPr>
      <w:r>
        <w:rPr>
          <w:lang w:val="cs-CZ"/>
        </w:rPr>
        <w:t>13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prosinec</w:t>
      </w:r>
      <w:r w:rsidR="007D354B" w:rsidRPr="00A110E3">
        <w:rPr>
          <w:lang w:val="cs-CZ"/>
        </w:rPr>
        <w:t xml:space="preserve"> 2023</w:t>
      </w:r>
    </w:p>
    <w:p w14:paraId="10397604" w14:textId="77777777" w:rsidR="00FB7A5A" w:rsidRDefault="00FB7A5A" w:rsidP="00FB7A5A">
      <w:pPr>
        <w:pStyle w:val="Predvolen"/>
        <w:spacing w:before="0" w:line="280" w:lineRule="auto"/>
        <w:ind w:right="553"/>
        <w:rPr>
          <w:rFonts w:ascii="Segoe UI" w:hAnsi="Segoe UI" w:cs="Segoe UI"/>
          <w:color w:val="475364"/>
          <w:sz w:val="22"/>
          <w:szCs w:val="22"/>
        </w:rPr>
      </w:pPr>
    </w:p>
    <w:p w14:paraId="51AA24EE" w14:textId="71325359" w:rsidR="005742B4" w:rsidRPr="001F7711" w:rsidRDefault="00FB7A5A" w:rsidP="001F7711">
      <w:proofErr w:type="spellStart"/>
      <w:r w:rsidRPr="00FB7A5A">
        <w:t>Recyklovaný</w:t>
      </w:r>
      <w:proofErr w:type="spellEnd"/>
      <w:r w:rsidRPr="00FB7A5A">
        <w:t xml:space="preserve"> </w:t>
      </w:r>
      <w:proofErr w:type="spellStart"/>
      <w:r w:rsidRPr="00FB7A5A">
        <w:t>papír</w:t>
      </w:r>
      <w:proofErr w:type="spellEnd"/>
      <w:r w:rsidRPr="00FB7A5A">
        <w:t xml:space="preserve"> </w:t>
      </w:r>
      <w:proofErr w:type="spellStart"/>
      <w:r w:rsidRPr="00FB7A5A">
        <w:t>tvoří</w:t>
      </w:r>
      <w:proofErr w:type="spellEnd"/>
      <w:r w:rsidRPr="00FB7A5A">
        <w:t xml:space="preserve"> 90 % </w:t>
      </w:r>
      <w:proofErr w:type="spellStart"/>
      <w:r w:rsidRPr="00FB7A5A">
        <w:t>inovativních</w:t>
      </w:r>
      <w:proofErr w:type="spellEnd"/>
      <w:r w:rsidRPr="00FB7A5A">
        <w:t xml:space="preserve"> </w:t>
      </w:r>
      <w:proofErr w:type="spellStart"/>
      <w:r w:rsidRPr="00FB7A5A">
        <w:t>obalů</w:t>
      </w:r>
      <w:proofErr w:type="spellEnd"/>
      <w:r w:rsidRPr="00FB7A5A">
        <w:t xml:space="preserve"> </w:t>
      </w:r>
      <w:proofErr w:type="spellStart"/>
      <w:r w:rsidRPr="00FB7A5A">
        <w:t>určených</w:t>
      </w:r>
      <w:proofErr w:type="spellEnd"/>
      <w:r w:rsidRPr="00FB7A5A">
        <w:t xml:space="preserve"> pro </w:t>
      </w:r>
      <w:proofErr w:type="spellStart"/>
      <w:r w:rsidRPr="00FB7A5A">
        <w:t>elektronický</w:t>
      </w:r>
      <w:proofErr w:type="spellEnd"/>
      <w:r w:rsidRPr="00FB7A5A">
        <w:t xml:space="preserve"> </w:t>
      </w:r>
      <w:proofErr w:type="spellStart"/>
      <w:r w:rsidRPr="00FB7A5A">
        <w:t>obchod</w:t>
      </w:r>
      <w:proofErr w:type="spellEnd"/>
    </w:p>
    <w:p w14:paraId="50664C58" w14:textId="77777777" w:rsidR="001F7711" w:rsidRDefault="001F7711">
      <w:pPr>
        <w:rPr>
          <w:rStyle w:val="Headline"/>
          <w:lang w:val="cs-CZ"/>
        </w:rPr>
      </w:pPr>
    </w:p>
    <w:p w14:paraId="7D5D4AC7" w14:textId="77777777" w:rsidR="001F7711" w:rsidRPr="001F7711" w:rsidRDefault="001F7711" w:rsidP="001F7711">
      <w:pPr>
        <w:rPr>
          <w:b/>
          <w:bCs/>
          <w:sz w:val="32"/>
          <w:szCs w:val="32"/>
        </w:rPr>
      </w:pPr>
      <w:r w:rsidRPr="001F7711">
        <w:rPr>
          <w:b/>
          <w:bCs/>
          <w:sz w:val="32"/>
          <w:szCs w:val="32"/>
        </w:rPr>
        <w:t xml:space="preserve">Pritt a Loctite </w:t>
      </w:r>
      <w:proofErr w:type="spellStart"/>
      <w:r w:rsidRPr="001F7711">
        <w:rPr>
          <w:b/>
          <w:bCs/>
          <w:sz w:val="32"/>
          <w:szCs w:val="32"/>
        </w:rPr>
        <w:t>zavádějí</w:t>
      </w:r>
      <w:proofErr w:type="spellEnd"/>
      <w:r w:rsidRPr="001F7711">
        <w:rPr>
          <w:b/>
          <w:bCs/>
          <w:sz w:val="32"/>
          <w:szCs w:val="32"/>
        </w:rPr>
        <w:t xml:space="preserve"> </w:t>
      </w:r>
      <w:proofErr w:type="spellStart"/>
      <w:r w:rsidRPr="001F7711">
        <w:rPr>
          <w:b/>
          <w:bCs/>
          <w:sz w:val="32"/>
          <w:szCs w:val="32"/>
        </w:rPr>
        <w:t>při</w:t>
      </w:r>
      <w:proofErr w:type="spellEnd"/>
      <w:r w:rsidRPr="001F7711">
        <w:rPr>
          <w:b/>
          <w:bCs/>
          <w:sz w:val="32"/>
          <w:szCs w:val="32"/>
        </w:rPr>
        <w:t xml:space="preserve"> </w:t>
      </w:r>
      <w:proofErr w:type="spellStart"/>
      <w:r w:rsidRPr="001F7711">
        <w:rPr>
          <w:b/>
          <w:bCs/>
          <w:sz w:val="32"/>
          <w:szCs w:val="32"/>
        </w:rPr>
        <w:t>doručování</w:t>
      </w:r>
      <w:proofErr w:type="spellEnd"/>
      <w:r w:rsidRPr="001F7711">
        <w:rPr>
          <w:b/>
          <w:bCs/>
          <w:sz w:val="32"/>
          <w:szCs w:val="32"/>
        </w:rPr>
        <w:t xml:space="preserve"> online </w:t>
      </w:r>
      <w:proofErr w:type="spellStart"/>
      <w:r w:rsidRPr="001F7711">
        <w:rPr>
          <w:b/>
          <w:bCs/>
          <w:sz w:val="32"/>
          <w:szCs w:val="32"/>
        </w:rPr>
        <w:t>nákupů</w:t>
      </w:r>
      <w:proofErr w:type="spellEnd"/>
      <w:r w:rsidRPr="001F7711">
        <w:rPr>
          <w:b/>
          <w:bCs/>
          <w:sz w:val="32"/>
          <w:szCs w:val="32"/>
        </w:rPr>
        <w:t xml:space="preserve"> </w:t>
      </w:r>
      <w:proofErr w:type="spellStart"/>
      <w:r w:rsidRPr="001F7711">
        <w:rPr>
          <w:b/>
          <w:bCs/>
          <w:sz w:val="32"/>
          <w:szCs w:val="32"/>
        </w:rPr>
        <w:t>obálky</w:t>
      </w:r>
      <w:proofErr w:type="spellEnd"/>
      <w:r w:rsidRPr="001F7711">
        <w:rPr>
          <w:b/>
          <w:bCs/>
          <w:sz w:val="32"/>
          <w:szCs w:val="32"/>
        </w:rPr>
        <w:t xml:space="preserve"> s </w:t>
      </w:r>
      <w:proofErr w:type="spellStart"/>
      <w:r w:rsidRPr="001F7711">
        <w:rPr>
          <w:b/>
          <w:bCs/>
          <w:sz w:val="32"/>
          <w:szCs w:val="32"/>
        </w:rPr>
        <w:t>technologií</w:t>
      </w:r>
      <w:proofErr w:type="spellEnd"/>
      <w:r w:rsidRPr="001F7711">
        <w:rPr>
          <w:b/>
          <w:bCs/>
          <w:sz w:val="32"/>
          <w:szCs w:val="32"/>
        </w:rPr>
        <w:t xml:space="preserve"> EPIX</w:t>
      </w:r>
    </w:p>
    <w:p w14:paraId="51AA24F0" w14:textId="77777777" w:rsidR="005742B4" w:rsidRPr="001F7711" w:rsidRDefault="005742B4">
      <w:pPr>
        <w:rPr>
          <w:lang w:val="sk-SK"/>
        </w:rPr>
      </w:pPr>
    </w:p>
    <w:p w14:paraId="7ED12BE3" w14:textId="77777777" w:rsidR="00D93882" w:rsidRPr="00D93882" w:rsidRDefault="00D93882" w:rsidP="00D93882">
      <w:pPr>
        <w:rPr>
          <w:lang w:val="cs-CZ"/>
        </w:rPr>
      </w:pPr>
      <w:r w:rsidRPr="00D93882">
        <w:rPr>
          <w:lang w:val="cs-CZ"/>
        </w:rPr>
        <w:t xml:space="preserve">Düsseldorf – Spotřebitelům, kteří si koupí lepidla </w:t>
      </w:r>
      <w:proofErr w:type="spellStart"/>
      <w:r w:rsidRPr="00D93882">
        <w:rPr>
          <w:lang w:val="cs-CZ"/>
        </w:rPr>
        <w:t>Pritt</w:t>
      </w:r>
      <w:proofErr w:type="spellEnd"/>
      <w:r w:rsidRPr="00D93882">
        <w:rPr>
          <w:lang w:val="cs-CZ"/>
        </w:rPr>
        <w:t xml:space="preserve"> a </w:t>
      </w:r>
      <w:proofErr w:type="spellStart"/>
      <w:r w:rsidRPr="00D93882">
        <w:rPr>
          <w:lang w:val="cs-CZ"/>
        </w:rPr>
        <w:t>Loctite</w:t>
      </w:r>
      <w:proofErr w:type="spellEnd"/>
      <w:r w:rsidRPr="00D93882">
        <w:rPr>
          <w:lang w:val="cs-CZ"/>
        </w:rPr>
        <w:t xml:space="preserve"> online, budou výrobky doručovány v udržitelnějších obalech. Při těchto oblíbených značkách budou nové obálky s výplní využívat inovativní technologii EPIX od společnosti </w:t>
      </w:r>
      <w:proofErr w:type="spellStart"/>
      <w:r w:rsidRPr="00D93882">
        <w:rPr>
          <w:lang w:val="cs-CZ"/>
        </w:rPr>
        <w:t>Henkel</w:t>
      </w:r>
      <w:proofErr w:type="spellEnd"/>
      <w:r w:rsidRPr="00D93882">
        <w:rPr>
          <w:lang w:val="cs-CZ"/>
        </w:rPr>
        <w:t xml:space="preserve">, která ochrání výrobky až do momentu jejich doručení zákazníkům, kteří nakupují v elektronickém obchodě. Obaly sestávají z 90 % procent z recyklovaného papíru přičemž jsou certifikované institutem Institut </w:t>
      </w:r>
      <w:proofErr w:type="spellStart"/>
      <w:r w:rsidRPr="00D93882">
        <w:rPr>
          <w:lang w:val="cs-CZ"/>
        </w:rPr>
        <w:t>cyclos</w:t>
      </w:r>
      <w:proofErr w:type="spellEnd"/>
      <w:r w:rsidRPr="00D93882">
        <w:rPr>
          <w:lang w:val="cs-CZ"/>
        </w:rPr>
        <w:t>-HTP jako recyklovatelné materiály a zároveň nabízejí širokou škálu dalších výhod ve srovnání s tradičními obaly.</w:t>
      </w:r>
    </w:p>
    <w:p w14:paraId="398D94FB" w14:textId="77777777" w:rsidR="00D93882" w:rsidRPr="00D93882" w:rsidRDefault="00D93882" w:rsidP="00D93882">
      <w:pPr>
        <w:rPr>
          <w:lang w:val="cs-CZ"/>
        </w:rPr>
      </w:pPr>
    </w:p>
    <w:p w14:paraId="07994238" w14:textId="77777777" w:rsidR="00D93882" w:rsidRPr="00D93882" w:rsidRDefault="00D93882" w:rsidP="00D93882">
      <w:pPr>
        <w:rPr>
          <w:lang w:val="cs-CZ"/>
        </w:rPr>
      </w:pPr>
      <w:r w:rsidRPr="00D93882">
        <w:rPr>
          <w:lang w:val="cs-CZ"/>
        </w:rPr>
        <w:t xml:space="preserve">Online nakupování umožňuje pořídit si lepidla značek </w:t>
      </w:r>
      <w:proofErr w:type="spellStart"/>
      <w:r w:rsidRPr="00D93882">
        <w:rPr>
          <w:lang w:val="cs-CZ"/>
        </w:rPr>
        <w:t>Pritt</w:t>
      </w:r>
      <w:proofErr w:type="spellEnd"/>
      <w:r w:rsidRPr="00D93882">
        <w:rPr>
          <w:lang w:val="cs-CZ"/>
        </w:rPr>
        <w:t xml:space="preserve"> a </w:t>
      </w:r>
      <w:proofErr w:type="spellStart"/>
      <w:r w:rsidRPr="00D93882">
        <w:rPr>
          <w:lang w:val="cs-CZ"/>
        </w:rPr>
        <w:t>Loctite</w:t>
      </w:r>
      <w:proofErr w:type="spellEnd"/>
      <w:r w:rsidRPr="00D93882">
        <w:rPr>
          <w:lang w:val="cs-CZ"/>
        </w:rPr>
        <w:t xml:space="preserve"> pro různé řemeslné projekty snáz než kdykoli předtím. S tím přichází i zlepšení udržitelnosti, protože výrobky těchto značek jsou některými kanály elektronického obchodu doručovány zákazníkům v obálkách s patentovanou technologií EPIX společnosti </w:t>
      </w:r>
      <w:proofErr w:type="spellStart"/>
      <w:r w:rsidRPr="00D93882">
        <w:rPr>
          <w:lang w:val="cs-CZ"/>
        </w:rPr>
        <w:t>Henkel</w:t>
      </w:r>
      <w:proofErr w:type="spellEnd"/>
      <w:r w:rsidRPr="00D93882">
        <w:rPr>
          <w:lang w:val="cs-CZ"/>
        </w:rPr>
        <w:t>. Tato technologie rozšiřuje možnosti papíru a pomáhá redukovat množství plastů používaných k balení produktů.</w:t>
      </w:r>
    </w:p>
    <w:p w14:paraId="1D8E1A70" w14:textId="77777777" w:rsidR="00D93882" w:rsidRPr="00D93882" w:rsidRDefault="00D93882" w:rsidP="00D93882">
      <w:pPr>
        <w:rPr>
          <w:lang w:val="cs-CZ"/>
        </w:rPr>
      </w:pPr>
    </w:p>
    <w:p w14:paraId="6F990816" w14:textId="77777777" w:rsidR="00D93882" w:rsidRPr="00D93882" w:rsidRDefault="00D93882" w:rsidP="00D93882">
      <w:pPr>
        <w:rPr>
          <w:lang w:val="cs-CZ"/>
        </w:rPr>
      </w:pPr>
      <w:r w:rsidRPr="00D93882">
        <w:rPr>
          <w:lang w:val="cs-CZ"/>
        </w:rPr>
        <w:t xml:space="preserve">Nové obálky vyžadují méně materiálu než standardní obaly, protože jsou speciálně navrženy pro produkty nabízené společnostmi </w:t>
      </w:r>
      <w:proofErr w:type="spellStart"/>
      <w:r w:rsidRPr="00D93882">
        <w:rPr>
          <w:lang w:val="cs-CZ"/>
        </w:rPr>
        <w:t>Pritt</w:t>
      </w:r>
      <w:proofErr w:type="spellEnd"/>
      <w:r w:rsidRPr="00D93882">
        <w:rPr>
          <w:lang w:val="cs-CZ"/>
        </w:rPr>
        <w:t xml:space="preserve"> a </w:t>
      </w:r>
      <w:proofErr w:type="spellStart"/>
      <w:r w:rsidRPr="00D93882">
        <w:rPr>
          <w:lang w:val="cs-CZ"/>
        </w:rPr>
        <w:t>Loctite</w:t>
      </w:r>
      <w:proofErr w:type="spellEnd"/>
      <w:r w:rsidRPr="00D93882">
        <w:rPr>
          <w:lang w:val="cs-CZ"/>
        </w:rPr>
        <w:t xml:space="preserve"> v rámci elektronického obchodu. Při těchto produktech se eliminují také sekundární obaly, čímž se snižuje spotřeba kartonových a plastových obalů, přičemž produkty lze začít používat ihned po doručení kurýrem. Kromě toho se rychleji a snáz otevírají a zároveň disponují prvky pro ochranu proti neoprávněné manipulaci. Jejich další předností je pružnost.</w:t>
      </w:r>
    </w:p>
    <w:p w14:paraId="5CD8262E" w14:textId="77777777" w:rsidR="00D93882" w:rsidRPr="00D93882" w:rsidRDefault="00D93882" w:rsidP="00D93882">
      <w:pPr>
        <w:rPr>
          <w:lang w:val="cs-CZ"/>
        </w:rPr>
      </w:pPr>
    </w:p>
    <w:p w14:paraId="6B3DAC04" w14:textId="77777777" w:rsidR="00D93882" w:rsidRPr="00D93882" w:rsidRDefault="00D93882" w:rsidP="00D93882">
      <w:pPr>
        <w:rPr>
          <w:lang w:val="cs-CZ"/>
        </w:rPr>
      </w:pPr>
      <w:r w:rsidRPr="00D93882">
        <w:rPr>
          <w:lang w:val="cs-CZ"/>
        </w:rPr>
        <w:t>Výrobky jsou chráněny během celého procesu přepravy až ke spotřebiteli, protože technologie EPIX poskytuje lepší odolnost vůči nárazům než standardní typy obálek včetně bublinkových verzí a jiných papírových alternativ. To znamená, že je lze bezpečně odeslat i bez dalšího obalu, což zjednodušuje manipulaci s výrobkem při balení, jakož i jeho přepravu do místa doručení.</w:t>
      </w:r>
    </w:p>
    <w:p w14:paraId="37FD1894" w14:textId="77777777" w:rsidR="00D93882" w:rsidRPr="00D93882" w:rsidRDefault="00D93882" w:rsidP="00D93882">
      <w:pPr>
        <w:rPr>
          <w:lang w:val="cs-CZ"/>
        </w:rPr>
      </w:pPr>
    </w:p>
    <w:p w14:paraId="03A4BAD0" w14:textId="77777777" w:rsidR="00D93882" w:rsidRPr="00142F34" w:rsidRDefault="00D93882" w:rsidP="00D93882">
      <w:pPr>
        <w:rPr>
          <w:i/>
          <w:iCs/>
          <w:lang w:val="cs-CZ"/>
        </w:rPr>
      </w:pPr>
      <w:r w:rsidRPr="008613A6">
        <w:rPr>
          <w:i/>
          <w:iCs/>
          <w:lang w:val="cs-CZ"/>
        </w:rPr>
        <w:t xml:space="preserve">„Přechod na tyto inovativní obálky s výplní s technologií EPIX je dalším důležitým milníkem v rámci našeho pevného závazku dosáhnout udržitelnosti v oblasti elektronického obchodu,“ </w:t>
      </w:r>
      <w:r w:rsidRPr="00D93882">
        <w:rPr>
          <w:lang w:val="cs-CZ"/>
        </w:rPr>
        <w:t xml:space="preserve">říká Melis </w:t>
      </w:r>
      <w:proofErr w:type="spellStart"/>
      <w:r w:rsidRPr="00D93882">
        <w:rPr>
          <w:lang w:val="cs-CZ"/>
        </w:rPr>
        <w:t>Topoyan</w:t>
      </w:r>
      <w:proofErr w:type="spellEnd"/>
      <w:r w:rsidRPr="00D93882">
        <w:rPr>
          <w:lang w:val="cs-CZ"/>
        </w:rPr>
        <w:t xml:space="preserve">, která zastává funkci </w:t>
      </w:r>
      <w:proofErr w:type="spellStart"/>
      <w:r w:rsidRPr="00D93882">
        <w:rPr>
          <w:lang w:val="cs-CZ"/>
        </w:rPr>
        <w:t>Global</w:t>
      </w:r>
      <w:proofErr w:type="spellEnd"/>
      <w:r w:rsidRPr="00D93882">
        <w:rPr>
          <w:lang w:val="cs-CZ"/>
        </w:rPr>
        <w:t xml:space="preserve"> E-</w:t>
      </w:r>
      <w:proofErr w:type="spellStart"/>
      <w:r w:rsidRPr="00D93882">
        <w:rPr>
          <w:lang w:val="cs-CZ"/>
        </w:rPr>
        <w:t>Commerce</w:t>
      </w:r>
      <w:proofErr w:type="spellEnd"/>
      <w:r w:rsidRPr="00D93882">
        <w:rPr>
          <w:lang w:val="cs-CZ"/>
        </w:rPr>
        <w:t xml:space="preserve"> Portfolio and Innovation Manager v divizi </w:t>
      </w:r>
      <w:proofErr w:type="spellStart"/>
      <w:r w:rsidRPr="00D93882">
        <w:rPr>
          <w:lang w:val="cs-CZ"/>
        </w:rPr>
        <w:t>Henkel</w:t>
      </w:r>
      <w:proofErr w:type="spellEnd"/>
      <w:r w:rsidRPr="00D93882">
        <w:rPr>
          <w:lang w:val="cs-CZ"/>
        </w:rPr>
        <w:t xml:space="preserve"> </w:t>
      </w:r>
      <w:proofErr w:type="spellStart"/>
      <w:r w:rsidRPr="00D93882">
        <w:rPr>
          <w:lang w:val="cs-CZ"/>
        </w:rPr>
        <w:t>Consumer</w:t>
      </w:r>
      <w:proofErr w:type="spellEnd"/>
      <w:r w:rsidRPr="00D93882">
        <w:rPr>
          <w:lang w:val="cs-CZ"/>
        </w:rPr>
        <w:t xml:space="preserve"> </w:t>
      </w:r>
      <w:proofErr w:type="spellStart"/>
      <w:r w:rsidRPr="00D93882">
        <w:rPr>
          <w:lang w:val="cs-CZ"/>
        </w:rPr>
        <w:t>Adhesives</w:t>
      </w:r>
      <w:proofErr w:type="spellEnd"/>
      <w:r w:rsidRPr="00D93882">
        <w:rPr>
          <w:lang w:val="cs-CZ"/>
        </w:rPr>
        <w:t xml:space="preserve">. </w:t>
      </w:r>
      <w:r w:rsidRPr="00142F34">
        <w:rPr>
          <w:i/>
          <w:iCs/>
          <w:lang w:val="cs-CZ"/>
        </w:rPr>
        <w:t>„90 % materiálu tvoří recyklovaný papír, přičemž obal samotný je recyklovatelný v rozsahu 92 %, takže spotřebitelé mohou obálku jednoduše zahodit do popelnice na papír. Touto cestou podporujeme přechod na oběhovou ekonomiku, v níž materiály zůstávají co nejdéle součástí ekonomických cyklů a odpad bude už jen věcí minulosti.“</w:t>
      </w:r>
    </w:p>
    <w:p w14:paraId="619F7741" w14:textId="77777777" w:rsidR="00D93882" w:rsidRPr="00D93882" w:rsidRDefault="00D93882" w:rsidP="00D93882">
      <w:pPr>
        <w:rPr>
          <w:lang w:val="cs-CZ"/>
        </w:rPr>
      </w:pPr>
    </w:p>
    <w:p w14:paraId="3DAEF392" w14:textId="77777777" w:rsidR="00D93882" w:rsidRPr="00CA2AE1" w:rsidRDefault="00D93882" w:rsidP="00D93882">
      <w:pPr>
        <w:rPr>
          <w:i/>
          <w:iCs/>
          <w:lang w:val="cs-CZ"/>
        </w:rPr>
      </w:pPr>
      <w:r w:rsidRPr="00CA2AE1">
        <w:rPr>
          <w:i/>
          <w:iCs/>
          <w:lang w:val="cs-CZ"/>
        </w:rPr>
        <w:t xml:space="preserve">„Takovéto udržitelnější obálky s výplní poskytují množství výhod našim značkám, zákazníkům a naší planetě,“ </w:t>
      </w:r>
      <w:r w:rsidRPr="00CA2AE1">
        <w:rPr>
          <w:lang w:val="cs-CZ"/>
        </w:rPr>
        <w:t xml:space="preserve">řekla Natalia </w:t>
      </w:r>
      <w:proofErr w:type="spellStart"/>
      <w:r w:rsidRPr="00CA2AE1">
        <w:rPr>
          <w:lang w:val="cs-CZ"/>
        </w:rPr>
        <w:t>Greiss</w:t>
      </w:r>
      <w:proofErr w:type="spellEnd"/>
      <w:r w:rsidRPr="00CA2AE1">
        <w:rPr>
          <w:lang w:val="cs-CZ"/>
        </w:rPr>
        <w:t xml:space="preserve">, </w:t>
      </w:r>
      <w:proofErr w:type="spellStart"/>
      <w:r w:rsidRPr="00CA2AE1">
        <w:rPr>
          <w:lang w:val="cs-CZ"/>
        </w:rPr>
        <w:t>Packaging</w:t>
      </w:r>
      <w:proofErr w:type="spellEnd"/>
      <w:r w:rsidRPr="00CA2AE1">
        <w:rPr>
          <w:lang w:val="cs-CZ"/>
        </w:rPr>
        <w:t xml:space="preserve"> Manager v rámci </w:t>
      </w:r>
      <w:proofErr w:type="spellStart"/>
      <w:r w:rsidRPr="00CA2AE1">
        <w:rPr>
          <w:lang w:val="cs-CZ"/>
        </w:rPr>
        <w:t>Henkel</w:t>
      </w:r>
      <w:proofErr w:type="spellEnd"/>
      <w:r w:rsidRPr="00CA2AE1">
        <w:rPr>
          <w:lang w:val="cs-CZ"/>
        </w:rPr>
        <w:t xml:space="preserve"> </w:t>
      </w:r>
      <w:proofErr w:type="spellStart"/>
      <w:r w:rsidRPr="00CA2AE1">
        <w:rPr>
          <w:lang w:val="cs-CZ"/>
        </w:rPr>
        <w:t>Adhesive</w:t>
      </w:r>
      <w:proofErr w:type="spellEnd"/>
      <w:r w:rsidRPr="00CA2AE1">
        <w:rPr>
          <w:lang w:val="cs-CZ"/>
        </w:rPr>
        <w:t xml:space="preserve"> Technologies </w:t>
      </w:r>
      <w:proofErr w:type="spellStart"/>
      <w:r w:rsidRPr="00CA2AE1">
        <w:rPr>
          <w:lang w:val="cs-CZ"/>
        </w:rPr>
        <w:t>Operations</w:t>
      </w:r>
      <w:proofErr w:type="spellEnd"/>
      <w:r w:rsidRPr="00CA2AE1">
        <w:rPr>
          <w:lang w:val="cs-CZ"/>
        </w:rPr>
        <w:t xml:space="preserve"> </w:t>
      </w:r>
      <w:proofErr w:type="spellStart"/>
      <w:r w:rsidRPr="00CA2AE1">
        <w:rPr>
          <w:lang w:val="cs-CZ"/>
        </w:rPr>
        <w:t>Europe</w:t>
      </w:r>
      <w:proofErr w:type="spellEnd"/>
      <w:r w:rsidRPr="00CA2AE1">
        <w:rPr>
          <w:lang w:val="cs-CZ"/>
        </w:rPr>
        <w:t>.</w:t>
      </w:r>
      <w:r w:rsidRPr="00CA2AE1">
        <w:rPr>
          <w:i/>
          <w:iCs/>
          <w:lang w:val="cs-CZ"/>
        </w:rPr>
        <w:t xml:space="preserve"> „Vždy se snažíme najít způsob, jak zredukovat environmentální stopu našich obalů a tyto inovativní obálky jsou důležitým krokem kupředu.“</w:t>
      </w:r>
    </w:p>
    <w:p w14:paraId="7BC304A6" w14:textId="77777777" w:rsidR="00D93882" w:rsidRPr="00D93882" w:rsidRDefault="00D93882" w:rsidP="00D93882">
      <w:pPr>
        <w:rPr>
          <w:lang w:val="cs-CZ"/>
        </w:rPr>
      </w:pPr>
    </w:p>
    <w:p w14:paraId="039641A1" w14:textId="77777777" w:rsidR="00D93882" w:rsidRPr="00D93882" w:rsidRDefault="00D93882" w:rsidP="00D93882">
      <w:pPr>
        <w:rPr>
          <w:lang w:val="cs-CZ"/>
        </w:rPr>
      </w:pPr>
      <w:r w:rsidRPr="00D93882">
        <w:rPr>
          <w:lang w:val="cs-CZ"/>
        </w:rPr>
        <w:t xml:space="preserve">Při online nákupech budou obálky s technologií EPIX chránit jak produkty značek </w:t>
      </w:r>
      <w:proofErr w:type="spellStart"/>
      <w:r w:rsidRPr="00D93882">
        <w:rPr>
          <w:lang w:val="cs-CZ"/>
        </w:rPr>
        <w:t>Pritt</w:t>
      </w:r>
      <w:proofErr w:type="spellEnd"/>
      <w:r w:rsidRPr="00D93882">
        <w:rPr>
          <w:lang w:val="cs-CZ"/>
        </w:rPr>
        <w:t xml:space="preserve"> a </w:t>
      </w:r>
      <w:proofErr w:type="spellStart"/>
      <w:r w:rsidRPr="00D93882">
        <w:rPr>
          <w:lang w:val="cs-CZ"/>
        </w:rPr>
        <w:t>Loctite</w:t>
      </w:r>
      <w:proofErr w:type="spellEnd"/>
      <w:r w:rsidRPr="00D93882">
        <w:rPr>
          <w:lang w:val="cs-CZ"/>
        </w:rPr>
        <w:t xml:space="preserve">, tak i životní prostředí. Do roku 2025 by měla být všechna obalová řešení společnosti </w:t>
      </w:r>
      <w:proofErr w:type="spellStart"/>
      <w:r w:rsidRPr="00D93882">
        <w:rPr>
          <w:lang w:val="cs-CZ"/>
        </w:rPr>
        <w:t>Henkel</w:t>
      </w:r>
      <w:proofErr w:type="spellEnd"/>
      <w:r w:rsidRPr="00D93882">
        <w:rPr>
          <w:lang w:val="cs-CZ"/>
        </w:rPr>
        <w:t xml:space="preserve"> navržena tak, aby se dala optimálně recyklovat nebo opětovně použít. Společnost úzce spolupracuje s celosvětovými iniciativami v oblasti sběru a recyklace odpadu s cílem zajistit, aby byl veškerý odpad z obalů správně zlikvidován a recyklován. </w:t>
      </w:r>
      <w:proofErr w:type="spellStart"/>
      <w:r w:rsidRPr="00D93882">
        <w:rPr>
          <w:lang w:val="cs-CZ"/>
        </w:rPr>
        <w:t>Henkel</w:t>
      </w:r>
      <w:proofErr w:type="spellEnd"/>
      <w:r w:rsidRPr="00D93882">
        <w:rPr>
          <w:lang w:val="cs-CZ"/>
        </w:rPr>
        <w:t xml:space="preserve"> také investuje do inovativních řešení a technologií pro budování lepší infrastruktury a posilování spotřebitelského povědomí o recyklaci.</w:t>
      </w: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9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0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8E6B80">
      <w:fldChar w:fldCharType="begin"/>
    </w:r>
    <w:r w:rsidR="008E6B80">
      <w:instrText xml:space="preserve"> NUMPAGES </w:instrText>
    </w:r>
    <w:r w:rsidR="008E6B80">
      <w:fldChar w:fldCharType="separate"/>
    </w:r>
    <w:r w:rsidR="00031201">
      <w:rPr>
        <w:noProof/>
      </w:rPr>
      <w:t>2</w:t>
    </w:r>
    <w:r w:rsidR="008E6B8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8E6B80">
      <w:fldChar w:fldCharType="begin"/>
    </w:r>
    <w:r w:rsidR="008E6B80">
      <w:instrText xml:space="preserve"> NUMPAGES </w:instrText>
    </w:r>
    <w:r w:rsidR="008E6B80">
      <w:fldChar w:fldCharType="separate"/>
    </w:r>
    <w:r w:rsidR="00031201">
      <w:rPr>
        <w:noProof/>
      </w:rPr>
      <w:t>1</w:t>
    </w:r>
    <w:r w:rsidR="008E6B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142F34"/>
    <w:rsid w:val="001F7711"/>
    <w:rsid w:val="00251645"/>
    <w:rsid w:val="002570B7"/>
    <w:rsid w:val="00284F28"/>
    <w:rsid w:val="002F7A23"/>
    <w:rsid w:val="003B16A3"/>
    <w:rsid w:val="004D3C26"/>
    <w:rsid w:val="004D74B9"/>
    <w:rsid w:val="00562E09"/>
    <w:rsid w:val="005742B4"/>
    <w:rsid w:val="005B6D31"/>
    <w:rsid w:val="005D6168"/>
    <w:rsid w:val="0069283E"/>
    <w:rsid w:val="006B2F83"/>
    <w:rsid w:val="00751DC7"/>
    <w:rsid w:val="00752E89"/>
    <w:rsid w:val="007B51A1"/>
    <w:rsid w:val="007D354B"/>
    <w:rsid w:val="008613A6"/>
    <w:rsid w:val="008E58B1"/>
    <w:rsid w:val="008E6B80"/>
    <w:rsid w:val="0099764C"/>
    <w:rsid w:val="009A3DB0"/>
    <w:rsid w:val="00A070EE"/>
    <w:rsid w:val="00A110E3"/>
    <w:rsid w:val="00AF0067"/>
    <w:rsid w:val="00BB5AB9"/>
    <w:rsid w:val="00C74696"/>
    <w:rsid w:val="00C930A3"/>
    <w:rsid w:val="00CA2AE1"/>
    <w:rsid w:val="00D93882"/>
    <w:rsid w:val="00E832BF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FB7A5A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9" ma:contentTypeDescription="Umožňuje vytvoriť nový dokument." ma:contentTypeScope="" ma:versionID="b64c325aa684d66429a86218fec20731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3e9ae81f0bfa0f9dd764663ecf9609b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1FB8D-06E4-4B2E-A5E8-1FD242C2C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35</cp:revision>
  <dcterms:created xsi:type="dcterms:W3CDTF">2023-01-10T10:51:00Z</dcterms:created>
  <dcterms:modified xsi:type="dcterms:W3CDTF">2023-12-22T11:32:00Z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