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7757F394" w:rsidR="00B422EC" w:rsidRPr="00A80C6D" w:rsidRDefault="00E95B8E" w:rsidP="00CC7447">
      <w:pPr>
        <w:pStyle w:val="MonthDayYear"/>
        <w:rPr>
          <w:sz w:val="32"/>
          <w:szCs w:val="28"/>
          <w:lang w:val="it-IT"/>
        </w:rPr>
      </w:pPr>
      <w:r w:rsidRPr="00A80C6D">
        <w:rPr>
          <w:sz w:val="32"/>
          <w:szCs w:val="28"/>
          <w:lang w:val="it-IT"/>
        </w:rPr>
        <w:t>10 agosto 2023</w:t>
      </w:r>
    </w:p>
    <w:p w14:paraId="6DA6C867" w14:textId="0C34BBAE" w:rsidR="00F029CF" w:rsidRPr="00A80C6D" w:rsidRDefault="00F029CF" w:rsidP="00F029CF">
      <w:pPr>
        <w:pStyle w:val="Topline"/>
        <w:spacing w:after="360"/>
        <w:rPr>
          <w:rFonts w:asciiTheme="majorHAnsi" w:hAnsiTheme="majorHAnsi" w:cs="Cambria"/>
          <w:lang w:val="it-IT"/>
        </w:rPr>
      </w:pPr>
      <w:r w:rsidRPr="00A80C6D">
        <w:rPr>
          <w:rFonts w:asciiTheme="majorHAnsi" w:hAnsiTheme="majorHAnsi" w:cs="Cambria"/>
          <w:lang w:val="it-IT"/>
        </w:rPr>
        <w:t xml:space="preserve">Crescita sostenuta </w:t>
      </w:r>
      <w:r w:rsidR="00CC7897" w:rsidRPr="00A80C6D">
        <w:rPr>
          <w:rFonts w:asciiTheme="majorHAnsi" w:hAnsiTheme="majorHAnsi" w:cs="Cambria"/>
          <w:lang w:val="it-IT"/>
        </w:rPr>
        <w:t>e significativ</w:t>
      </w:r>
      <w:r w:rsidR="00881DCD" w:rsidRPr="00A80C6D">
        <w:rPr>
          <w:rFonts w:asciiTheme="majorHAnsi" w:hAnsiTheme="majorHAnsi" w:cs="Cambria"/>
          <w:lang w:val="it-IT"/>
        </w:rPr>
        <w:t>i</w:t>
      </w:r>
      <w:r w:rsidR="00CC7897" w:rsidRPr="00A80C6D">
        <w:rPr>
          <w:rFonts w:asciiTheme="majorHAnsi" w:hAnsiTheme="majorHAnsi" w:cs="Cambria"/>
          <w:lang w:val="it-IT"/>
        </w:rPr>
        <w:t xml:space="preserve"> miglioramenti della profittabilità nel primo semestre dell’anno </w:t>
      </w:r>
    </w:p>
    <w:p w14:paraId="332E8B81" w14:textId="2808E2FA" w:rsidR="00307331" w:rsidRPr="00A80C6D" w:rsidRDefault="008D52CF" w:rsidP="00307331">
      <w:pPr>
        <w:jc w:val="left"/>
        <w:rPr>
          <w:rStyle w:val="Headline"/>
          <w:rFonts w:asciiTheme="majorHAnsi" w:hAnsiTheme="majorHAnsi" w:cs="Cambria"/>
          <w:lang w:val="it-IT"/>
        </w:rPr>
      </w:pPr>
      <w:r w:rsidRPr="00A80C6D">
        <w:rPr>
          <w:rStyle w:val="Headline"/>
          <w:lang w:val="it-IT"/>
        </w:rPr>
        <w:t>Henkel</w:t>
      </w:r>
      <w:r w:rsidR="00414C4E" w:rsidRPr="00A80C6D">
        <w:rPr>
          <w:rStyle w:val="Headline"/>
          <w:lang w:val="it-IT"/>
        </w:rPr>
        <w:t xml:space="preserve"> rialza le previsioni 2023 per fatturato e utili</w:t>
      </w:r>
    </w:p>
    <w:p w14:paraId="6706FA18" w14:textId="5D51015A" w:rsidR="00852511" w:rsidRPr="00A80C6D" w:rsidRDefault="00852511" w:rsidP="00365E44">
      <w:pPr>
        <w:rPr>
          <w:lang w:val="it-IT"/>
        </w:rPr>
      </w:pPr>
    </w:p>
    <w:p w14:paraId="07ADB7F5" w14:textId="77777777" w:rsidR="008D52CF" w:rsidRPr="00A80C6D" w:rsidRDefault="008D52CF" w:rsidP="00365E44">
      <w:pPr>
        <w:rPr>
          <w:lang w:val="it-IT"/>
        </w:rPr>
      </w:pPr>
    </w:p>
    <w:p w14:paraId="4401DF8B" w14:textId="25292E36" w:rsidR="004114FD" w:rsidRPr="004D14D4" w:rsidRDefault="007F5DDD" w:rsidP="00417DEF">
      <w:pPr>
        <w:pStyle w:val="Paragrafoelenco"/>
        <w:numPr>
          <w:ilvl w:val="0"/>
          <w:numId w:val="8"/>
        </w:numPr>
        <w:spacing w:after="80"/>
        <w:ind w:left="357" w:right="-108" w:hanging="357"/>
        <w:contextualSpacing w:val="0"/>
        <w:rPr>
          <w:rFonts w:asciiTheme="majorHAnsi" w:hAnsiTheme="majorHAnsi" w:cs="Cambria"/>
          <w:b/>
          <w:szCs w:val="22"/>
          <w:lang w:val="it-IT"/>
        </w:rPr>
      </w:pPr>
      <w:bookmarkStart w:id="0" w:name="_Hlk43712519"/>
      <w:r w:rsidRPr="004D14D4">
        <w:rPr>
          <w:rFonts w:asciiTheme="majorHAnsi" w:hAnsiTheme="majorHAnsi" w:cs="Calibri Light"/>
          <w:b/>
          <w:szCs w:val="22"/>
          <w:lang w:val="it-IT"/>
        </w:rPr>
        <w:t>F</w:t>
      </w:r>
      <w:r w:rsidR="00547640" w:rsidRPr="004D14D4">
        <w:rPr>
          <w:rFonts w:asciiTheme="majorHAnsi" w:hAnsiTheme="majorHAnsi" w:cs="Calibri Light"/>
          <w:b/>
          <w:szCs w:val="22"/>
          <w:lang w:val="it-IT"/>
        </w:rPr>
        <w:t xml:space="preserve">atturato del </w:t>
      </w:r>
      <w:r w:rsidR="00636686" w:rsidRPr="004D14D4">
        <w:rPr>
          <w:rFonts w:asciiTheme="majorHAnsi" w:hAnsiTheme="majorHAnsi" w:cs="Calibri Light"/>
          <w:b/>
          <w:szCs w:val="22"/>
          <w:lang w:val="it-IT"/>
        </w:rPr>
        <w:t>Gr</w:t>
      </w:r>
      <w:r w:rsidR="00547640" w:rsidRPr="004D14D4">
        <w:rPr>
          <w:rFonts w:asciiTheme="majorHAnsi" w:hAnsiTheme="majorHAnsi" w:cs="Calibri Light"/>
          <w:b/>
          <w:szCs w:val="22"/>
          <w:lang w:val="it-IT"/>
        </w:rPr>
        <w:t>uppo</w:t>
      </w:r>
      <w:r w:rsidRPr="004D14D4">
        <w:rPr>
          <w:rFonts w:asciiTheme="majorHAnsi" w:hAnsiTheme="majorHAnsi" w:cs="Calibri Light"/>
          <w:b/>
          <w:szCs w:val="22"/>
          <w:lang w:val="it-IT"/>
        </w:rPr>
        <w:t>:</w:t>
      </w:r>
      <w:r w:rsidR="004114FD" w:rsidRPr="004D14D4">
        <w:rPr>
          <w:rFonts w:asciiTheme="majorHAnsi" w:hAnsiTheme="majorHAnsi" w:cs="Calibri Light"/>
          <w:b/>
          <w:szCs w:val="22"/>
          <w:lang w:val="it-IT"/>
        </w:rPr>
        <w:t xml:space="preserve"> </w:t>
      </w:r>
      <w:bookmarkStart w:id="1" w:name="_Hlk140061525"/>
      <w:bookmarkEnd w:id="0"/>
      <w:r w:rsidRPr="004D14D4">
        <w:rPr>
          <w:rFonts w:asciiTheme="majorHAnsi" w:hAnsiTheme="majorHAnsi" w:cs="Calibri Light"/>
          <w:b/>
          <w:szCs w:val="22"/>
          <w:lang w:val="it-IT"/>
        </w:rPr>
        <w:t>+</w:t>
      </w:r>
      <w:r w:rsidR="004114FD" w:rsidRPr="004D14D4">
        <w:rPr>
          <w:rFonts w:asciiTheme="majorHAnsi" w:hAnsiTheme="majorHAnsi" w:cs="Cambria"/>
          <w:b/>
          <w:szCs w:val="22"/>
          <w:lang w:val="it-IT"/>
        </w:rPr>
        <w:t>4,9% in termini organici nel primo semestre a circa 10,9 miliardi di euro (</w:t>
      </w:r>
      <w:r w:rsidR="00AA7504" w:rsidRPr="004D14D4">
        <w:rPr>
          <w:rFonts w:asciiTheme="majorHAnsi" w:hAnsiTheme="majorHAnsi" w:cs="Cambria"/>
          <w:b/>
          <w:szCs w:val="22"/>
          <w:lang w:val="it-IT"/>
        </w:rPr>
        <w:t xml:space="preserve">crescita </w:t>
      </w:r>
      <w:r w:rsidR="004114FD" w:rsidRPr="004D14D4">
        <w:rPr>
          <w:rFonts w:asciiTheme="majorHAnsi" w:hAnsiTheme="majorHAnsi" w:cs="Cambria"/>
          <w:b/>
          <w:szCs w:val="22"/>
          <w:lang w:val="it-IT"/>
        </w:rPr>
        <w:t xml:space="preserve">nominale: </w:t>
      </w:r>
      <w:r w:rsidR="009F522A" w:rsidRPr="004D14D4">
        <w:rPr>
          <w:rFonts w:asciiTheme="majorHAnsi" w:hAnsiTheme="majorHAnsi" w:cs="Cambria"/>
          <w:b/>
          <w:szCs w:val="22"/>
          <w:lang w:val="it-IT"/>
        </w:rPr>
        <w:t>+</w:t>
      </w:r>
      <w:r w:rsidR="004114FD" w:rsidRPr="004D14D4">
        <w:rPr>
          <w:rFonts w:asciiTheme="majorHAnsi" w:hAnsiTheme="majorHAnsi" w:cs="Cambria"/>
          <w:b/>
          <w:szCs w:val="22"/>
          <w:lang w:val="it-IT"/>
        </w:rPr>
        <w:t>0,1%)</w:t>
      </w:r>
      <w:r w:rsidR="009F522A" w:rsidRPr="004D14D4">
        <w:rPr>
          <w:rFonts w:asciiTheme="majorHAnsi" w:hAnsiTheme="majorHAnsi" w:cs="Cambria"/>
          <w:b/>
          <w:szCs w:val="22"/>
          <w:lang w:val="it-IT"/>
        </w:rPr>
        <w:t>;</w:t>
      </w:r>
      <w:r w:rsidRPr="004D14D4">
        <w:rPr>
          <w:rFonts w:asciiTheme="majorHAnsi" w:hAnsiTheme="majorHAnsi" w:cs="Cambria"/>
          <w:b/>
          <w:szCs w:val="22"/>
          <w:lang w:val="it-IT"/>
        </w:rPr>
        <w:t xml:space="preserve"> </w:t>
      </w:r>
      <w:r w:rsidR="00924F2C" w:rsidRPr="004D14D4">
        <w:rPr>
          <w:rFonts w:asciiTheme="majorHAnsi" w:hAnsiTheme="majorHAnsi" w:cs="Cambria"/>
          <w:b/>
          <w:szCs w:val="22"/>
          <w:lang w:val="it-IT"/>
        </w:rPr>
        <w:t xml:space="preserve">andamento molto positivo per entrambe le </w:t>
      </w:r>
      <w:r w:rsidR="004114FD" w:rsidRPr="004D14D4">
        <w:rPr>
          <w:rFonts w:asciiTheme="majorHAnsi" w:hAnsiTheme="majorHAnsi" w:cs="Cambria"/>
          <w:b/>
          <w:szCs w:val="22"/>
          <w:lang w:val="it-IT"/>
        </w:rPr>
        <w:t>business unit</w:t>
      </w:r>
      <w:r w:rsidR="00924F2C" w:rsidRPr="004D14D4">
        <w:rPr>
          <w:rFonts w:asciiTheme="majorHAnsi" w:hAnsiTheme="majorHAnsi" w:cs="Cambria"/>
          <w:b/>
          <w:szCs w:val="22"/>
          <w:lang w:val="it-IT"/>
        </w:rPr>
        <w:t xml:space="preserve"> Adhesive Technologies e Consumer Brands</w:t>
      </w:r>
    </w:p>
    <w:p w14:paraId="16E9A966" w14:textId="1A5D4DF1" w:rsidR="004114FD" w:rsidRPr="004D14D4" w:rsidRDefault="00C47A4D" w:rsidP="00417DEF">
      <w:pPr>
        <w:pStyle w:val="Paragrafoelenco"/>
        <w:numPr>
          <w:ilvl w:val="0"/>
          <w:numId w:val="8"/>
        </w:numPr>
        <w:spacing w:after="80"/>
        <w:ind w:left="357" w:right="-108" w:hanging="357"/>
        <w:contextualSpacing w:val="0"/>
        <w:rPr>
          <w:rFonts w:asciiTheme="majorHAnsi" w:hAnsiTheme="majorHAnsi" w:cs="Cambria"/>
          <w:b/>
          <w:szCs w:val="22"/>
          <w:lang w:val="it-IT"/>
        </w:rPr>
      </w:pPr>
      <w:r w:rsidRPr="004D14D4">
        <w:rPr>
          <w:rFonts w:asciiTheme="majorHAnsi" w:hAnsiTheme="majorHAnsi" w:cs="Cambria"/>
          <w:b/>
          <w:szCs w:val="22"/>
          <w:lang w:val="it-IT"/>
        </w:rPr>
        <w:t>Margine</w:t>
      </w:r>
      <w:r w:rsidR="000876EA" w:rsidRPr="004D14D4">
        <w:rPr>
          <w:rFonts w:asciiTheme="majorHAnsi" w:hAnsiTheme="majorHAnsi" w:cs="Cambria"/>
          <w:b/>
          <w:szCs w:val="22"/>
          <w:lang w:val="it-IT"/>
        </w:rPr>
        <w:t xml:space="preserve"> operativo</w:t>
      </w:r>
      <w:r w:rsidR="004114FD" w:rsidRPr="004D14D4">
        <w:rPr>
          <w:rFonts w:asciiTheme="majorHAnsi" w:hAnsiTheme="majorHAnsi" w:cs="Cambria"/>
          <w:b/>
          <w:szCs w:val="22"/>
          <w:lang w:val="it-IT"/>
        </w:rPr>
        <w:t xml:space="preserve"> (EBIT)*</w:t>
      </w:r>
      <w:r w:rsidR="007F5DDD" w:rsidRPr="004D14D4">
        <w:rPr>
          <w:rFonts w:asciiTheme="majorHAnsi" w:hAnsiTheme="majorHAnsi" w:cs="Cambria"/>
          <w:b/>
          <w:szCs w:val="22"/>
          <w:lang w:val="it-IT"/>
        </w:rPr>
        <w:t>:</w:t>
      </w:r>
      <w:r w:rsidR="004114FD" w:rsidRPr="004D14D4">
        <w:rPr>
          <w:rFonts w:asciiTheme="majorHAnsi" w:hAnsiTheme="majorHAnsi" w:cs="Cambria"/>
          <w:b/>
          <w:szCs w:val="22"/>
          <w:lang w:val="it-IT"/>
        </w:rPr>
        <w:t xml:space="preserve"> </w:t>
      </w:r>
      <w:r w:rsidR="000876EA" w:rsidRPr="004D14D4">
        <w:rPr>
          <w:rFonts w:asciiTheme="majorHAnsi" w:hAnsiTheme="majorHAnsi" w:cs="Cambria"/>
          <w:b/>
          <w:szCs w:val="22"/>
          <w:lang w:val="it-IT"/>
        </w:rPr>
        <w:t>aumento</w:t>
      </w:r>
      <w:r w:rsidR="004114FD" w:rsidRPr="004D14D4">
        <w:rPr>
          <w:rFonts w:asciiTheme="majorHAnsi" w:hAnsiTheme="majorHAnsi" w:cs="Cambria"/>
          <w:b/>
          <w:szCs w:val="22"/>
          <w:lang w:val="it-IT"/>
        </w:rPr>
        <w:t xml:space="preserve"> significa</w:t>
      </w:r>
      <w:r w:rsidR="007F5DDD" w:rsidRPr="004D14D4">
        <w:rPr>
          <w:rFonts w:asciiTheme="majorHAnsi" w:hAnsiTheme="majorHAnsi" w:cs="Cambria"/>
          <w:b/>
          <w:szCs w:val="22"/>
          <w:lang w:val="it-IT"/>
        </w:rPr>
        <w:t>tivo</w:t>
      </w:r>
      <w:r w:rsidR="004114FD" w:rsidRPr="004D14D4">
        <w:rPr>
          <w:rFonts w:asciiTheme="majorHAnsi" w:hAnsiTheme="majorHAnsi" w:cs="Cambria"/>
          <w:b/>
          <w:szCs w:val="22"/>
          <w:lang w:val="it-IT"/>
        </w:rPr>
        <w:t xml:space="preserve"> </w:t>
      </w:r>
      <w:r w:rsidR="007F5DDD" w:rsidRPr="004D14D4">
        <w:rPr>
          <w:rFonts w:asciiTheme="majorHAnsi" w:hAnsiTheme="majorHAnsi" w:cs="Cambria"/>
          <w:b/>
          <w:szCs w:val="22"/>
          <w:lang w:val="it-IT"/>
        </w:rPr>
        <w:t>a</w:t>
      </w:r>
      <w:r w:rsidR="004114FD" w:rsidRPr="004D14D4">
        <w:rPr>
          <w:rFonts w:asciiTheme="majorHAnsi" w:hAnsiTheme="majorHAnsi" w:cs="Cambria"/>
          <w:b/>
          <w:szCs w:val="22"/>
          <w:lang w:val="it-IT"/>
        </w:rPr>
        <w:t xml:space="preserve"> 1</w:t>
      </w:r>
      <w:r w:rsidR="007F5DDD" w:rsidRPr="004D14D4">
        <w:rPr>
          <w:rFonts w:asciiTheme="majorHAnsi" w:hAnsiTheme="majorHAnsi" w:cs="Cambria"/>
          <w:b/>
          <w:szCs w:val="22"/>
          <w:lang w:val="it-IT"/>
        </w:rPr>
        <w:t>.</w:t>
      </w:r>
      <w:r w:rsidR="004114FD" w:rsidRPr="004D14D4">
        <w:rPr>
          <w:rFonts w:asciiTheme="majorHAnsi" w:hAnsiTheme="majorHAnsi" w:cs="Cambria"/>
          <w:b/>
          <w:szCs w:val="22"/>
          <w:lang w:val="it-IT"/>
        </w:rPr>
        <w:t>254 milion</w:t>
      </w:r>
      <w:r w:rsidR="007F5DDD" w:rsidRPr="004D14D4">
        <w:rPr>
          <w:rFonts w:asciiTheme="majorHAnsi" w:hAnsiTheme="majorHAnsi" w:cs="Cambria"/>
          <w:b/>
          <w:szCs w:val="22"/>
          <w:lang w:val="it-IT"/>
        </w:rPr>
        <w:t>i di</w:t>
      </w:r>
      <w:r w:rsidR="004114FD" w:rsidRPr="004D14D4">
        <w:rPr>
          <w:rFonts w:asciiTheme="majorHAnsi" w:hAnsiTheme="majorHAnsi" w:cs="Cambria"/>
          <w:b/>
          <w:szCs w:val="22"/>
          <w:lang w:val="it-IT"/>
        </w:rPr>
        <w:t xml:space="preserve"> euro (+7</w:t>
      </w:r>
      <w:r w:rsidR="007F5DDD" w:rsidRPr="004D14D4">
        <w:rPr>
          <w:rFonts w:asciiTheme="majorHAnsi" w:hAnsiTheme="majorHAnsi" w:cs="Cambria"/>
          <w:b/>
          <w:szCs w:val="22"/>
          <w:lang w:val="it-IT"/>
        </w:rPr>
        <w:t>,</w:t>
      </w:r>
      <w:r w:rsidR="004114FD" w:rsidRPr="004D14D4">
        <w:rPr>
          <w:rFonts w:asciiTheme="majorHAnsi" w:hAnsiTheme="majorHAnsi" w:cs="Cambria"/>
          <w:b/>
          <w:szCs w:val="22"/>
          <w:lang w:val="it-IT"/>
        </w:rPr>
        <w:t>6</w:t>
      </w:r>
      <w:r w:rsidR="007F5DDD" w:rsidRPr="004D14D4">
        <w:rPr>
          <w:rFonts w:asciiTheme="majorHAnsi" w:hAnsiTheme="majorHAnsi" w:cs="Cambria"/>
          <w:b/>
          <w:szCs w:val="22"/>
          <w:lang w:val="it-IT"/>
        </w:rPr>
        <w:t>%</w:t>
      </w:r>
      <w:r w:rsidR="004114FD" w:rsidRPr="004D14D4">
        <w:rPr>
          <w:rFonts w:asciiTheme="majorHAnsi" w:hAnsiTheme="majorHAnsi" w:cs="Cambria"/>
          <w:b/>
          <w:szCs w:val="22"/>
          <w:lang w:val="it-IT"/>
        </w:rPr>
        <w:t>)</w:t>
      </w:r>
    </w:p>
    <w:p w14:paraId="1D145B17" w14:textId="7C2073D9" w:rsidR="004114FD" w:rsidRPr="004D14D4" w:rsidRDefault="00C47A4D" w:rsidP="00417DEF">
      <w:pPr>
        <w:pStyle w:val="Paragrafoelenco"/>
        <w:numPr>
          <w:ilvl w:val="0"/>
          <w:numId w:val="8"/>
        </w:numPr>
        <w:spacing w:after="80"/>
        <w:ind w:left="357" w:right="-108" w:hanging="357"/>
        <w:contextualSpacing w:val="0"/>
        <w:rPr>
          <w:rFonts w:asciiTheme="majorHAnsi" w:hAnsiTheme="majorHAnsi" w:cs="Cambria"/>
          <w:b/>
          <w:szCs w:val="22"/>
          <w:lang w:val="it-IT"/>
        </w:rPr>
      </w:pPr>
      <w:r w:rsidRPr="004D14D4">
        <w:rPr>
          <w:rFonts w:asciiTheme="majorHAnsi" w:hAnsiTheme="majorHAnsi" w:cs="Cambria"/>
          <w:b/>
          <w:szCs w:val="22"/>
          <w:lang w:val="it-IT"/>
        </w:rPr>
        <w:t>Tasso di ritorno sulle vendite (m</w:t>
      </w:r>
      <w:r w:rsidR="007F5DDD" w:rsidRPr="004D14D4">
        <w:rPr>
          <w:rFonts w:asciiTheme="majorHAnsi" w:hAnsiTheme="majorHAnsi" w:cs="Cambria"/>
          <w:b/>
          <w:szCs w:val="22"/>
          <w:lang w:val="it-IT"/>
        </w:rPr>
        <w:t xml:space="preserve">argine </w:t>
      </w:r>
      <w:r w:rsidR="004114FD" w:rsidRPr="004D14D4">
        <w:rPr>
          <w:rFonts w:asciiTheme="majorHAnsi" w:hAnsiTheme="majorHAnsi" w:cs="Cambria"/>
          <w:b/>
          <w:szCs w:val="22"/>
          <w:lang w:val="it-IT"/>
        </w:rPr>
        <w:t>EBIT</w:t>
      </w:r>
      <w:r w:rsidRPr="004D14D4">
        <w:rPr>
          <w:rFonts w:asciiTheme="majorHAnsi" w:hAnsiTheme="majorHAnsi" w:cs="Cambria"/>
          <w:b/>
          <w:szCs w:val="22"/>
          <w:lang w:val="it-IT"/>
        </w:rPr>
        <w:t>)</w:t>
      </w:r>
      <w:r w:rsidR="004114FD" w:rsidRPr="004D14D4">
        <w:rPr>
          <w:rFonts w:asciiTheme="majorHAnsi" w:hAnsiTheme="majorHAnsi" w:cs="Cambria"/>
          <w:b/>
          <w:szCs w:val="22"/>
          <w:lang w:val="it-IT"/>
        </w:rPr>
        <w:t>*</w:t>
      </w:r>
      <w:r w:rsidR="007F5DDD" w:rsidRPr="004D14D4">
        <w:rPr>
          <w:rFonts w:asciiTheme="majorHAnsi" w:hAnsiTheme="majorHAnsi" w:cs="Cambria"/>
          <w:b/>
          <w:szCs w:val="22"/>
          <w:lang w:val="it-IT"/>
        </w:rPr>
        <w:t>:</w:t>
      </w:r>
      <w:r w:rsidR="004114FD" w:rsidRPr="004D14D4">
        <w:rPr>
          <w:rFonts w:asciiTheme="majorHAnsi" w:hAnsiTheme="majorHAnsi" w:cs="Cambria"/>
          <w:b/>
          <w:szCs w:val="22"/>
          <w:lang w:val="it-IT"/>
        </w:rPr>
        <w:t xml:space="preserve"> </w:t>
      </w:r>
      <w:r w:rsidR="00531A35" w:rsidRPr="004D14D4">
        <w:rPr>
          <w:rFonts w:asciiTheme="majorHAnsi" w:hAnsiTheme="majorHAnsi" w:cs="Cambria"/>
          <w:b/>
          <w:szCs w:val="22"/>
          <w:lang w:val="it-IT"/>
        </w:rPr>
        <w:t xml:space="preserve">in forte aumento all’11,5% </w:t>
      </w:r>
      <w:r w:rsidR="004114FD" w:rsidRPr="004D14D4">
        <w:rPr>
          <w:rFonts w:asciiTheme="majorHAnsi" w:hAnsiTheme="majorHAnsi" w:cs="Cambria"/>
          <w:b/>
          <w:szCs w:val="22"/>
          <w:lang w:val="it-IT"/>
        </w:rPr>
        <w:t xml:space="preserve">(+80 </w:t>
      </w:r>
      <w:r w:rsidR="004A12DE" w:rsidRPr="004D14D4">
        <w:rPr>
          <w:rFonts w:asciiTheme="majorHAnsi" w:hAnsiTheme="majorHAnsi" w:cs="Cambria"/>
          <w:b/>
          <w:szCs w:val="22"/>
          <w:lang w:val="it-IT"/>
        </w:rPr>
        <w:t>punti base</w:t>
      </w:r>
      <w:r w:rsidR="004114FD" w:rsidRPr="004D14D4">
        <w:rPr>
          <w:rFonts w:asciiTheme="majorHAnsi" w:hAnsiTheme="majorHAnsi" w:cs="Cambria"/>
          <w:b/>
          <w:szCs w:val="22"/>
          <w:lang w:val="it-IT"/>
        </w:rPr>
        <w:t>)</w:t>
      </w:r>
    </w:p>
    <w:p w14:paraId="30F73B34" w14:textId="5773F9D1" w:rsidR="004114FD" w:rsidRPr="004D14D4" w:rsidRDefault="004A12DE" w:rsidP="00417DEF">
      <w:pPr>
        <w:pStyle w:val="Paragrafoelenco"/>
        <w:numPr>
          <w:ilvl w:val="0"/>
          <w:numId w:val="8"/>
        </w:numPr>
        <w:spacing w:after="80"/>
        <w:ind w:right="-108"/>
        <w:contextualSpacing w:val="0"/>
        <w:rPr>
          <w:rFonts w:asciiTheme="majorHAnsi" w:hAnsiTheme="majorHAnsi" w:cs="Cambria"/>
          <w:b/>
          <w:szCs w:val="22"/>
          <w:lang w:val="it-IT"/>
        </w:rPr>
      </w:pPr>
      <w:r w:rsidRPr="004D14D4">
        <w:rPr>
          <w:rFonts w:asciiTheme="majorHAnsi" w:hAnsiTheme="majorHAnsi" w:cs="Cambria"/>
          <w:b/>
          <w:szCs w:val="22"/>
          <w:lang w:val="it-IT"/>
        </w:rPr>
        <w:t>Utile per azione privilegiata</w:t>
      </w:r>
      <w:r w:rsidR="004114FD" w:rsidRPr="004D14D4">
        <w:rPr>
          <w:rFonts w:asciiTheme="majorHAnsi" w:hAnsiTheme="majorHAnsi" w:cs="Cambria"/>
          <w:b/>
          <w:szCs w:val="22"/>
          <w:lang w:val="it-IT"/>
        </w:rPr>
        <w:t xml:space="preserve"> (EPS)*</w:t>
      </w:r>
      <w:r w:rsidRPr="004D14D4">
        <w:rPr>
          <w:rFonts w:asciiTheme="majorHAnsi" w:hAnsiTheme="majorHAnsi" w:cs="Cambria"/>
          <w:b/>
          <w:szCs w:val="22"/>
          <w:lang w:val="it-IT"/>
        </w:rPr>
        <w:t>:</w:t>
      </w:r>
      <w:r w:rsidR="004114FD" w:rsidRPr="004D14D4">
        <w:rPr>
          <w:rFonts w:asciiTheme="majorHAnsi" w:hAnsiTheme="majorHAnsi" w:cs="Cambria"/>
          <w:b/>
          <w:szCs w:val="22"/>
          <w:lang w:val="it-IT"/>
        </w:rPr>
        <w:t xml:space="preserve"> </w:t>
      </w:r>
      <w:r w:rsidRPr="004D14D4">
        <w:rPr>
          <w:rFonts w:asciiTheme="majorHAnsi" w:hAnsiTheme="majorHAnsi" w:cs="Cambria"/>
          <w:b/>
          <w:szCs w:val="22"/>
          <w:lang w:val="it-IT"/>
        </w:rPr>
        <w:t>aumento a</w:t>
      </w:r>
      <w:r w:rsidR="004114FD" w:rsidRPr="004D14D4">
        <w:rPr>
          <w:rFonts w:asciiTheme="majorHAnsi" w:hAnsiTheme="majorHAnsi" w:cs="Cambria"/>
          <w:b/>
          <w:szCs w:val="22"/>
          <w:lang w:val="it-IT"/>
        </w:rPr>
        <w:t xml:space="preserve"> 2</w:t>
      </w:r>
      <w:r w:rsidRPr="004D14D4">
        <w:rPr>
          <w:rFonts w:asciiTheme="majorHAnsi" w:hAnsiTheme="majorHAnsi" w:cs="Cambria"/>
          <w:b/>
          <w:szCs w:val="22"/>
          <w:lang w:val="it-IT"/>
        </w:rPr>
        <w:t>,</w:t>
      </w:r>
      <w:r w:rsidR="004114FD" w:rsidRPr="004D14D4">
        <w:rPr>
          <w:rFonts w:asciiTheme="majorHAnsi" w:hAnsiTheme="majorHAnsi" w:cs="Cambria"/>
          <w:b/>
          <w:szCs w:val="22"/>
          <w:lang w:val="it-IT"/>
        </w:rPr>
        <w:t>13 euro,</w:t>
      </w:r>
      <w:r w:rsidRPr="004D14D4">
        <w:rPr>
          <w:rFonts w:asciiTheme="majorHAnsi" w:hAnsiTheme="majorHAnsi" w:cs="Cambria"/>
          <w:b/>
          <w:szCs w:val="22"/>
          <w:lang w:val="it-IT"/>
        </w:rPr>
        <w:t xml:space="preserve"> crescita a doppia cifra</w:t>
      </w:r>
      <w:r w:rsidR="004114FD" w:rsidRPr="004D14D4">
        <w:rPr>
          <w:rFonts w:asciiTheme="majorHAnsi" w:hAnsiTheme="majorHAnsi" w:cs="Cambria"/>
          <w:b/>
          <w:szCs w:val="22"/>
          <w:lang w:val="it-IT"/>
        </w:rPr>
        <w:t xml:space="preserve"> </w:t>
      </w:r>
      <w:r w:rsidRPr="004D14D4">
        <w:rPr>
          <w:rFonts w:asciiTheme="majorHAnsi" w:hAnsiTheme="majorHAnsi" w:cs="Cambria"/>
          <w:b/>
          <w:szCs w:val="22"/>
          <w:lang w:val="it-IT"/>
        </w:rPr>
        <w:t xml:space="preserve">del </w:t>
      </w:r>
      <w:r w:rsidR="004114FD" w:rsidRPr="004D14D4">
        <w:rPr>
          <w:rFonts w:asciiTheme="majorHAnsi" w:hAnsiTheme="majorHAnsi" w:cs="Cambria"/>
          <w:b/>
          <w:szCs w:val="22"/>
          <w:lang w:val="it-IT"/>
        </w:rPr>
        <w:t>14</w:t>
      </w:r>
      <w:r w:rsidRPr="004D14D4">
        <w:rPr>
          <w:rFonts w:asciiTheme="majorHAnsi" w:hAnsiTheme="majorHAnsi" w:cs="Cambria"/>
          <w:b/>
          <w:szCs w:val="22"/>
          <w:lang w:val="it-IT"/>
        </w:rPr>
        <w:t>,</w:t>
      </w:r>
      <w:r w:rsidR="004114FD" w:rsidRPr="004D14D4">
        <w:rPr>
          <w:rFonts w:asciiTheme="majorHAnsi" w:hAnsiTheme="majorHAnsi" w:cs="Cambria"/>
          <w:b/>
          <w:szCs w:val="22"/>
          <w:lang w:val="it-IT"/>
        </w:rPr>
        <w:t>4</w:t>
      </w:r>
      <w:r w:rsidRPr="004D14D4">
        <w:rPr>
          <w:rFonts w:asciiTheme="majorHAnsi" w:hAnsiTheme="majorHAnsi" w:cs="Cambria"/>
          <w:b/>
          <w:szCs w:val="22"/>
          <w:lang w:val="it-IT"/>
        </w:rPr>
        <w:t>% a tassi costanti di cambio</w:t>
      </w:r>
    </w:p>
    <w:bookmarkEnd w:id="1"/>
    <w:p w14:paraId="17A6F610" w14:textId="5B958B50" w:rsidR="004114FD" w:rsidRPr="004D14D4" w:rsidRDefault="005B47EA" w:rsidP="00417DEF">
      <w:pPr>
        <w:pStyle w:val="Paragrafoelenco"/>
        <w:numPr>
          <w:ilvl w:val="0"/>
          <w:numId w:val="8"/>
        </w:numPr>
        <w:spacing w:after="80"/>
        <w:ind w:left="357" w:right="-108" w:hanging="357"/>
        <w:contextualSpacing w:val="0"/>
        <w:rPr>
          <w:rFonts w:asciiTheme="majorHAnsi" w:hAnsiTheme="majorHAnsi" w:cs="Cambria"/>
          <w:b/>
          <w:szCs w:val="22"/>
          <w:lang w:val="it-IT"/>
        </w:rPr>
      </w:pPr>
      <w:r w:rsidRPr="004D14D4">
        <w:rPr>
          <w:rFonts w:asciiTheme="majorHAnsi" w:hAnsiTheme="majorHAnsi" w:cs="Cambria"/>
          <w:b/>
          <w:szCs w:val="22"/>
          <w:lang w:val="it-IT"/>
        </w:rPr>
        <w:t>Attuazione</w:t>
      </w:r>
      <w:r w:rsidR="004D14D4" w:rsidRPr="004D14D4">
        <w:rPr>
          <w:rFonts w:asciiTheme="majorHAnsi" w:hAnsiTheme="majorHAnsi" w:cs="Cambria"/>
          <w:b/>
          <w:szCs w:val="22"/>
          <w:lang w:val="it-IT"/>
        </w:rPr>
        <w:t xml:space="preserve"> coerente</w:t>
      </w:r>
      <w:r w:rsidRPr="004D14D4">
        <w:rPr>
          <w:rFonts w:asciiTheme="majorHAnsi" w:hAnsiTheme="majorHAnsi" w:cs="Cambria"/>
          <w:b/>
          <w:szCs w:val="22"/>
          <w:lang w:val="it-IT"/>
        </w:rPr>
        <w:t xml:space="preserve"> dell'agenda strategica di crescita </w:t>
      </w:r>
    </w:p>
    <w:p w14:paraId="7B3A71D1" w14:textId="2598B26F" w:rsidR="004114FD" w:rsidRPr="004D14D4" w:rsidRDefault="004A12DE" w:rsidP="00417DEF">
      <w:pPr>
        <w:pStyle w:val="Paragrafoelenco"/>
        <w:numPr>
          <w:ilvl w:val="0"/>
          <w:numId w:val="8"/>
        </w:numPr>
        <w:spacing w:after="80"/>
        <w:ind w:left="357" w:right="-108" w:hanging="357"/>
        <w:contextualSpacing w:val="0"/>
        <w:rPr>
          <w:rFonts w:asciiTheme="majorHAnsi" w:hAnsiTheme="majorHAnsi" w:cs="Cambria"/>
          <w:b/>
          <w:szCs w:val="22"/>
          <w:lang w:val="it-IT"/>
        </w:rPr>
      </w:pPr>
      <w:r w:rsidRPr="004D14D4">
        <w:rPr>
          <w:rFonts w:asciiTheme="majorHAnsi" w:hAnsiTheme="majorHAnsi" w:cs="Cambria"/>
          <w:b/>
          <w:szCs w:val="22"/>
          <w:lang w:val="it-IT"/>
        </w:rPr>
        <w:t>Revisione al rialzo delle stime per l’anno fiscale 2023</w:t>
      </w:r>
      <w:r w:rsidR="004114FD" w:rsidRPr="004D14D4">
        <w:rPr>
          <w:rFonts w:asciiTheme="majorHAnsi" w:hAnsiTheme="majorHAnsi" w:cs="Cambria"/>
          <w:b/>
          <w:szCs w:val="22"/>
          <w:lang w:val="it-IT"/>
        </w:rPr>
        <w:t xml:space="preserve">: </w:t>
      </w:r>
    </w:p>
    <w:p w14:paraId="0C2D4D00" w14:textId="256DB507" w:rsidR="004114FD" w:rsidRPr="004D14D4" w:rsidRDefault="004A12DE" w:rsidP="00417DEF">
      <w:pPr>
        <w:pStyle w:val="Paragrafoelenco"/>
        <w:numPr>
          <w:ilvl w:val="1"/>
          <w:numId w:val="8"/>
        </w:numPr>
        <w:spacing w:after="80"/>
        <w:ind w:right="-108"/>
        <w:contextualSpacing w:val="0"/>
        <w:rPr>
          <w:rFonts w:asciiTheme="majorHAnsi" w:hAnsiTheme="majorHAnsi" w:cs="Cambria"/>
          <w:b/>
          <w:szCs w:val="22"/>
          <w:lang w:val="it-IT"/>
        </w:rPr>
      </w:pPr>
      <w:r w:rsidRPr="004D14D4">
        <w:rPr>
          <w:rFonts w:asciiTheme="majorHAnsi" w:hAnsiTheme="majorHAnsi" w:cs="Cambria"/>
          <w:b/>
          <w:szCs w:val="22"/>
          <w:lang w:val="it-IT"/>
        </w:rPr>
        <w:t>Crescita organica del fatturato</w:t>
      </w:r>
      <w:r w:rsidR="004114FD" w:rsidRPr="004D14D4">
        <w:rPr>
          <w:rFonts w:asciiTheme="majorHAnsi" w:hAnsiTheme="majorHAnsi" w:cs="Cambria"/>
          <w:b/>
          <w:szCs w:val="22"/>
          <w:lang w:val="it-IT"/>
        </w:rPr>
        <w:t xml:space="preserve"> </w:t>
      </w:r>
      <w:r w:rsidRPr="004D14D4">
        <w:rPr>
          <w:rFonts w:asciiTheme="majorHAnsi" w:hAnsiTheme="majorHAnsi" w:cs="Cambria"/>
          <w:b/>
          <w:szCs w:val="22"/>
          <w:lang w:val="it-IT"/>
        </w:rPr>
        <w:t>tra</w:t>
      </w:r>
      <w:r w:rsidR="004114FD" w:rsidRPr="004D14D4">
        <w:rPr>
          <w:rFonts w:asciiTheme="majorHAnsi" w:hAnsiTheme="majorHAnsi" w:cs="Cambria"/>
          <w:b/>
          <w:szCs w:val="22"/>
          <w:lang w:val="it-IT"/>
        </w:rPr>
        <w:t xml:space="preserve"> 2</w:t>
      </w:r>
      <w:r w:rsidRPr="004D14D4">
        <w:rPr>
          <w:rFonts w:asciiTheme="majorHAnsi" w:hAnsiTheme="majorHAnsi" w:cs="Cambria"/>
          <w:b/>
          <w:szCs w:val="22"/>
          <w:lang w:val="it-IT"/>
        </w:rPr>
        <w:t>,</w:t>
      </w:r>
      <w:r w:rsidR="004114FD" w:rsidRPr="004D14D4">
        <w:rPr>
          <w:rFonts w:asciiTheme="majorHAnsi" w:hAnsiTheme="majorHAnsi" w:cs="Cambria"/>
          <w:b/>
          <w:szCs w:val="22"/>
          <w:lang w:val="it-IT"/>
        </w:rPr>
        <w:t xml:space="preserve">5 </w:t>
      </w:r>
      <w:r w:rsidRPr="004D14D4">
        <w:rPr>
          <w:rFonts w:asciiTheme="majorHAnsi" w:hAnsiTheme="majorHAnsi" w:cs="Cambria"/>
          <w:b/>
          <w:szCs w:val="22"/>
          <w:lang w:val="it-IT"/>
        </w:rPr>
        <w:t>e</w:t>
      </w:r>
      <w:r w:rsidR="004114FD" w:rsidRPr="004D14D4">
        <w:rPr>
          <w:rFonts w:asciiTheme="majorHAnsi" w:hAnsiTheme="majorHAnsi" w:cs="Cambria"/>
          <w:b/>
          <w:szCs w:val="22"/>
          <w:lang w:val="it-IT"/>
        </w:rPr>
        <w:t xml:space="preserve"> 4</w:t>
      </w:r>
      <w:r w:rsidRPr="004D14D4">
        <w:rPr>
          <w:rFonts w:asciiTheme="majorHAnsi" w:hAnsiTheme="majorHAnsi" w:cs="Cambria"/>
          <w:b/>
          <w:szCs w:val="22"/>
          <w:lang w:val="it-IT"/>
        </w:rPr>
        <w:t>,</w:t>
      </w:r>
      <w:r w:rsidR="004114FD" w:rsidRPr="004D14D4">
        <w:rPr>
          <w:rFonts w:asciiTheme="majorHAnsi" w:hAnsiTheme="majorHAnsi" w:cs="Cambria"/>
          <w:b/>
          <w:szCs w:val="22"/>
          <w:lang w:val="it-IT"/>
        </w:rPr>
        <w:t>5</w:t>
      </w:r>
      <w:r w:rsidRPr="004D14D4">
        <w:rPr>
          <w:rFonts w:asciiTheme="majorHAnsi" w:hAnsiTheme="majorHAnsi" w:cs="Cambria"/>
          <w:b/>
          <w:szCs w:val="22"/>
          <w:lang w:val="it-IT"/>
        </w:rPr>
        <w:t>%</w:t>
      </w:r>
    </w:p>
    <w:p w14:paraId="40EFA608" w14:textId="7CC699E5" w:rsidR="004114FD" w:rsidRPr="004D14D4" w:rsidRDefault="001215E3" w:rsidP="00417DEF">
      <w:pPr>
        <w:pStyle w:val="Paragrafoelenco"/>
        <w:numPr>
          <w:ilvl w:val="1"/>
          <w:numId w:val="8"/>
        </w:numPr>
        <w:spacing w:after="80"/>
        <w:ind w:right="-108"/>
        <w:contextualSpacing w:val="0"/>
        <w:rPr>
          <w:rFonts w:asciiTheme="majorHAnsi" w:hAnsiTheme="majorHAnsi" w:cs="Cambria"/>
          <w:b/>
          <w:szCs w:val="22"/>
          <w:lang w:val="it-IT"/>
        </w:rPr>
      </w:pPr>
      <w:r w:rsidRPr="004D14D4">
        <w:rPr>
          <w:rFonts w:asciiTheme="majorHAnsi" w:hAnsiTheme="majorHAnsi" w:cs="Cambria"/>
          <w:b/>
          <w:szCs w:val="22"/>
          <w:lang w:val="it-IT"/>
        </w:rPr>
        <w:t>Ritorno sulle vendite</w:t>
      </w:r>
      <w:r w:rsidR="004114FD" w:rsidRPr="004D14D4">
        <w:rPr>
          <w:rFonts w:asciiTheme="majorHAnsi" w:hAnsiTheme="majorHAnsi" w:cs="Cambria"/>
          <w:b/>
          <w:szCs w:val="22"/>
          <w:lang w:val="it-IT"/>
        </w:rPr>
        <w:t xml:space="preserve"> (</w:t>
      </w:r>
      <w:r w:rsidRPr="004D14D4">
        <w:rPr>
          <w:rFonts w:asciiTheme="majorHAnsi" w:hAnsiTheme="majorHAnsi" w:cs="Cambria"/>
          <w:b/>
          <w:szCs w:val="22"/>
          <w:lang w:val="it-IT"/>
        </w:rPr>
        <w:t xml:space="preserve">margine </w:t>
      </w:r>
      <w:r w:rsidR="004114FD" w:rsidRPr="004D14D4">
        <w:rPr>
          <w:rFonts w:asciiTheme="majorHAnsi" w:hAnsiTheme="majorHAnsi" w:cs="Cambria"/>
          <w:b/>
          <w:szCs w:val="22"/>
          <w:lang w:val="it-IT"/>
        </w:rPr>
        <w:t xml:space="preserve">EBIT)* </w:t>
      </w:r>
      <w:r w:rsidRPr="004D14D4">
        <w:rPr>
          <w:rFonts w:asciiTheme="majorHAnsi" w:hAnsiTheme="majorHAnsi" w:cs="Cambria"/>
          <w:b/>
          <w:szCs w:val="22"/>
          <w:lang w:val="it-IT"/>
        </w:rPr>
        <w:t>tra</w:t>
      </w:r>
      <w:r w:rsidR="004114FD" w:rsidRPr="004D14D4">
        <w:rPr>
          <w:rFonts w:asciiTheme="majorHAnsi" w:hAnsiTheme="majorHAnsi" w:cs="Cambria"/>
          <w:b/>
          <w:szCs w:val="22"/>
          <w:lang w:val="it-IT"/>
        </w:rPr>
        <w:t xml:space="preserve"> 11</w:t>
      </w:r>
      <w:r w:rsidRPr="004D14D4">
        <w:rPr>
          <w:rFonts w:asciiTheme="majorHAnsi" w:hAnsiTheme="majorHAnsi" w:cs="Cambria"/>
          <w:b/>
          <w:szCs w:val="22"/>
          <w:lang w:val="it-IT"/>
        </w:rPr>
        <w:t>,</w:t>
      </w:r>
      <w:r w:rsidR="004114FD" w:rsidRPr="004D14D4">
        <w:rPr>
          <w:rFonts w:asciiTheme="majorHAnsi" w:hAnsiTheme="majorHAnsi" w:cs="Cambria"/>
          <w:b/>
          <w:szCs w:val="22"/>
          <w:lang w:val="it-IT"/>
        </w:rPr>
        <w:t xml:space="preserve">0 </w:t>
      </w:r>
      <w:r w:rsidRPr="004D14D4">
        <w:rPr>
          <w:rFonts w:asciiTheme="majorHAnsi" w:hAnsiTheme="majorHAnsi" w:cs="Cambria"/>
          <w:b/>
          <w:szCs w:val="22"/>
          <w:lang w:val="it-IT"/>
        </w:rPr>
        <w:t>e</w:t>
      </w:r>
      <w:r w:rsidR="004114FD" w:rsidRPr="004D14D4">
        <w:rPr>
          <w:rFonts w:asciiTheme="majorHAnsi" w:hAnsiTheme="majorHAnsi" w:cs="Cambria"/>
          <w:b/>
          <w:szCs w:val="22"/>
          <w:lang w:val="it-IT"/>
        </w:rPr>
        <w:t xml:space="preserve"> 12</w:t>
      </w:r>
      <w:r w:rsidRPr="004D14D4">
        <w:rPr>
          <w:rFonts w:asciiTheme="majorHAnsi" w:hAnsiTheme="majorHAnsi" w:cs="Cambria"/>
          <w:b/>
          <w:szCs w:val="22"/>
          <w:lang w:val="it-IT"/>
        </w:rPr>
        <w:t>,</w:t>
      </w:r>
      <w:r w:rsidR="004114FD" w:rsidRPr="004D14D4">
        <w:rPr>
          <w:rFonts w:asciiTheme="majorHAnsi" w:hAnsiTheme="majorHAnsi" w:cs="Cambria"/>
          <w:b/>
          <w:szCs w:val="22"/>
          <w:lang w:val="it-IT"/>
        </w:rPr>
        <w:t>5</w:t>
      </w:r>
      <w:r w:rsidRPr="004D14D4">
        <w:rPr>
          <w:rFonts w:asciiTheme="majorHAnsi" w:hAnsiTheme="majorHAnsi" w:cs="Cambria"/>
          <w:b/>
          <w:szCs w:val="22"/>
          <w:lang w:val="it-IT"/>
        </w:rPr>
        <w:t>%</w:t>
      </w:r>
    </w:p>
    <w:p w14:paraId="44C1611D" w14:textId="0169415C" w:rsidR="004114FD" w:rsidRPr="004D14D4" w:rsidRDefault="001215E3" w:rsidP="00417DEF">
      <w:pPr>
        <w:pStyle w:val="Paragrafoelenco"/>
        <w:numPr>
          <w:ilvl w:val="1"/>
          <w:numId w:val="8"/>
        </w:numPr>
        <w:spacing w:after="80"/>
        <w:ind w:right="-108"/>
        <w:contextualSpacing w:val="0"/>
        <w:rPr>
          <w:rFonts w:asciiTheme="majorHAnsi" w:hAnsiTheme="majorHAnsi" w:cs="Cambria"/>
          <w:b/>
          <w:szCs w:val="22"/>
          <w:lang w:val="it-IT"/>
        </w:rPr>
      </w:pPr>
      <w:r w:rsidRPr="004D14D4">
        <w:rPr>
          <w:rFonts w:asciiTheme="majorHAnsi" w:hAnsiTheme="majorHAnsi" w:cs="Cambria"/>
          <w:b/>
          <w:szCs w:val="22"/>
          <w:lang w:val="it-IT"/>
        </w:rPr>
        <w:t>Utile per azione privilegiata</w:t>
      </w:r>
      <w:r w:rsidR="004114FD" w:rsidRPr="004D14D4">
        <w:rPr>
          <w:rFonts w:asciiTheme="majorHAnsi" w:hAnsiTheme="majorHAnsi" w:cs="Cambria"/>
          <w:b/>
          <w:szCs w:val="22"/>
          <w:lang w:val="it-IT"/>
        </w:rPr>
        <w:t xml:space="preserve"> (EPS)*</w:t>
      </w:r>
      <w:r w:rsidR="00A40078" w:rsidRPr="004D14D4">
        <w:rPr>
          <w:rFonts w:asciiTheme="majorHAnsi" w:hAnsiTheme="majorHAnsi" w:cs="Cambria"/>
          <w:b/>
          <w:szCs w:val="22"/>
          <w:lang w:val="it-IT"/>
        </w:rPr>
        <w:t xml:space="preserve"> in</w:t>
      </w:r>
      <w:r w:rsidRPr="004D14D4">
        <w:rPr>
          <w:rFonts w:asciiTheme="majorHAnsi" w:hAnsiTheme="majorHAnsi" w:cs="Cambria"/>
          <w:b/>
          <w:szCs w:val="22"/>
          <w:lang w:val="it-IT"/>
        </w:rPr>
        <w:t xml:space="preserve"> aumento nella fascia compresa tra</w:t>
      </w:r>
      <w:r w:rsidR="004114FD" w:rsidRPr="004D14D4">
        <w:rPr>
          <w:rFonts w:asciiTheme="majorHAnsi" w:hAnsiTheme="majorHAnsi" w:cs="Cambria"/>
          <w:b/>
          <w:szCs w:val="22"/>
          <w:lang w:val="it-IT"/>
        </w:rPr>
        <w:t xml:space="preserve"> +5 </w:t>
      </w:r>
      <w:r w:rsidRPr="004D14D4">
        <w:rPr>
          <w:rFonts w:asciiTheme="majorHAnsi" w:hAnsiTheme="majorHAnsi" w:cs="Cambria"/>
          <w:b/>
          <w:szCs w:val="22"/>
          <w:lang w:val="it-IT"/>
        </w:rPr>
        <w:t>e</w:t>
      </w:r>
      <w:r w:rsidR="004114FD" w:rsidRPr="004D14D4">
        <w:rPr>
          <w:rFonts w:asciiTheme="majorHAnsi" w:hAnsiTheme="majorHAnsi" w:cs="Cambria"/>
          <w:b/>
          <w:szCs w:val="22"/>
          <w:lang w:val="it-IT"/>
        </w:rPr>
        <w:t xml:space="preserve"> +20</w:t>
      </w:r>
      <w:r w:rsidRPr="004D14D4">
        <w:rPr>
          <w:rFonts w:asciiTheme="majorHAnsi" w:hAnsiTheme="majorHAnsi" w:cs="Cambria"/>
          <w:b/>
          <w:szCs w:val="22"/>
          <w:lang w:val="it-IT"/>
        </w:rPr>
        <w:t>% a tassi costanti di cambio</w:t>
      </w:r>
    </w:p>
    <w:p w14:paraId="2815C9F9" w14:textId="77777777" w:rsidR="0051139B" w:rsidRPr="00A80C6D" w:rsidRDefault="0051139B" w:rsidP="00AA1F68">
      <w:pPr>
        <w:rPr>
          <w:rFonts w:cs="Segoe UI"/>
          <w:szCs w:val="22"/>
          <w:lang w:val="it-IT"/>
        </w:rPr>
      </w:pPr>
    </w:p>
    <w:p w14:paraId="737771A8" w14:textId="1EF757CC" w:rsidR="00A80C6D" w:rsidRPr="004D14D4" w:rsidRDefault="00AA1F68" w:rsidP="00046845">
      <w:pPr>
        <w:rPr>
          <w:rFonts w:cs="Segoe UI"/>
          <w:szCs w:val="22"/>
          <w:lang w:val="it-IT"/>
        </w:rPr>
      </w:pPr>
      <w:r w:rsidRPr="00A80C6D">
        <w:rPr>
          <w:rFonts w:cs="Segoe UI"/>
          <w:szCs w:val="22"/>
          <w:lang w:val="it-IT"/>
        </w:rPr>
        <w:t>Düsseldorf</w:t>
      </w:r>
      <w:r w:rsidR="00D20CFC" w:rsidRPr="00A80C6D">
        <w:rPr>
          <w:rFonts w:cs="Segoe UI"/>
          <w:szCs w:val="22"/>
          <w:lang w:val="it-IT"/>
        </w:rPr>
        <w:t xml:space="preserve"> </w:t>
      </w:r>
      <w:r w:rsidRPr="00A80C6D">
        <w:rPr>
          <w:rFonts w:cs="Segoe UI"/>
          <w:szCs w:val="22"/>
          <w:lang w:val="it-IT"/>
        </w:rPr>
        <w:t xml:space="preserve">– </w:t>
      </w:r>
      <w:r w:rsidR="00046845" w:rsidRPr="004D14D4">
        <w:rPr>
          <w:rFonts w:cs="Segoe UI"/>
          <w:szCs w:val="22"/>
          <w:lang w:val="it-IT"/>
        </w:rPr>
        <w:t xml:space="preserve">Henkel </w:t>
      </w:r>
      <w:r w:rsidR="005B47EA" w:rsidRPr="004D14D4">
        <w:rPr>
          <w:rFonts w:cs="Segoe UI"/>
          <w:szCs w:val="22"/>
          <w:lang w:val="it-IT"/>
        </w:rPr>
        <w:t xml:space="preserve">ha aumentato significativamente le vendite e gli utili nella prima metà del 2023 </w:t>
      </w:r>
      <w:r w:rsidR="00A80C6D" w:rsidRPr="004D14D4">
        <w:rPr>
          <w:rFonts w:cs="Segoe UI"/>
          <w:szCs w:val="22"/>
          <w:lang w:val="it-IT"/>
        </w:rPr>
        <w:t xml:space="preserve">in uno scenario economico che </w:t>
      </w:r>
      <w:r w:rsidR="00A44070" w:rsidRPr="004D14D4">
        <w:rPr>
          <w:rFonts w:cs="Segoe UI"/>
          <w:szCs w:val="22"/>
          <w:lang w:val="it-IT"/>
        </w:rPr>
        <w:t>continua a essere sfidante.</w:t>
      </w:r>
    </w:p>
    <w:p w14:paraId="484CE7C0" w14:textId="77777777" w:rsidR="00A80C6D" w:rsidRDefault="00A80C6D" w:rsidP="00046845">
      <w:pPr>
        <w:rPr>
          <w:rFonts w:cs="Segoe UI"/>
          <w:szCs w:val="22"/>
          <w:lang w:val="it-IT"/>
        </w:rPr>
      </w:pPr>
    </w:p>
    <w:p w14:paraId="26E65E19" w14:textId="3DC8AB8A" w:rsidR="00046845" w:rsidRDefault="00A44070" w:rsidP="003A56CA">
      <w:pPr>
        <w:rPr>
          <w:rFonts w:cs="Segoe UI"/>
          <w:szCs w:val="22"/>
          <w:lang w:val="it-IT"/>
        </w:rPr>
      </w:pPr>
      <w:r>
        <w:rPr>
          <w:rFonts w:cs="Segoe UI"/>
          <w:szCs w:val="22"/>
          <w:lang w:val="it-IT"/>
        </w:rPr>
        <w:t>“</w:t>
      </w:r>
      <w:r w:rsidR="0078298E">
        <w:rPr>
          <w:rFonts w:cs="Segoe UI"/>
          <w:szCs w:val="22"/>
          <w:lang w:val="it-IT"/>
        </w:rPr>
        <w:t>Entrambe le nostre business unit sono cresciute in modo molto forte</w:t>
      </w:r>
      <w:r w:rsidR="00D265AE">
        <w:rPr>
          <w:rFonts w:cs="Segoe UI"/>
          <w:szCs w:val="22"/>
          <w:lang w:val="it-IT"/>
        </w:rPr>
        <w:t xml:space="preserve"> e siamo riusciti a migliorare la profittabilità nonostante le </w:t>
      </w:r>
      <w:r w:rsidR="00411337">
        <w:rPr>
          <w:rFonts w:cs="Segoe UI"/>
          <w:szCs w:val="22"/>
          <w:lang w:val="it-IT"/>
        </w:rPr>
        <w:t xml:space="preserve">difficoltà legate ai costi delle materie </w:t>
      </w:r>
      <w:r w:rsidR="00A057FA">
        <w:rPr>
          <w:rFonts w:cs="Segoe UI"/>
          <w:szCs w:val="22"/>
          <w:lang w:val="it-IT"/>
        </w:rPr>
        <w:t xml:space="preserve">prime e </w:t>
      </w:r>
      <w:r w:rsidR="003A56CA">
        <w:rPr>
          <w:rFonts w:cs="Segoe UI"/>
          <w:szCs w:val="22"/>
          <w:lang w:val="it-IT"/>
        </w:rPr>
        <w:t>de</w:t>
      </w:r>
      <w:r w:rsidR="00A057FA">
        <w:rPr>
          <w:rFonts w:cs="Segoe UI"/>
          <w:szCs w:val="22"/>
          <w:lang w:val="it-IT"/>
        </w:rPr>
        <w:t>lla logistica.</w:t>
      </w:r>
      <w:r w:rsidR="00D3640C">
        <w:rPr>
          <w:rFonts w:cs="Segoe UI"/>
          <w:szCs w:val="22"/>
          <w:lang w:val="it-IT"/>
        </w:rPr>
        <w:t xml:space="preserve"> Visti gli ottimi risultati del primo semestre, guardiamo con fiducia alla seconda metà </w:t>
      </w:r>
      <w:r w:rsidR="00D3640C">
        <w:rPr>
          <w:rFonts w:cs="Segoe UI"/>
          <w:szCs w:val="22"/>
          <w:lang w:val="it-IT"/>
        </w:rPr>
        <w:lastRenderedPageBreak/>
        <w:t xml:space="preserve">dell’anno e alziamo le nostre </w:t>
      </w:r>
      <w:r w:rsidR="003A56CA" w:rsidRPr="003A56CA">
        <w:rPr>
          <w:rFonts w:cs="Segoe UI"/>
          <w:b/>
          <w:bCs/>
          <w:szCs w:val="22"/>
          <w:lang w:val="it-IT"/>
        </w:rPr>
        <w:t>previsioni</w:t>
      </w:r>
      <w:r w:rsidR="00D3640C" w:rsidRPr="003A56CA">
        <w:rPr>
          <w:rFonts w:cs="Segoe UI"/>
          <w:b/>
          <w:bCs/>
          <w:szCs w:val="22"/>
          <w:lang w:val="it-IT"/>
        </w:rPr>
        <w:t xml:space="preserve"> </w:t>
      </w:r>
      <w:r w:rsidR="009B26D6" w:rsidRPr="003A56CA">
        <w:rPr>
          <w:rFonts w:cs="Segoe UI"/>
          <w:b/>
          <w:bCs/>
          <w:szCs w:val="22"/>
          <w:lang w:val="it-IT"/>
        </w:rPr>
        <w:t>per fatturato e utili</w:t>
      </w:r>
      <w:r w:rsidR="009B26D6">
        <w:rPr>
          <w:rFonts w:cs="Segoe UI"/>
          <w:szCs w:val="22"/>
          <w:lang w:val="it-IT"/>
        </w:rPr>
        <w:t xml:space="preserve">”, ha commentato il CEO di Henkel, </w:t>
      </w:r>
      <w:r w:rsidR="00046845" w:rsidRPr="00A80C6D">
        <w:rPr>
          <w:rFonts w:asciiTheme="majorHAnsi" w:hAnsiTheme="majorHAnsi" w:cs="Cambria"/>
          <w:noProof/>
          <w:szCs w:val="22"/>
          <w:lang w:val="it-IT"/>
        </w:rPr>
        <w:t>Carsten Knobel</w:t>
      </w:r>
      <w:r w:rsidR="00046845" w:rsidRPr="00A80C6D">
        <w:rPr>
          <w:rFonts w:cs="Segoe UI"/>
          <w:szCs w:val="22"/>
          <w:lang w:val="it-IT"/>
        </w:rPr>
        <w:t xml:space="preserve">. </w:t>
      </w:r>
    </w:p>
    <w:p w14:paraId="332D6ED7" w14:textId="77777777" w:rsidR="00A40078" w:rsidRPr="00A80C6D" w:rsidRDefault="00A40078" w:rsidP="003A56CA">
      <w:pPr>
        <w:rPr>
          <w:rFonts w:cs="Segoe UI"/>
          <w:szCs w:val="22"/>
          <w:lang w:val="it-IT"/>
        </w:rPr>
      </w:pPr>
    </w:p>
    <w:p w14:paraId="6EB4B208" w14:textId="11EFF45F" w:rsidR="00046845" w:rsidRPr="00A80C6D" w:rsidRDefault="00046845" w:rsidP="00046845">
      <w:pPr>
        <w:rPr>
          <w:rFonts w:cs="Segoe UI"/>
          <w:szCs w:val="22"/>
          <w:lang w:val="it-IT"/>
        </w:rPr>
      </w:pPr>
      <w:r w:rsidRPr="00A80C6D">
        <w:rPr>
          <w:rFonts w:cs="Segoe UI"/>
          <w:szCs w:val="22"/>
          <w:lang w:val="it-IT"/>
        </w:rPr>
        <w:t>“</w:t>
      </w:r>
      <w:r w:rsidR="003A56CA">
        <w:rPr>
          <w:rFonts w:cs="Segoe UI"/>
          <w:szCs w:val="22"/>
          <w:lang w:val="it-IT"/>
        </w:rPr>
        <w:t xml:space="preserve">In questi sei mesi abbiamo fatto ampi progressi nell’implementazione della nostra </w:t>
      </w:r>
      <w:r w:rsidR="003A56CA">
        <w:rPr>
          <w:rFonts w:cs="Segoe UI"/>
          <w:b/>
          <w:bCs/>
          <w:szCs w:val="22"/>
          <w:lang w:val="it-IT"/>
        </w:rPr>
        <w:t>agenda strategica di crescita</w:t>
      </w:r>
      <w:r w:rsidR="003A56CA">
        <w:rPr>
          <w:rFonts w:cs="Segoe UI"/>
          <w:szCs w:val="22"/>
          <w:lang w:val="it-IT"/>
        </w:rPr>
        <w:t>. L’integrazione della divisione Consumer Brands procede più velocemente del previsto</w:t>
      </w:r>
      <w:r w:rsidR="00B646B7">
        <w:rPr>
          <w:rFonts w:cs="Segoe UI"/>
          <w:szCs w:val="22"/>
          <w:lang w:val="it-IT"/>
        </w:rPr>
        <w:t xml:space="preserve"> e stiamo </w:t>
      </w:r>
      <w:r w:rsidR="00742CEF">
        <w:rPr>
          <w:rFonts w:cs="Segoe UI"/>
          <w:szCs w:val="22"/>
          <w:lang w:val="it-IT"/>
        </w:rPr>
        <w:t xml:space="preserve">continuando a </w:t>
      </w:r>
      <w:r w:rsidR="002949F1">
        <w:rPr>
          <w:rFonts w:cs="Segoe UI"/>
          <w:szCs w:val="22"/>
          <w:lang w:val="it-IT"/>
        </w:rPr>
        <w:t xml:space="preserve">ottimizzare il nostro portafoglio </w:t>
      </w:r>
      <w:r w:rsidR="00E66E14">
        <w:rPr>
          <w:rFonts w:cs="Segoe UI"/>
          <w:szCs w:val="22"/>
          <w:lang w:val="it-IT"/>
        </w:rPr>
        <w:t xml:space="preserve">con marchi e prodotti ad alta marginalità e con </w:t>
      </w:r>
      <w:r w:rsidR="00723C5E">
        <w:rPr>
          <w:rFonts w:cs="Segoe UI"/>
          <w:szCs w:val="22"/>
          <w:lang w:val="it-IT"/>
        </w:rPr>
        <w:t>elevate</w:t>
      </w:r>
      <w:r w:rsidR="00E66E14">
        <w:rPr>
          <w:rFonts w:cs="Segoe UI"/>
          <w:szCs w:val="22"/>
          <w:lang w:val="it-IT"/>
        </w:rPr>
        <w:t xml:space="preserve"> potenzialità di sviluppo. Questo si </w:t>
      </w:r>
      <w:r w:rsidR="009F5594">
        <w:rPr>
          <w:rFonts w:cs="Segoe UI"/>
          <w:szCs w:val="22"/>
          <w:lang w:val="it-IT"/>
        </w:rPr>
        <w:t>riflette nella profittabilità della business unit. Abbiam</w:t>
      </w:r>
      <w:r w:rsidR="00B6090B">
        <w:rPr>
          <w:rFonts w:cs="Segoe UI"/>
          <w:szCs w:val="22"/>
          <w:lang w:val="it-IT"/>
        </w:rPr>
        <w:t xml:space="preserve">o inoltre </w:t>
      </w:r>
      <w:r w:rsidR="00802723">
        <w:rPr>
          <w:rFonts w:cs="Segoe UI"/>
          <w:szCs w:val="22"/>
          <w:lang w:val="it-IT"/>
        </w:rPr>
        <w:t>lavorato sul</w:t>
      </w:r>
      <w:r w:rsidR="00B6090B">
        <w:rPr>
          <w:rFonts w:cs="Segoe UI"/>
          <w:szCs w:val="22"/>
          <w:lang w:val="it-IT"/>
        </w:rPr>
        <w:t xml:space="preserve">la struttura organizzativa della divisione Adhesive Technologies </w:t>
      </w:r>
      <w:r w:rsidR="00802723">
        <w:rPr>
          <w:rFonts w:cs="Segoe UI"/>
          <w:szCs w:val="22"/>
          <w:lang w:val="it-IT"/>
        </w:rPr>
        <w:t>per allinearla ancora meglio alle esigenze dei clienti</w:t>
      </w:r>
      <w:r w:rsidR="00D51B44">
        <w:rPr>
          <w:rFonts w:cs="Segoe UI"/>
          <w:szCs w:val="22"/>
          <w:lang w:val="it-IT"/>
        </w:rPr>
        <w:t xml:space="preserve">, consolidare la nostra leadership globale e </w:t>
      </w:r>
      <w:r w:rsidR="008907B8">
        <w:rPr>
          <w:rFonts w:cs="Segoe UI"/>
          <w:szCs w:val="22"/>
          <w:lang w:val="it-IT"/>
        </w:rPr>
        <w:t xml:space="preserve">accelerare la crescita. </w:t>
      </w:r>
      <w:r w:rsidR="00640C2B">
        <w:rPr>
          <w:rFonts w:cs="Segoe UI"/>
          <w:szCs w:val="22"/>
          <w:lang w:val="it-IT"/>
        </w:rPr>
        <w:t>I</w:t>
      </w:r>
      <w:r w:rsidR="008907B8">
        <w:rPr>
          <w:rFonts w:cs="Segoe UI"/>
          <w:szCs w:val="22"/>
          <w:lang w:val="it-IT"/>
        </w:rPr>
        <w:t>nfine</w:t>
      </w:r>
      <w:r w:rsidR="00640C2B">
        <w:rPr>
          <w:rFonts w:cs="Segoe UI"/>
          <w:szCs w:val="22"/>
          <w:lang w:val="it-IT"/>
        </w:rPr>
        <w:t>,</w:t>
      </w:r>
      <w:r w:rsidR="008907B8">
        <w:rPr>
          <w:rFonts w:cs="Segoe UI"/>
          <w:szCs w:val="22"/>
          <w:lang w:val="it-IT"/>
        </w:rPr>
        <w:t xml:space="preserve"> </w:t>
      </w:r>
      <w:r w:rsidR="00640C2B">
        <w:rPr>
          <w:rFonts w:cs="Segoe UI"/>
          <w:szCs w:val="22"/>
          <w:lang w:val="it-IT"/>
        </w:rPr>
        <w:t xml:space="preserve">stiamo portando avanti importanti iniziative nel campo della sostenibilità e della digitalizzazione per </w:t>
      </w:r>
      <w:r w:rsidR="005B47EA" w:rsidRPr="004D14D4">
        <w:rPr>
          <w:rFonts w:cs="Segoe UI"/>
          <w:szCs w:val="22"/>
          <w:lang w:val="it-IT"/>
        </w:rPr>
        <w:t>rafforzare</w:t>
      </w:r>
      <w:r w:rsidR="00640C2B">
        <w:rPr>
          <w:rFonts w:cs="Segoe UI"/>
          <w:szCs w:val="22"/>
          <w:lang w:val="it-IT"/>
        </w:rPr>
        <w:t xml:space="preserve"> ulteriormente la nostra posizione competitiva</w:t>
      </w:r>
      <w:r w:rsidR="00723C5E">
        <w:rPr>
          <w:rFonts w:cs="Segoe UI"/>
          <w:szCs w:val="22"/>
          <w:lang w:val="it-IT"/>
        </w:rPr>
        <w:t>”</w:t>
      </w:r>
      <w:r w:rsidR="00640C2B">
        <w:rPr>
          <w:rFonts w:cs="Segoe UI"/>
          <w:szCs w:val="22"/>
          <w:lang w:val="it-IT"/>
        </w:rPr>
        <w:t xml:space="preserve">, ha aggiunto </w:t>
      </w:r>
      <w:r w:rsidRPr="00A80C6D">
        <w:rPr>
          <w:rFonts w:cs="Segoe UI"/>
          <w:szCs w:val="22"/>
          <w:lang w:val="it-IT"/>
        </w:rPr>
        <w:t>Carsten Knobel.</w:t>
      </w:r>
    </w:p>
    <w:p w14:paraId="251ECBA7" w14:textId="77777777" w:rsidR="00046845" w:rsidRDefault="00046845" w:rsidP="00046845">
      <w:pPr>
        <w:rPr>
          <w:rFonts w:cs="Segoe UI"/>
          <w:szCs w:val="22"/>
          <w:lang w:val="it-IT"/>
        </w:rPr>
      </w:pPr>
    </w:p>
    <w:p w14:paraId="0D55177C" w14:textId="343C8297" w:rsidR="00640C2B" w:rsidRPr="00640C2B" w:rsidRDefault="003158D7" w:rsidP="00640C2B">
      <w:pPr>
        <w:rPr>
          <w:rFonts w:cs="Segoe UI"/>
          <w:b/>
          <w:bCs/>
          <w:sz w:val="24"/>
          <w:lang w:val="it-IT"/>
        </w:rPr>
      </w:pPr>
      <w:r>
        <w:rPr>
          <w:rFonts w:cs="Segoe UI"/>
          <w:b/>
          <w:bCs/>
          <w:sz w:val="24"/>
          <w:lang w:val="it-IT"/>
        </w:rPr>
        <w:t>P</w:t>
      </w:r>
      <w:r w:rsidR="00640C2B" w:rsidRPr="00640C2B">
        <w:rPr>
          <w:rFonts w:cs="Segoe UI"/>
          <w:b/>
          <w:bCs/>
          <w:sz w:val="24"/>
          <w:lang w:val="it-IT"/>
        </w:rPr>
        <w:t xml:space="preserve">revisioni </w:t>
      </w:r>
      <w:r>
        <w:rPr>
          <w:rFonts w:cs="Segoe UI"/>
          <w:b/>
          <w:bCs/>
          <w:sz w:val="24"/>
          <w:lang w:val="it-IT"/>
        </w:rPr>
        <w:t xml:space="preserve">aggiornate </w:t>
      </w:r>
      <w:r w:rsidR="00640C2B" w:rsidRPr="00640C2B">
        <w:rPr>
          <w:rFonts w:cs="Segoe UI"/>
          <w:b/>
          <w:bCs/>
          <w:sz w:val="24"/>
          <w:lang w:val="it-IT"/>
        </w:rPr>
        <w:t>per l’anno fiscale 2023</w:t>
      </w:r>
    </w:p>
    <w:p w14:paraId="45218D1B" w14:textId="77777777" w:rsidR="006C37A7" w:rsidRDefault="003158D7" w:rsidP="00640C2B">
      <w:pPr>
        <w:rPr>
          <w:rFonts w:cs="Segoe UI"/>
          <w:szCs w:val="22"/>
          <w:lang w:val="it-IT"/>
        </w:rPr>
      </w:pPr>
      <w:r>
        <w:rPr>
          <w:rFonts w:cs="Segoe UI"/>
          <w:szCs w:val="22"/>
          <w:lang w:val="it-IT"/>
        </w:rPr>
        <w:t xml:space="preserve">A livello di Gruppo, </w:t>
      </w:r>
      <w:r w:rsidR="00A05BF2">
        <w:rPr>
          <w:rFonts w:cs="Segoe UI"/>
          <w:szCs w:val="22"/>
          <w:lang w:val="it-IT"/>
        </w:rPr>
        <w:t xml:space="preserve">per l’anno fiscale 2023 </w:t>
      </w:r>
      <w:r w:rsidR="00640C2B" w:rsidRPr="00640C2B">
        <w:rPr>
          <w:rFonts w:cs="Segoe UI"/>
          <w:szCs w:val="22"/>
          <w:lang w:val="it-IT"/>
        </w:rPr>
        <w:t xml:space="preserve">Henkel prevede </w:t>
      </w:r>
      <w:r>
        <w:rPr>
          <w:rFonts w:cs="Segoe UI"/>
          <w:szCs w:val="22"/>
          <w:lang w:val="it-IT"/>
        </w:rPr>
        <w:t xml:space="preserve">ora </w:t>
      </w:r>
      <w:r w:rsidR="00640C2B" w:rsidRPr="00640C2B">
        <w:rPr>
          <w:rFonts w:cs="Segoe UI"/>
          <w:szCs w:val="22"/>
          <w:lang w:val="it-IT"/>
        </w:rPr>
        <w:t xml:space="preserve">una </w:t>
      </w:r>
      <w:r w:rsidR="00640C2B" w:rsidRPr="004C759F">
        <w:rPr>
          <w:rFonts w:cs="Segoe UI"/>
          <w:b/>
          <w:bCs/>
          <w:szCs w:val="22"/>
          <w:lang w:val="it-IT"/>
        </w:rPr>
        <w:t xml:space="preserve">crescita organica del fatturato </w:t>
      </w:r>
      <w:r w:rsidR="00640C2B" w:rsidRPr="00640C2B">
        <w:rPr>
          <w:rFonts w:cs="Segoe UI"/>
          <w:szCs w:val="22"/>
          <w:lang w:val="it-IT"/>
        </w:rPr>
        <w:t>compresa tra</w:t>
      </w:r>
      <w:r>
        <w:rPr>
          <w:rFonts w:cs="Segoe UI"/>
          <w:szCs w:val="22"/>
          <w:lang w:val="it-IT"/>
        </w:rPr>
        <w:t xml:space="preserve"> </w:t>
      </w:r>
      <w:r w:rsidR="00A05BF2">
        <w:rPr>
          <w:rFonts w:cs="Segoe UI"/>
          <w:szCs w:val="22"/>
          <w:lang w:val="it-IT"/>
        </w:rPr>
        <w:t>il 2,5 e il 4,5% (prima: tra</w:t>
      </w:r>
      <w:r w:rsidR="00640C2B" w:rsidRPr="00640C2B">
        <w:rPr>
          <w:rFonts w:cs="Segoe UI"/>
          <w:szCs w:val="22"/>
          <w:lang w:val="it-IT"/>
        </w:rPr>
        <w:t xml:space="preserve"> l’1,0 e il 3,0%</w:t>
      </w:r>
      <w:r w:rsidR="00A05BF2">
        <w:rPr>
          <w:rFonts w:cs="Segoe UI"/>
          <w:szCs w:val="22"/>
          <w:lang w:val="it-IT"/>
        </w:rPr>
        <w:t>)</w:t>
      </w:r>
      <w:r w:rsidR="00C10D00">
        <w:rPr>
          <w:rFonts w:cs="Segoe UI"/>
          <w:szCs w:val="22"/>
          <w:lang w:val="it-IT"/>
        </w:rPr>
        <w:t>. Per Adhesive Technologies, la crescita è attesa tra il 2,0 e il 4,0% (prima: tr</w:t>
      </w:r>
      <w:r w:rsidR="00516144">
        <w:rPr>
          <w:rFonts w:cs="Segoe UI"/>
          <w:szCs w:val="22"/>
          <w:lang w:val="it-IT"/>
        </w:rPr>
        <w:t>a</w:t>
      </w:r>
      <w:r w:rsidR="00516144" w:rsidRPr="00640C2B">
        <w:rPr>
          <w:rFonts w:cs="Segoe UI"/>
          <w:szCs w:val="22"/>
          <w:lang w:val="it-IT"/>
        </w:rPr>
        <w:t xml:space="preserve"> l’1,0 e il 3,0%</w:t>
      </w:r>
      <w:r w:rsidR="00516144">
        <w:rPr>
          <w:rFonts w:cs="Segoe UI"/>
          <w:szCs w:val="22"/>
          <w:lang w:val="it-IT"/>
        </w:rPr>
        <w:t>), per Consumer Brands tra il 3,0 e il 5,0% (prima: tra</w:t>
      </w:r>
      <w:r w:rsidR="00516144" w:rsidRPr="00640C2B">
        <w:rPr>
          <w:rFonts w:cs="Segoe UI"/>
          <w:szCs w:val="22"/>
          <w:lang w:val="it-IT"/>
        </w:rPr>
        <w:t xml:space="preserve"> l’1,0 e il 3,0%</w:t>
      </w:r>
      <w:r w:rsidR="00516144">
        <w:rPr>
          <w:rFonts w:cs="Segoe UI"/>
          <w:szCs w:val="22"/>
          <w:lang w:val="it-IT"/>
        </w:rPr>
        <w:t>).</w:t>
      </w:r>
      <w:r w:rsidR="004C759F">
        <w:rPr>
          <w:rFonts w:cs="Segoe UI"/>
          <w:szCs w:val="22"/>
          <w:lang w:val="it-IT"/>
        </w:rPr>
        <w:t xml:space="preserve"> </w:t>
      </w:r>
    </w:p>
    <w:p w14:paraId="301F6A58" w14:textId="77777777" w:rsidR="006C37A7" w:rsidRDefault="006C37A7" w:rsidP="00640C2B">
      <w:pPr>
        <w:rPr>
          <w:rFonts w:cs="Segoe UI"/>
          <w:szCs w:val="22"/>
          <w:lang w:val="it-IT"/>
        </w:rPr>
      </w:pPr>
    </w:p>
    <w:p w14:paraId="75058DBF" w14:textId="082A8F1A" w:rsidR="00AB30B8" w:rsidRDefault="00640C2B" w:rsidP="00640C2B">
      <w:pPr>
        <w:rPr>
          <w:rFonts w:cs="Segoe UI"/>
          <w:szCs w:val="22"/>
          <w:lang w:val="it-IT"/>
        </w:rPr>
      </w:pPr>
      <w:r w:rsidRPr="00640C2B">
        <w:rPr>
          <w:rFonts w:cs="Segoe UI"/>
          <w:szCs w:val="22"/>
          <w:lang w:val="it-IT"/>
        </w:rPr>
        <w:t xml:space="preserve">Il </w:t>
      </w:r>
      <w:r w:rsidRPr="004C759F">
        <w:rPr>
          <w:rFonts w:cs="Segoe UI"/>
          <w:b/>
          <w:bCs/>
          <w:szCs w:val="22"/>
          <w:lang w:val="it-IT"/>
        </w:rPr>
        <w:t>tasso depurato di ritorno sulle vendite</w:t>
      </w:r>
      <w:r w:rsidRPr="00640C2B">
        <w:rPr>
          <w:rFonts w:cs="Segoe UI"/>
          <w:szCs w:val="22"/>
          <w:lang w:val="it-IT"/>
        </w:rPr>
        <w:t xml:space="preserve"> (margine EBIT depurato) </w:t>
      </w:r>
      <w:r w:rsidR="005B47EA" w:rsidRPr="004D14D4">
        <w:rPr>
          <w:rFonts w:cs="Segoe UI"/>
          <w:szCs w:val="22"/>
          <w:lang w:val="it-IT"/>
        </w:rPr>
        <w:t xml:space="preserve">a livello di Gruppo </w:t>
      </w:r>
      <w:r w:rsidRPr="004D14D4">
        <w:rPr>
          <w:rFonts w:cs="Segoe UI"/>
          <w:szCs w:val="22"/>
          <w:lang w:val="it-IT"/>
        </w:rPr>
        <w:t xml:space="preserve">è </w:t>
      </w:r>
      <w:r w:rsidR="005B47EA" w:rsidRPr="004D14D4">
        <w:rPr>
          <w:rFonts w:cs="Segoe UI"/>
          <w:szCs w:val="22"/>
          <w:lang w:val="it-IT"/>
        </w:rPr>
        <w:t xml:space="preserve">ora </w:t>
      </w:r>
      <w:r w:rsidR="006C37A7">
        <w:rPr>
          <w:rFonts w:cs="Segoe UI"/>
          <w:szCs w:val="22"/>
          <w:lang w:val="it-IT"/>
        </w:rPr>
        <w:t>stimato</w:t>
      </w:r>
      <w:r w:rsidRPr="00640C2B">
        <w:rPr>
          <w:rFonts w:cs="Segoe UI"/>
          <w:szCs w:val="22"/>
          <w:lang w:val="it-IT"/>
        </w:rPr>
        <w:t xml:space="preserve"> tra</w:t>
      </w:r>
      <w:r w:rsidR="006C37A7">
        <w:rPr>
          <w:rFonts w:cs="Segoe UI"/>
          <w:szCs w:val="22"/>
          <w:lang w:val="it-IT"/>
        </w:rPr>
        <w:t xml:space="preserve"> l’11 e il 12,5% (prima: tra</w:t>
      </w:r>
      <w:r w:rsidRPr="00640C2B">
        <w:rPr>
          <w:rFonts w:cs="Segoe UI"/>
          <w:szCs w:val="22"/>
          <w:lang w:val="it-IT"/>
        </w:rPr>
        <w:t xml:space="preserve"> il 10,0 e il 12,0%</w:t>
      </w:r>
      <w:r w:rsidR="006C37A7">
        <w:rPr>
          <w:rFonts w:cs="Segoe UI"/>
          <w:szCs w:val="22"/>
          <w:lang w:val="it-IT"/>
        </w:rPr>
        <w:t>)</w:t>
      </w:r>
      <w:r w:rsidRPr="00640C2B">
        <w:rPr>
          <w:rFonts w:cs="Segoe UI"/>
          <w:szCs w:val="22"/>
          <w:lang w:val="it-IT"/>
        </w:rPr>
        <w:t>,</w:t>
      </w:r>
      <w:r w:rsidR="00CC05CC">
        <w:rPr>
          <w:rFonts w:cs="Segoe UI"/>
          <w:szCs w:val="22"/>
          <w:lang w:val="it-IT"/>
        </w:rPr>
        <w:t xml:space="preserve"> con Ad</w:t>
      </w:r>
      <w:r w:rsidR="00CC05CC" w:rsidRPr="00640C2B">
        <w:rPr>
          <w:rFonts w:cs="Segoe UI"/>
          <w:szCs w:val="22"/>
          <w:lang w:val="it-IT"/>
        </w:rPr>
        <w:t>hesive Technologies</w:t>
      </w:r>
      <w:r w:rsidR="00CC05CC">
        <w:rPr>
          <w:rFonts w:cs="Segoe UI"/>
          <w:szCs w:val="22"/>
          <w:lang w:val="it-IT"/>
        </w:rPr>
        <w:t xml:space="preserve"> tra </w:t>
      </w:r>
      <w:r w:rsidR="0049676A">
        <w:rPr>
          <w:rFonts w:cs="Segoe UI"/>
          <w:szCs w:val="22"/>
          <w:lang w:val="it-IT"/>
        </w:rPr>
        <w:t xml:space="preserve">il 13,5 e il 15,0% (prima: </w:t>
      </w:r>
      <w:r w:rsidRPr="00640C2B">
        <w:rPr>
          <w:rFonts w:cs="Segoe UI"/>
          <w:szCs w:val="22"/>
          <w:lang w:val="it-IT"/>
        </w:rPr>
        <w:t>tra il 13,0 e il 15,0%</w:t>
      </w:r>
      <w:r w:rsidR="0049676A">
        <w:rPr>
          <w:rFonts w:cs="Segoe UI"/>
          <w:szCs w:val="22"/>
          <w:lang w:val="it-IT"/>
        </w:rPr>
        <w:t>)</w:t>
      </w:r>
      <w:r w:rsidRPr="00640C2B">
        <w:rPr>
          <w:rFonts w:cs="Segoe UI"/>
          <w:szCs w:val="22"/>
          <w:lang w:val="it-IT"/>
        </w:rPr>
        <w:t xml:space="preserve"> </w:t>
      </w:r>
      <w:r w:rsidR="0049676A">
        <w:rPr>
          <w:rFonts w:cs="Segoe UI"/>
          <w:szCs w:val="22"/>
          <w:lang w:val="it-IT"/>
        </w:rPr>
        <w:t xml:space="preserve">e </w:t>
      </w:r>
      <w:r w:rsidR="0049676A" w:rsidRPr="00640C2B">
        <w:rPr>
          <w:rFonts w:cs="Segoe UI"/>
          <w:szCs w:val="22"/>
          <w:lang w:val="it-IT"/>
        </w:rPr>
        <w:t xml:space="preserve">Consumer Brands </w:t>
      </w:r>
      <w:r w:rsidR="0049676A">
        <w:rPr>
          <w:rFonts w:cs="Segoe UI"/>
          <w:szCs w:val="22"/>
          <w:lang w:val="it-IT"/>
        </w:rPr>
        <w:t>tra il 9,5 e l’11,0%</w:t>
      </w:r>
      <w:r w:rsidRPr="00640C2B">
        <w:rPr>
          <w:rFonts w:cs="Segoe UI"/>
          <w:szCs w:val="22"/>
          <w:lang w:val="it-IT"/>
        </w:rPr>
        <w:t xml:space="preserve"> </w:t>
      </w:r>
      <w:r w:rsidR="0049676A">
        <w:rPr>
          <w:rFonts w:cs="Segoe UI"/>
          <w:szCs w:val="22"/>
          <w:lang w:val="it-IT"/>
        </w:rPr>
        <w:t xml:space="preserve">(prima: </w:t>
      </w:r>
      <w:r w:rsidRPr="00640C2B">
        <w:rPr>
          <w:rFonts w:cs="Segoe UI"/>
          <w:szCs w:val="22"/>
          <w:lang w:val="it-IT"/>
        </w:rPr>
        <w:t>tra il 7,5 e il 9,5%</w:t>
      </w:r>
      <w:r w:rsidR="00AB30B8">
        <w:rPr>
          <w:rFonts w:cs="Segoe UI"/>
          <w:szCs w:val="22"/>
          <w:lang w:val="it-IT"/>
        </w:rPr>
        <w:t>).</w:t>
      </w:r>
      <w:r w:rsidRPr="00640C2B">
        <w:rPr>
          <w:rFonts w:cs="Segoe UI"/>
          <w:szCs w:val="22"/>
          <w:lang w:val="it-IT"/>
        </w:rPr>
        <w:t xml:space="preserve"> </w:t>
      </w:r>
    </w:p>
    <w:p w14:paraId="526E0054" w14:textId="77777777" w:rsidR="00AB30B8" w:rsidRDefault="00AB30B8" w:rsidP="00640C2B">
      <w:pPr>
        <w:rPr>
          <w:rFonts w:cs="Segoe UI"/>
          <w:szCs w:val="22"/>
          <w:lang w:val="it-IT"/>
        </w:rPr>
      </w:pPr>
    </w:p>
    <w:p w14:paraId="1472B1D6" w14:textId="174A13A8" w:rsidR="00640C2B" w:rsidRPr="00640C2B" w:rsidRDefault="00640C2B" w:rsidP="00640C2B">
      <w:pPr>
        <w:rPr>
          <w:rFonts w:cs="Segoe UI"/>
          <w:szCs w:val="22"/>
          <w:lang w:val="it-IT"/>
        </w:rPr>
      </w:pPr>
      <w:r w:rsidRPr="00640C2B">
        <w:rPr>
          <w:rFonts w:cs="Segoe UI"/>
          <w:szCs w:val="22"/>
          <w:lang w:val="it-IT"/>
        </w:rPr>
        <w:t xml:space="preserve">A tassi costanti di cambio, </w:t>
      </w:r>
      <w:r w:rsidR="005B47EA" w:rsidRPr="004D14D4">
        <w:rPr>
          <w:rFonts w:cs="Segoe UI"/>
          <w:szCs w:val="22"/>
          <w:lang w:val="it-IT"/>
        </w:rPr>
        <w:t>l’aumento del</w:t>
      </w:r>
      <w:r w:rsidRPr="004D14D4">
        <w:rPr>
          <w:rFonts w:cs="Segoe UI"/>
          <w:szCs w:val="22"/>
          <w:lang w:val="it-IT"/>
        </w:rPr>
        <w:t>l’</w:t>
      </w:r>
      <w:r w:rsidRPr="004D14D4">
        <w:rPr>
          <w:rFonts w:cs="Segoe UI"/>
          <w:b/>
          <w:bCs/>
          <w:szCs w:val="22"/>
          <w:lang w:val="it-IT"/>
        </w:rPr>
        <w:t>u</w:t>
      </w:r>
      <w:r w:rsidRPr="00AB30B8">
        <w:rPr>
          <w:rFonts w:cs="Segoe UI"/>
          <w:b/>
          <w:bCs/>
          <w:szCs w:val="22"/>
          <w:lang w:val="it-IT"/>
        </w:rPr>
        <w:t xml:space="preserve">tile depurato per azione privilegiata </w:t>
      </w:r>
      <w:r w:rsidRPr="00640C2B">
        <w:rPr>
          <w:rFonts w:cs="Segoe UI"/>
          <w:szCs w:val="22"/>
          <w:lang w:val="it-IT"/>
        </w:rPr>
        <w:t xml:space="preserve">(EPS) è </w:t>
      </w:r>
      <w:r w:rsidR="00AB30B8">
        <w:rPr>
          <w:rFonts w:cs="Segoe UI"/>
          <w:szCs w:val="22"/>
          <w:lang w:val="it-IT"/>
        </w:rPr>
        <w:t xml:space="preserve">previsto </w:t>
      </w:r>
      <w:r w:rsidR="00AB30B8" w:rsidRPr="00AB30B8">
        <w:rPr>
          <w:rFonts w:cs="Segoe UI"/>
          <w:szCs w:val="22"/>
          <w:lang w:val="it-IT"/>
        </w:rPr>
        <w:t xml:space="preserve">nella fascia compresa tra +5 e +20% </w:t>
      </w:r>
      <w:r w:rsidR="00AB30B8">
        <w:rPr>
          <w:rFonts w:cs="Segoe UI"/>
          <w:szCs w:val="22"/>
          <w:lang w:val="it-IT"/>
        </w:rPr>
        <w:t>(prima:</w:t>
      </w:r>
      <w:r w:rsidRPr="00640C2B">
        <w:rPr>
          <w:rFonts w:cs="Segoe UI"/>
          <w:szCs w:val="22"/>
          <w:lang w:val="it-IT"/>
        </w:rPr>
        <w:t xml:space="preserve"> tra -10,0 e +10,0%</w:t>
      </w:r>
      <w:r w:rsidR="00AB30B8">
        <w:rPr>
          <w:rFonts w:cs="Segoe UI"/>
          <w:szCs w:val="22"/>
          <w:lang w:val="it-IT"/>
        </w:rPr>
        <w:t>)</w:t>
      </w:r>
      <w:r w:rsidRPr="00640C2B">
        <w:rPr>
          <w:rFonts w:cs="Segoe UI"/>
          <w:szCs w:val="22"/>
          <w:lang w:val="it-IT"/>
        </w:rPr>
        <w:t xml:space="preserve">. </w:t>
      </w:r>
    </w:p>
    <w:p w14:paraId="16B141B0" w14:textId="77777777" w:rsidR="00046845" w:rsidRPr="00A80C6D" w:rsidRDefault="00046845" w:rsidP="00046845">
      <w:pPr>
        <w:rPr>
          <w:rFonts w:cs="Segoe UI"/>
          <w:b/>
          <w:bCs/>
          <w:szCs w:val="22"/>
          <w:lang w:val="it-IT"/>
        </w:rPr>
      </w:pPr>
    </w:p>
    <w:p w14:paraId="2931B1FD" w14:textId="4A907007" w:rsidR="00046845" w:rsidRPr="00AB30B8" w:rsidRDefault="00AB30B8" w:rsidP="00AB30B8">
      <w:pPr>
        <w:rPr>
          <w:rFonts w:cs="Segoe UI"/>
          <w:b/>
          <w:bCs/>
          <w:sz w:val="24"/>
          <w:lang w:val="it-IT"/>
        </w:rPr>
      </w:pPr>
      <w:r>
        <w:rPr>
          <w:rFonts w:cs="Segoe UI"/>
          <w:b/>
          <w:bCs/>
          <w:sz w:val="24"/>
          <w:lang w:val="it-IT"/>
        </w:rPr>
        <w:t>Sintesi dei risultati del primo semestre 2023</w:t>
      </w:r>
    </w:p>
    <w:p w14:paraId="0CF44359" w14:textId="617C4127" w:rsidR="0044314E" w:rsidRDefault="00046845" w:rsidP="00046845">
      <w:pPr>
        <w:rPr>
          <w:rFonts w:cs="Segoe UI"/>
          <w:szCs w:val="22"/>
          <w:lang w:val="it-IT"/>
        </w:rPr>
      </w:pPr>
      <w:r w:rsidRPr="00A80C6D">
        <w:rPr>
          <w:rFonts w:cs="Segoe UI"/>
          <w:szCs w:val="22"/>
          <w:lang w:val="it-IT"/>
        </w:rPr>
        <w:t>A</w:t>
      </w:r>
      <w:r w:rsidR="00AE7D7F">
        <w:rPr>
          <w:rFonts w:cs="Segoe UI"/>
          <w:szCs w:val="22"/>
          <w:lang w:val="it-IT"/>
        </w:rPr>
        <w:t xml:space="preserve"> quota</w:t>
      </w:r>
      <w:r w:rsidRPr="00A80C6D">
        <w:rPr>
          <w:rFonts w:cs="Segoe UI"/>
          <w:szCs w:val="22"/>
          <w:lang w:val="it-IT"/>
        </w:rPr>
        <w:t xml:space="preserve"> 10</w:t>
      </w:r>
      <w:r w:rsidR="00AE7D7F">
        <w:rPr>
          <w:rFonts w:cs="Segoe UI"/>
          <w:szCs w:val="22"/>
          <w:lang w:val="it-IT"/>
        </w:rPr>
        <w:t>.</w:t>
      </w:r>
      <w:r w:rsidRPr="00A80C6D">
        <w:rPr>
          <w:rFonts w:cs="Segoe UI"/>
          <w:szCs w:val="22"/>
          <w:lang w:val="it-IT"/>
        </w:rPr>
        <w:t>926 milion</w:t>
      </w:r>
      <w:r w:rsidR="00AE7D7F">
        <w:rPr>
          <w:rFonts w:cs="Segoe UI"/>
          <w:szCs w:val="22"/>
          <w:lang w:val="it-IT"/>
        </w:rPr>
        <w:t>i di</w:t>
      </w:r>
      <w:r w:rsidRPr="00A80C6D">
        <w:rPr>
          <w:rFonts w:cs="Segoe UI"/>
          <w:szCs w:val="22"/>
          <w:lang w:val="it-IT"/>
        </w:rPr>
        <w:t xml:space="preserve"> euro,</w:t>
      </w:r>
      <w:r w:rsidR="00AE7D7F">
        <w:rPr>
          <w:rFonts w:cs="Segoe UI"/>
          <w:szCs w:val="22"/>
          <w:lang w:val="it-IT"/>
        </w:rPr>
        <w:t xml:space="preserve"> nel primo semestre 2023 il </w:t>
      </w:r>
      <w:r w:rsidR="00AE7D7F">
        <w:rPr>
          <w:rFonts w:cs="Segoe UI"/>
          <w:b/>
          <w:bCs/>
          <w:szCs w:val="22"/>
          <w:lang w:val="it-IT"/>
        </w:rPr>
        <w:t>fatturato del Gruppo</w:t>
      </w:r>
      <w:r w:rsidR="00AE7D7F">
        <w:rPr>
          <w:rFonts w:cs="Segoe UI"/>
          <w:szCs w:val="22"/>
          <w:lang w:val="it-IT"/>
        </w:rPr>
        <w:t xml:space="preserve"> ha superato dello 0,1% il livello d</w:t>
      </w:r>
      <w:r w:rsidR="005B004B">
        <w:rPr>
          <w:rFonts w:cs="Segoe UI"/>
          <w:szCs w:val="22"/>
          <w:lang w:val="it-IT"/>
        </w:rPr>
        <w:t xml:space="preserve">ello stesso periodo dello scorso anno </w:t>
      </w:r>
      <w:r w:rsidRPr="00A80C6D">
        <w:rPr>
          <w:rFonts w:cs="Segoe UI"/>
          <w:szCs w:val="22"/>
          <w:lang w:val="it-IT"/>
        </w:rPr>
        <w:t>(Q2: 5</w:t>
      </w:r>
      <w:r w:rsidR="005B004B">
        <w:rPr>
          <w:rFonts w:cs="Segoe UI"/>
          <w:szCs w:val="22"/>
          <w:lang w:val="it-IT"/>
        </w:rPr>
        <w:t>.</w:t>
      </w:r>
      <w:r w:rsidRPr="00A80C6D">
        <w:rPr>
          <w:rFonts w:cs="Segoe UI"/>
          <w:szCs w:val="22"/>
          <w:lang w:val="it-IT"/>
        </w:rPr>
        <w:t>316 milion</w:t>
      </w:r>
      <w:r w:rsidR="005B004B">
        <w:rPr>
          <w:rFonts w:cs="Segoe UI"/>
          <w:szCs w:val="22"/>
          <w:lang w:val="it-IT"/>
        </w:rPr>
        <w:t>i di</w:t>
      </w:r>
      <w:r w:rsidRPr="00A80C6D">
        <w:rPr>
          <w:rFonts w:cs="Segoe UI"/>
          <w:szCs w:val="22"/>
          <w:lang w:val="it-IT"/>
        </w:rPr>
        <w:t xml:space="preserve"> euro, -5</w:t>
      </w:r>
      <w:r w:rsidR="005B004B">
        <w:rPr>
          <w:rFonts w:cs="Segoe UI"/>
          <w:szCs w:val="22"/>
          <w:lang w:val="it-IT"/>
        </w:rPr>
        <w:t>,</w:t>
      </w:r>
      <w:r w:rsidRPr="00A80C6D">
        <w:rPr>
          <w:rFonts w:cs="Segoe UI"/>
          <w:szCs w:val="22"/>
          <w:lang w:val="it-IT"/>
        </w:rPr>
        <w:t>8</w:t>
      </w:r>
      <w:r w:rsidR="0044314E">
        <w:rPr>
          <w:rFonts w:cs="Segoe UI"/>
          <w:szCs w:val="22"/>
          <w:lang w:val="it-IT"/>
        </w:rPr>
        <w:t>%</w:t>
      </w:r>
      <w:r w:rsidRPr="00A80C6D">
        <w:rPr>
          <w:rFonts w:cs="Segoe UI"/>
          <w:szCs w:val="22"/>
          <w:lang w:val="it-IT"/>
        </w:rPr>
        <w:t>).</w:t>
      </w:r>
      <w:r w:rsidR="002720FC">
        <w:rPr>
          <w:rFonts w:cs="Segoe UI"/>
          <w:szCs w:val="22"/>
          <w:lang w:val="it-IT"/>
        </w:rPr>
        <w:t xml:space="preserve"> </w:t>
      </w:r>
      <w:r w:rsidR="002720FC" w:rsidRPr="00380E51">
        <w:rPr>
          <w:rFonts w:cs="Segoe UI"/>
          <w:szCs w:val="22"/>
          <w:lang w:val="it-IT"/>
        </w:rPr>
        <w:t>Questo si traduce in una crescita</w:t>
      </w:r>
      <w:r w:rsidR="007A6691" w:rsidRPr="00380E51">
        <w:rPr>
          <w:rFonts w:cs="Segoe UI"/>
          <w:szCs w:val="22"/>
          <w:lang w:val="it-IT"/>
        </w:rPr>
        <w:t xml:space="preserve"> organica</w:t>
      </w:r>
      <w:r w:rsidR="0044314E" w:rsidRPr="00380E51">
        <w:rPr>
          <w:rFonts w:cs="Segoe UI"/>
          <w:szCs w:val="22"/>
          <w:lang w:val="it-IT"/>
        </w:rPr>
        <w:t xml:space="preserve"> </w:t>
      </w:r>
      <w:r w:rsidR="007A6691" w:rsidRPr="00380E51">
        <w:rPr>
          <w:rFonts w:cs="Segoe UI"/>
          <w:szCs w:val="22"/>
          <w:lang w:val="it-IT"/>
        </w:rPr>
        <w:t xml:space="preserve">molto forte </w:t>
      </w:r>
      <w:r w:rsidR="002720FC" w:rsidRPr="00380E51">
        <w:rPr>
          <w:rFonts w:cs="Segoe UI"/>
          <w:szCs w:val="22"/>
          <w:lang w:val="it-IT"/>
        </w:rPr>
        <w:t xml:space="preserve">del </w:t>
      </w:r>
      <w:r w:rsidR="0044314E">
        <w:rPr>
          <w:rFonts w:cs="Segoe UI"/>
          <w:szCs w:val="22"/>
          <w:lang w:val="it-IT"/>
        </w:rPr>
        <w:t>4,9% (Q2: 3,2%)</w:t>
      </w:r>
      <w:r w:rsidR="00054F7F">
        <w:rPr>
          <w:rFonts w:cs="Segoe UI"/>
          <w:szCs w:val="22"/>
          <w:lang w:val="it-IT"/>
        </w:rPr>
        <w:t xml:space="preserve">. I cambi valutari hanno inciso negativamente </w:t>
      </w:r>
      <w:r w:rsidR="00736A8D">
        <w:rPr>
          <w:rFonts w:cs="Segoe UI"/>
          <w:szCs w:val="22"/>
          <w:lang w:val="it-IT"/>
        </w:rPr>
        <w:t>nell’ordine del 2,5% (Q2: -5,8%), mentre acquisizioni e disinvestimenti hanno ridotto il fatturato del 2,2% (Q2: -3,2%).</w:t>
      </w:r>
    </w:p>
    <w:p w14:paraId="4EE91A5D" w14:textId="77777777" w:rsidR="0044314E" w:rsidRDefault="0044314E" w:rsidP="00046845">
      <w:pPr>
        <w:rPr>
          <w:rFonts w:cs="Segoe UI"/>
          <w:szCs w:val="22"/>
          <w:lang w:val="it-IT"/>
        </w:rPr>
      </w:pPr>
    </w:p>
    <w:p w14:paraId="1A991215" w14:textId="57812FC2" w:rsidR="00046845" w:rsidRPr="00A80C6D" w:rsidRDefault="00453A7B" w:rsidP="00046845">
      <w:pPr>
        <w:rPr>
          <w:rFonts w:cs="Segoe UI"/>
          <w:szCs w:val="22"/>
          <w:lang w:val="it-IT"/>
        </w:rPr>
      </w:pPr>
      <w:r>
        <w:rPr>
          <w:rFonts w:cs="Segoe UI"/>
          <w:szCs w:val="22"/>
          <w:lang w:val="it-IT"/>
        </w:rPr>
        <w:t>Nella prima metà dell’anno entrambe le business unit</w:t>
      </w:r>
      <w:r w:rsidR="00244B3A">
        <w:rPr>
          <w:rFonts w:cs="Segoe UI"/>
          <w:szCs w:val="22"/>
          <w:lang w:val="it-IT"/>
        </w:rPr>
        <w:t xml:space="preserve"> hanno contribuito a questo risultato</w:t>
      </w:r>
      <w:r>
        <w:rPr>
          <w:rFonts w:cs="Segoe UI"/>
          <w:szCs w:val="22"/>
          <w:lang w:val="it-IT"/>
        </w:rPr>
        <w:t xml:space="preserve">. </w:t>
      </w:r>
      <w:r w:rsidRPr="00244B3A">
        <w:rPr>
          <w:rFonts w:cs="Segoe UI"/>
          <w:b/>
          <w:bCs/>
          <w:szCs w:val="22"/>
          <w:lang w:val="it-IT"/>
        </w:rPr>
        <w:t>Adhesive Technologies</w:t>
      </w:r>
      <w:r>
        <w:rPr>
          <w:rFonts w:cs="Segoe UI"/>
          <w:szCs w:val="22"/>
          <w:lang w:val="it-IT"/>
        </w:rPr>
        <w:t xml:space="preserve"> ha registrato una crescita organica </w:t>
      </w:r>
      <w:r w:rsidR="00244B3A">
        <w:rPr>
          <w:rFonts w:cs="Segoe UI"/>
          <w:szCs w:val="22"/>
          <w:lang w:val="it-IT"/>
        </w:rPr>
        <w:t xml:space="preserve">pari al 4,7%, trainata soprattutto dai segmenti </w:t>
      </w:r>
      <w:r w:rsidR="00046845" w:rsidRPr="00A80C6D">
        <w:rPr>
          <w:rFonts w:cs="Segoe UI"/>
          <w:szCs w:val="22"/>
          <w:lang w:val="it-IT"/>
        </w:rPr>
        <w:t>Mobility &amp; Electronics</w:t>
      </w:r>
      <w:r w:rsidR="00244B3A">
        <w:rPr>
          <w:rFonts w:cs="Segoe UI"/>
          <w:szCs w:val="22"/>
          <w:lang w:val="it-IT"/>
        </w:rPr>
        <w:t>,</w:t>
      </w:r>
      <w:r w:rsidR="00046845" w:rsidRPr="00A80C6D">
        <w:rPr>
          <w:rFonts w:cs="Segoe UI"/>
          <w:szCs w:val="22"/>
          <w:lang w:val="it-IT"/>
        </w:rPr>
        <w:t xml:space="preserve"> Craftsmen, Construction &amp; Professional.</w:t>
      </w:r>
      <w:r w:rsidR="00244B3A">
        <w:rPr>
          <w:rFonts w:cs="Segoe UI"/>
          <w:szCs w:val="22"/>
          <w:lang w:val="it-IT"/>
        </w:rPr>
        <w:t xml:space="preserve"> La divisione</w:t>
      </w:r>
      <w:r w:rsidR="00046845" w:rsidRPr="00A80C6D">
        <w:rPr>
          <w:rFonts w:cs="Segoe UI"/>
          <w:szCs w:val="22"/>
          <w:lang w:val="it-IT"/>
        </w:rPr>
        <w:t xml:space="preserve"> </w:t>
      </w:r>
      <w:r w:rsidR="00046845" w:rsidRPr="00A80C6D">
        <w:rPr>
          <w:rFonts w:cs="Segoe UI"/>
          <w:b/>
          <w:bCs/>
          <w:szCs w:val="22"/>
          <w:lang w:val="it-IT"/>
        </w:rPr>
        <w:lastRenderedPageBreak/>
        <w:t>Consumer Brands</w:t>
      </w:r>
      <w:r w:rsidR="00046845" w:rsidRPr="00A80C6D">
        <w:rPr>
          <w:rFonts w:cs="Segoe UI"/>
          <w:szCs w:val="22"/>
          <w:lang w:val="it-IT"/>
        </w:rPr>
        <w:t xml:space="preserve"> </w:t>
      </w:r>
      <w:r w:rsidR="00244B3A">
        <w:rPr>
          <w:rFonts w:cs="Segoe UI"/>
          <w:szCs w:val="22"/>
          <w:lang w:val="it-IT"/>
        </w:rPr>
        <w:t xml:space="preserve">ha visto il fatturato crescere del 5,7% in termini organici, </w:t>
      </w:r>
      <w:r w:rsidR="00157108">
        <w:rPr>
          <w:rFonts w:cs="Segoe UI"/>
          <w:szCs w:val="22"/>
          <w:lang w:val="it-IT"/>
        </w:rPr>
        <w:t>con uno sviluppo particolarmente positivo nei segmenti</w:t>
      </w:r>
      <w:r w:rsidR="00046845" w:rsidRPr="00A80C6D">
        <w:rPr>
          <w:rFonts w:cs="Segoe UI"/>
          <w:szCs w:val="22"/>
          <w:lang w:val="it-IT"/>
        </w:rPr>
        <w:t xml:space="preserve"> Laundry &amp; Home Care </w:t>
      </w:r>
      <w:r w:rsidR="00157108">
        <w:rPr>
          <w:rFonts w:cs="Segoe UI"/>
          <w:szCs w:val="22"/>
          <w:lang w:val="it-IT"/>
        </w:rPr>
        <w:t>ed</w:t>
      </w:r>
      <w:r w:rsidR="00046845" w:rsidRPr="00A80C6D">
        <w:rPr>
          <w:rFonts w:cs="Segoe UI"/>
          <w:szCs w:val="22"/>
          <w:lang w:val="it-IT"/>
        </w:rPr>
        <w:t xml:space="preserve"> Hair.</w:t>
      </w:r>
    </w:p>
    <w:p w14:paraId="7D5765B9" w14:textId="77777777" w:rsidR="00046845" w:rsidRPr="00A80C6D" w:rsidRDefault="00046845" w:rsidP="00046845">
      <w:pPr>
        <w:rPr>
          <w:rFonts w:cs="Segoe UI"/>
          <w:szCs w:val="22"/>
          <w:highlight w:val="yellow"/>
          <w:lang w:val="it-IT"/>
        </w:rPr>
      </w:pPr>
    </w:p>
    <w:p w14:paraId="19FF74FF" w14:textId="546CB697" w:rsidR="00C928B0" w:rsidRPr="00380E51" w:rsidRDefault="00324511" w:rsidP="00046845">
      <w:pPr>
        <w:rPr>
          <w:rFonts w:cs="Segoe UI"/>
          <w:szCs w:val="22"/>
          <w:lang w:val="it-IT"/>
        </w:rPr>
      </w:pPr>
      <w:r>
        <w:rPr>
          <w:rFonts w:cs="Segoe UI"/>
          <w:szCs w:val="22"/>
          <w:lang w:val="it-IT"/>
        </w:rPr>
        <w:t xml:space="preserve">Sempre in termini organici, in </w:t>
      </w:r>
      <w:r w:rsidRPr="00324511">
        <w:rPr>
          <w:rFonts w:cs="Segoe UI"/>
          <w:b/>
          <w:bCs/>
          <w:szCs w:val="22"/>
          <w:lang w:val="it-IT"/>
        </w:rPr>
        <w:t>Europa</w:t>
      </w:r>
      <w:r>
        <w:rPr>
          <w:rFonts w:cs="Segoe UI"/>
          <w:szCs w:val="22"/>
          <w:lang w:val="it-IT"/>
        </w:rPr>
        <w:t xml:space="preserve"> il fatturato</w:t>
      </w:r>
      <w:r w:rsidR="00046845" w:rsidRPr="00A80C6D">
        <w:rPr>
          <w:rFonts w:cs="Segoe UI"/>
          <w:szCs w:val="22"/>
          <w:lang w:val="it-IT"/>
        </w:rPr>
        <w:t xml:space="preserve"> </w:t>
      </w:r>
      <w:r>
        <w:rPr>
          <w:rFonts w:cs="Segoe UI"/>
          <w:szCs w:val="22"/>
          <w:lang w:val="it-IT"/>
        </w:rPr>
        <w:t xml:space="preserve">è cresciuto del </w:t>
      </w:r>
      <w:r w:rsidR="00046845" w:rsidRPr="00A80C6D">
        <w:rPr>
          <w:rFonts w:cs="Segoe UI"/>
          <w:szCs w:val="22"/>
          <w:lang w:val="it-IT"/>
        </w:rPr>
        <w:t>2</w:t>
      </w:r>
      <w:r>
        <w:rPr>
          <w:rFonts w:cs="Segoe UI"/>
          <w:szCs w:val="22"/>
          <w:lang w:val="it-IT"/>
        </w:rPr>
        <w:t>,</w:t>
      </w:r>
      <w:r w:rsidR="00046845" w:rsidRPr="00A80C6D">
        <w:rPr>
          <w:rFonts w:cs="Segoe UI"/>
          <w:szCs w:val="22"/>
          <w:lang w:val="it-IT"/>
        </w:rPr>
        <w:t>4</w:t>
      </w:r>
      <w:r>
        <w:rPr>
          <w:rFonts w:cs="Segoe UI"/>
          <w:szCs w:val="22"/>
          <w:lang w:val="it-IT"/>
        </w:rPr>
        <w:t xml:space="preserve">% </w:t>
      </w:r>
      <w:r w:rsidR="00046845" w:rsidRPr="00A80C6D">
        <w:rPr>
          <w:rFonts w:cs="Segoe UI"/>
          <w:szCs w:val="22"/>
          <w:lang w:val="it-IT"/>
        </w:rPr>
        <w:t>(Q2: 0</w:t>
      </w:r>
      <w:r w:rsidR="00E5203D">
        <w:rPr>
          <w:rFonts w:cs="Segoe UI"/>
          <w:szCs w:val="22"/>
          <w:lang w:val="it-IT"/>
        </w:rPr>
        <w:t>,</w:t>
      </w:r>
      <w:r w:rsidR="00046845" w:rsidRPr="00A80C6D">
        <w:rPr>
          <w:rFonts w:cs="Segoe UI"/>
          <w:szCs w:val="22"/>
          <w:lang w:val="it-IT"/>
        </w:rPr>
        <w:t>8</w:t>
      </w:r>
      <w:r w:rsidR="00E5203D">
        <w:rPr>
          <w:rFonts w:cs="Segoe UI"/>
          <w:szCs w:val="22"/>
          <w:lang w:val="it-IT"/>
        </w:rPr>
        <w:t>%</w:t>
      </w:r>
      <w:r w:rsidR="00046845" w:rsidRPr="00A80C6D">
        <w:rPr>
          <w:rFonts w:cs="Segoe UI"/>
          <w:szCs w:val="22"/>
          <w:lang w:val="it-IT"/>
        </w:rPr>
        <w:t xml:space="preserve">). </w:t>
      </w:r>
      <w:r w:rsidR="00E5203D">
        <w:rPr>
          <w:rFonts w:cs="Segoe UI"/>
          <w:szCs w:val="22"/>
          <w:lang w:val="it-IT"/>
        </w:rPr>
        <w:t>Nella regione</w:t>
      </w:r>
      <w:r w:rsidR="00046845" w:rsidRPr="00A80C6D">
        <w:rPr>
          <w:rFonts w:cs="Segoe UI"/>
          <w:szCs w:val="22"/>
          <w:lang w:val="it-IT"/>
        </w:rPr>
        <w:t xml:space="preserve"> </w:t>
      </w:r>
      <w:r w:rsidR="00046845" w:rsidRPr="00A80C6D">
        <w:rPr>
          <w:rFonts w:cs="Segoe UI"/>
          <w:b/>
          <w:bCs/>
          <w:szCs w:val="22"/>
          <w:lang w:val="it-IT"/>
        </w:rPr>
        <w:t>IMEA</w:t>
      </w:r>
      <w:r w:rsidR="00046845" w:rsidRPr="00A80C6D">
        <w:rPr>
          <w:rFonts w:cs="Segoe UI"/>
          <w:szCs w:val="22"/>
          <w:lang w:val="it-IT"/>
        </w:rPr>
        <w:t xml:space="preserve"> </w:t>
      </w:r>
      <w:r w:rsidR="00E5203D">
        <w:rPr>
          <w:rFonts w:cs="Segoe UI"/>
          <w:szCs w:val="22"/>
          <w:lang w:val="it-IT"/>
        </w:rPr>
        <w:t>lo sviluppo è stato nell’ordine del</w:t>
      </w:r>
      <w:r w:rsidR="00046845" w:rsidRPr="00A80C6D">
        <w:rPr>
          <w:rFonts w:cs="Segoe UI"/>
          <w:szCs w:val="22"/>
          <w:lang w:val="it-IT"/>
        </w:rPr>
        <w:t xml:space="preserve"> 25</w:t>
      </w:r>
      <w:r w:rsidR="00E5203D">
        <w:rPr>
          <w:rFonts w:cs="Segoe UI"/>
          <w:szCs w:val="22"/>
          <w:lang w:val="it-IT"/>
        </w:rPr>
        <w:t>,</w:t>
      </w:r>
      <w:r w:rsidR="00046845" w:rsidRPr="00A80C6D">
        <w:rPr>
          <w:rFonts w:cs="Segoe UI"/>
          <w:szCs w:val="22"/>
          <w:lang w:val="it-IT"/>
        </w:rPr>
        <w:t>7</w:t>
      </w:r>
      <w:r w:rsidR="00E5203D">
        <w:rPr>
          <w:rFonts w:cs="Segoe UI"/>
          <w:szCs w:val="22"/>
          <w:lang w:val="it-IT"/>
        </w:rPr>
        <w:t>%</w:t>
      </w:r>
      <w:r w:rsidR="00046845" w:rsidRPr="00A80C6D">
        <w:rPr>
          <w:rFonts w:cs="Segoe UI"/>
          <w:szCs w:val="22"/>
          <w:lang w:val="it-IT"/>
        </w:rPr>
        <w:t xml:space="preserve"> (Q2: 23</w:t>
      </w:r>
      <w:r w:rsidR="00E5203D">
        <w:rPr>
          <w:rFonts w:cs="Segoe UI"/>
          <w:szCs w:val="22"/>
          <w:lang w:val="it-IT"/>
        </w:rPr>
        <w:t>,</w:t>
      </w:r>
      <w:r w:rsidR="00046845" w:rsidRPr="00A80C6D">
        <w:rPr>
          <w:rFonts w:cs="Segoe UI"/>
          <w:szCs w:val="22"/>
          <w:lang w:val="it-IT"/>
        </w:rPr>
        <w:t>6</w:t>
      </w:r>
      <w:r w:rsidR="00E5203D">
        <w:rPr>
          <w:rFonts w:cs="Segoe UI"/>
          <w:szCs w:val="22"/>
          <w:lang w:val="it-IT"/>
        </w:rPr>
        <w:t>%</w:t>
      </w:r>
      <w:r w:rsidR="00046845" w:rsidRPr="00A80C6D">
        <w:rPr>
          <w:rFonts w:cs="Segoe UI"/>
          <w:szCs w:val="22"/>
          <w:lang w:val="it-IT"/>
        </w:rPr>
        <w:t>).</w:t>
      </w:r>
      <w:r w:rsidR="00E5203D">
        <w:rPr>
          <w:rFonts w:cs="Segoe UI"/>
          <w:szCs w:val="22"/>
          <w:lang w:val="it-IT"/>
        </w:rPr>
        <w:t xml:space="preserve"> Il</w:t>
      </w:r>
      <w:r w:rsidR="00046845" w:rsidRPr="00A80C6D">
        <w:rPr>
          <w:rFonts w:cs="Segoe UI"/>
          <w:szCs w:val="22"/>
          <w:lang w:val="it-IT"/>
        </w:rPr>
        <w:t xml:space="preserve"> </w:t>
      </w:r>
      <w:r w:rsidR="00046845" w:rsidRPr="00A80C6D">
        <w:rPr>
          <w:rFonts w:cs="Segoe UI"/>
          <w:b/>
          <w:bCs/>
          <w:szCs w:val="22"/>
          <w:lang w:val="it-IT"/>
        </w:rPr>
        <w:t>Nor</w:t>
      </w:r>
      <w:r w:rsidR="00E5203D">
        <w:rPr>
          <w:rFonts w:cs="Segoe UI"/>
          <w:b/>
          <w:bCs/>
          <w:szCs w:val="22"/>
          <w:lang w:val="it-IT"/>
        </w:rPr>
        <w:t>d</w:t>
      </w:r>
      <w:r w:rsidR="00046845" w:rsidRPr="00A80C6D">
        <w:rPr>
          <w:rFonts w:cs="Segoe UI"/>
          <w:b/>
          <w:bCs/>
          <w:szCs w:val="22"/>
          <w:lang w:val="it-IT"/>
        </w:rPr>
        <w:t xml:space="preserve"> America</w:t>
      </w:r>
      <w:r w:rsidR="00046845" w:rsidRPr="00A80C6D">
        <w:rPr>
          <w:rFonts w:cs="Segoe UI"/>
          <w:szCs w:val="22"/>
          <w:lang w:val="it-IT"/>
        </w:rPr>
        <w:t xml:space="preserve"> </w:t>
      </w:r>
      <w:r w:rsidR="00E5203D">
        <w:rPr>
          <w:rFonts w:cs="Segoe UI"/>
          <w:szCs w:val="22"/>
          <w:lang w:val="it-IT"/>
        </w:rPr>
        <w:t>ha registrato una crescita del</w:t>
      </w:r>
      <w:r w:rsidR="00046845" w:rsidRPr="00A80C6D">
        <w:rPr>
          <w:rFonts w:cs="Segoe UI"/>
          <w:szCs w:val="22"/>
          <w:lang w:val="it-IT"/>
        </w:rPr>
        <w:t xml:space="preserve"> 3</w:t>
      </w:r>
      <w:r w:rsidR="00E5203D">
        <w:rPr>
          <w:rFonts w:cs="Segoe UI"/>
          <w:szCs w:val="22"/>
          <w:lang w:val="it-IT"/>
        </w:rPr>
        <w:t>,</w:t>
      </w:r>
      <w:r w:rsidR="00046845" w:rsidRPr="00A80C6D">
        <w:rPr>
          <w:rFonts w:cs="Segoe UI"/>
          <w:szCs w:val="22"/>
          <w:lang w:val="it-IT"/>
        </w:rPr>
        <w:t>8</w:t>
      </w:r>
      <w:r w:rsidR="00E5203D">
        <w:rPr>
          <w:rFonts w:cs="Segoe UI"/>
          <w:szCs w:val="22"/>
          <w:lang w:val="it-IT"/>
        </w:rPr>
        <w:t>%</w:t>
      </w:r>
      <w:r w:rsidR="00046845" w:rsidRPr="00A80C6D">
        <w:rPr>
          <w:rFonts w:cs="Segoe UI"/>
          <w:szCs w:val="22"/>
          <w:lang w:val="it-IT"/>
        </w:rPr>
        <w:t xml:space="preserve"> (Q2: 0</w:t>
      </w:r>
      <w:r w:rsidR="00E5203D">
        <w:rPr>
          <w:rFonts w:cs="Segoe UI"/>
          <w:szCs w:val="22"/>
          <w:lang w:val="it-IT"/>
        </w:rPr>
        <w:t>,</w:t>
      </w:r>
      <w:r w:rsidR="00046845" w:rsidRPr="00A80C6D">
        <w:rPr>
          <w:rFonts w:cs="Segoe UI"/>
          <w:szCs w:val="22"/>
          <w:lang w:val="it-IT"/>
        </w:rPr>
        <w:t>9</w:t>
      </w:r>
      <w:r w:rsidR="00E5203D">
        <w:rPr>
          <w:rFonts w:cs="Segoe UI"/>
          <w:szCs w:val="22"/>
          <w:lang w:val="it-IT"/>
        </w:rPr>
        <w:t>%</w:t>
      </w:r>
      <w:r w:rsidR="00046845" w:rsidRPr="00A80C6D">
        <w:rPr>
          <w:rFonts w:cs="Segoe UI"/>
          <w:szCs w:val="22"/>
          <w:lang w:val="it-IT"/>
        </w:rPr>
        <w:t>)</w:t>
      </w:r>
      <w:r w:rsidR="00E5203D">
        <w:rPr>
          <w:rFonts w:cs="Segoe UI"/>
          <w:szCs w:val="22"/>
          <w:lang w:val="it-IT"/>
        </w:rPr>
        <w:t xml:space="preserve"> e</w:t>
      </w:r>
      <w:r w:rsidR="00046845" w:rsidRPr="00A80C6D">
        <w:rPr>
          <w:rFonts w:cs="Segoe UI"/>
          <w:szCs w:val="22"/>
          <w:lang w:val="it-IT"/>
        </w:rPr>
        <w:t xml:space="preserve"> </w:t>
      </w:r>
      <w:r w:rsidR="00E5203D">
        <w:rPr>
          <w:rFonts w:cs="Segoe UI"/>
          <w:szCs w:val="22"/>
          <w:lang w:val="it-IT"/>
        </w:rPr>
        <w:t>l’</w:t>
      </w:r>
      <w:r w:rsidR="00046845" w:rsidRPr="00A80C6D">
        <w:rPr>
          <w:rFonts w:cs="Segoe UI"/>
          <w:b/>
          <w:bCs/>
          <w:szCs w:val="22"/>
          <w:lang w:val="it-IT"/>
        </w:rPr>
        <w:t>America</w:t>
      </w:r>
      <w:r w:rsidR="00E5203D">
        <w:rPr>
          <w:rFonts w:cs="Segoe UI"/>
          <w:b/>
          <w:bCs/>
          <w:szCs w:val="22"/>
          <w:lang w:val="it-IT"/>
        </w:rPr>
        <w:t xml:space="preserve"> Latina</w:t>
      </w:r>
      <w:r w:rsidR="00046845" w:rsidRPr="00A80C6D">
        <w:rPr>
          <w:rFonts w:cs="Segoe UI"/>
          <w:szCs w:val="22"/>
          <w:lang w:val="it-IT"/>
        </w:rPr>
        <w:t xml:space="preserve"> </w:t>
      </w:r>
      <w:r w:rsidR="00C928E5">
        <w:rPr>
          <w:rFonts w:cs="Segoe UI"/>
          <w:szCs w:val="22"/>
          <w:lang w:val="it-IT"/>
        </w:rPr>
        <w:t>del</w:t>
      </w:r>
      <w:r w:rsidR="00046845" w:rsidRPr="00A80C6D">
        <w:rPr>
          <w:rFonts w:cs="Segoe UI"/>
          <w:szCs w:val="22"/>
          <w:lang w:val="it-IT"/>
        </w:rPr>
        <w:t xml:space="preserve"> 13</w:t>
      </w:r>
      <w:r w:rsidR="00C928E5">
        <w:rPr>
          <w:rFonts w:cs="Segoe UI"/>
          <w:szCs w:val="22"/>
          <w:lang w:val="it-IT"/>
        </w:rPr>
        <w:t>,</w:t>
      </w:r>
      <w:r w:rsidR="00046845" w:rsidRPr="00A80C6D">
        <w:rPr>
          <w:rFonts w:cs="Segoe UI"/>
          <w:szCs w:val="22"/>
          <w:lang w:val="it-IT"/>
        </w:rPr>
        <w:t>2</w:t>
      </w:r>
      <w:r w:rsidR="00C928E5">
        <w:rPr>
          <w:rFonts w:cs="Segoe UI"/>
          <w:szCs w:val="22"/>
          <w:lang w:val="it-IT"/>
        </w:rPr>
        <w:t>%</w:t>
      </w:r>
      <w:r w:rsidR="00046845" w:rsidRPr="00A80C6D">
        <w:rPr>
          <w:rFonts w:cs="Segoe UI"/>
          <w:szCs w:val="22"/>
          <w:lang w:val="it-IT"/>
        </w:rPr>
        <w:t xml:space="preserve"> (Q2: 9</w:t>
      </w:r>
      <w:r w:rsidR="00C928E5">
        <w:rPr>
          <w:rFonts w:cs="Segoe UI"/>
          <w:szCs w:val="22"/>
          <w:lang w:val="it-IT"/>
        </w:rPr>
        <w:t>,</w:t>
      </w:r>
      <w:r w:rsidR="00046845" w:rsidRPr="00A80C6D">
        <w:rPr>
          <w:rFonts w:cs="Segoe UI"/>
          <w:szCs w:val="22"/>
          <w:lang w:val="it-IT"/>
        </w:rPr>
        <w:t>4</w:t>
      </w:r>
      <w:r w:rsidR="00C928E5">
        <w:rPr>
          <w:rFonts w:cs="Segoe UI"/>
          <w:szCs w:val="22"/>
          <w:lang w:val="it-IT"/>
        </w:rPr>
        <w:t>%</w:t>
      </w:r>
      <w:r w:rsidR="00046845" w:rsidRPr="00A80C6D">
        <w:rPr>
          <w:rFonts w:cs="Segoe UI"/>
          <w:szCs w:val="22"/>
          <w:lang w:val="it-IT"/>
        </w:rPr>
        <w:t xml:space="preserve">). </w:t>
      </w:r>
      <w:r w:rsidR="00C928B0">
        <w:rPr>
          <w:rFonts w:cs="Segoe UI"/>
          <w:szCs w:val="22"/>
          <w:lang w:val="it-IT"/>
        </w:rPr>
        <w:t>L’andamento è stato invece negativo nella regione</w:t>
      </w:r>
      <w:r w:rsidR="00046845" w:rsidRPr="00A80C6D">
        <w:rPr>
          <w:rFonts w:cs="Segoe UI"/>
          <w:szCs w:val="22"/>
          <w:lang w:val="it-IT"/>
        </w:rPr>
        <w:t xml:space="preserve"> </w:t>
      </w:r>
      <w:r w:rsidR="00046845" w:rsidRPr="00A80C6D">
        <w:rPr>
          <w:rFonts w:cs="Segoe UI"/>
          <w:b/>
          <w:bCs/>
          <w:szCs w:val="22"/>
          <w:lang w:val="it-IT"/>
        </w:rPr>
        <w:t>Asia-Pacific</w:t>
      </w:r>
      <w:r w:rsidR="00C928B0">
        <w:rPr>
          <w:rFonts w:cs="Segoe UI"/>
          <w:szCs w:val="22"/>
          <w:lang w:val="it-IT"/>
        </w:rPr>
        <w:t>,</w:t>
      </w:r>
      <w:r w:rsidR="00046845" w:rsidRPr="00A80C6D">
        <w:rPr>
          <w:rFonts w:cs="Segoe UI"/>
          <w:szCs w:val="22"/>
          <w:lang w:val="it-IT"/>
        </w:rPr>
        <w:t xml:space="preserve"> </w:t>
      </w:r>
      <w:r w:rsidR="00C928B0">
        <w:rPr>
          <w:rFonts w:cs="Segoe UI"/>
          <w:szCs w:val="22"/>
          <w:lang w:val="it-IT"/>
        </w:rPr>
        <w:t>dove il fatturato è calato</w:t>
      </w:r>
      <w:r w:rsidR="00046845" w:rsidRPr="00A80C6D">
        <w:rPr>
          <w:rFonts w:cs="Segoe UI"/>
          <w:szCs w:val="22"/>
          <w:lang w:val="it-IT"/>
        </w:rPr>
        <w:t xml:space="preserve"> </w:t>
      </w:r>
      <w:r w:rsidR="00C928B0">
        <w:rPr>
          <w:rFonts w:cs="Segoe UI"/>
          <w:szCs w:val="22"/>
          <w:lang w:val="it-IT"/>
        </w:rPr>
        <w:t xml:space="preserve">del </w:t>
      </w:r>
      <w:r w:rsidR="00046845" w:rsidRPr="00A80C6D">
        <w:rPr>
          <w:rFonts w:cs="Segoe UI"/>
          <w:szCs w:val="22"/>
          <w:lang w:val="it-IT"/>
        </w:rPr>
        <w:t>2</w:t>
      </w:r>
      <w:r w:rsidR="00C928B0">
        <w:rPr>
          <w:rFonts w:cs="Segoe UI"/>
          <w:szCs w:val="22"/>
          <w:lang w:val="it-IT"/>
        </w:rPr>
        <w:t>,</w:t>
      </w:r>
      <w:r w:rsidR="00046845" w:rsidRPr="00A80C6D">
        <w:rPr>
          <w:rFonts w:cs="Segoe UI"/>
          <w:szCs w:val="22"/>
          <w:lang w:val="it-IT"/>
        </w:rPr>
        <w:t>7</w:t>
      </w:r>
      <w:r w:rsidR="00C928B0">
        <w:rPr>
          <w:rFonts w:cs="Segoe UI"/>
          <w:szCs w:val="22"/>
          <w:lang w:val="it-IT"/>
        </w:rPr>
        <w:t>%</w:t>
      </w:r>
      <w:r w:rsidR="00046845" w:rsidRPr="00A80C6D">
        <w:rPr>
          <w:rFonts w:cs="Segoe UI"/>
          <w:szCs w:val="22"/>
          <w:lang w:val="it-IT"/>
        </w:rPr>
        <w:t xml:space="preserve"> (Q2: -0</w:t>
      </w:r>
      <w:r w:rsidR="00C928B0">
        <w:rPr>
          <w:rFonts w:cs="Segoe UI"/>
          <w:szCs w:val="22"/>
          <w:lang w:val="it-IT"/>
        </w:rPr>
        <w:t>,</w:t>
      </w:r>
      <w:r w:rsidR="00046845" w:rsidRPr="00A80C6D">
        <w:rPr>
          <w:rFonts w:cs="Segoe UI"/>
          <w:szCs w:val="22"/>
          <w:lang w:val="it-IT"/>
        </w:rPr>
        <w:t>6</w:t>
      </w:r>
      <w:r w:rsidR="00C928B0">
        <w:rPr>
          <w:rFonts w:cs="Segoe UI"/>
          <w:szCs w:val="22"/>
          <w:lang w:val="it-IT"/>
        </w:rPr>
        <w:t>%</w:t>
      </w:r>
      <w:r w:rsidR="00046845" w:rsidRPr="00A80C6D">
        <w:rPr>
          <w:rFonts w:cs="Segoe UI"/>
          <w:szCs w:val="22"/>
          <w:lang w:val="it-IT"/>
        </w:rPr>
        <w:t xml:space="preserve">), </w:t>
      </w:r>
      <w:r w:rsidR="00C928B0">
        <w:rPr>
          <w:rFonts w:cs="Segoe UI"/>
          <w:szCs w:val="22"/>
          <w:lang w:val="it-IT"/>
        </w:rPr>
        <w:t xml:space="preserve">principalmente a causa </w:t>
      </w:r>
      <w:r w:rsidR="00C928B0" w:rsidRPr="00380E51">
        <w:rPr>
          <w:rFonts w:cs="Segoe UI"/>
          <w:szCs w:val="22"/>
          <w:lang w:val="it-IT"/>
        </w:rPr>
        <w:t>delle</w:t>
      </w:r>
      <w:r w:rsidR="002720FC" w:rsidRPr="00380E51">
        <w:rPr>
          <w:rFonts w:cs="Segoe UI"/>
          <w:szCs w:val="22"/>
          <w:lang w:val="it-IT"/>
        </w:rPr>
        <w:t xml:space="preserve"> persistenti</w:t>
      </w:r>
      <w:r w:rsidR="00C928B0" w:rsidRPr="00380E51">
        <w:rPr>
          <w:rFonts w:cs="Segoe UI"/>
          <w:szCs w:val="22"/>
          <w:lang w:val="it-IT"/>
        </w:rPr>
        <w:t xml:space="preserve"> difficoltà del mercato cinese.</w:t>
      </w:r>
    </w:p>
    <w:p w14:paraId="4F61C652" w14:textId="77777777" w:rsidR="00046845" w:rsidRPr="00380E51" w:rsidRDefault="00046845" w:rsidP="00046845">
      <w:pPr>
        <w:rPr>
          <w:rFonts w:cs="Segoe UI"/>
          <w:szCs w:val="22"/>
          <w:highlight w:val="yellow"/>
          <w:lang w:val="it-IT"/>
        </w:rPr>
      </w:pPr>
    </w:p>
    <w:p w14:paraId="067E0BE1" w14:textId="739C87D4" w:rsidR="00EE36E9" w:rsidRDefault="002E4D0F" w:rsidP="00046845">
      <w:pPr>
        <w:rPr>
          <w:rFonts w:cs="Segoe UI"/>
          <w:bCs/>
          <w:szCs w:val="22"/>
          <w:lang w:val="it-IT"/>
        </w:rPr>
      </w:pPr>
      <w:r>
        <w:rPr>
          <w:rFonts w:cs="Segoe UI"/>
          <w:szCs w:val="22"/>
          <w:lang w:val="it-IT"/>
        </w:rPr>
        <w:t>Nel primo semestre i</w:t>
      </w:r>
      <w:r w:rsidR="00D9616F" w:rsidRPr="00F364F7">
        <w:rPr>
          <w:rFonts w:cs="Segoe UI"/>
          <w:szCs w:val="22"/>
          <w:lang w:val="it-IT"/>
        </w:rPr>
        <w:t xml:space="preserve">l </w:t>
      </w:r>
      <w:r w:rsidR="00D9616F" w:rsidRPr="00F364F7">
        <w:rPr>
          <w:rFonts w:cs="Segoe UI"/>
          <w:b/>
          <w:bCs/>
          <w:szCs w:val="22"/>
          <w:lang w:val="it-IT"/>
        </w:rPr>
        <w:t>margine operativo depurato (EBIT depurato)</w:t>
      </w:r>
      <w:r w:rsidR="00D9616F">
        <w:rPr>
          <w:rFonts w:cs="Segoe UI"/>
          <w:szCs w:val="22"/>
          <w:lang w:val="it-IT"/>
        </w:rPr>
        <w:t xml:space="preserve"> è cresciuto </w:t>
      </w:r>
      <w:r>
        <w:rPr>
          <w:rFonts w:cs="Segoe UI"/>
          <w:szCs w:val="22"/>
          <w:lang w:val="it-IT"/>
        </w:rPr>
        <w:t xml:space="preserve">del 7,6% a </w:t>
      </w:r>
      <w:bookmarkStart w:id="2" w:name="_Hlk109402106"/>
      <w:r w:rsidR="00046845" w:rsidRPr="00A80C6D">
        <w:rPr>
          <w:rFonts w:cs="Segoe UI"/>
          <w:bCs/>
          <w:szCs w:val="22"/>
          <w:lang w:val="it-IT"/>
        </w:rPr>
        <w:t>1</w:t>
      </w:r>
      <w:r>
        <w:rPr>
          <w:rFonts w:cs="Segoe UI"/>
          <w:bCs/>
          <w:szCs w:val="22"/>
          <w:lang w:val="it-IT"/>
        </w:rPr>
        <w:t>.</w:t>
      </w:r>
      <w:r w:rsidR="00046845" w:rsidRPr="00A80C6D">
        <w:rPr>
          <w:rFonts w:cs="Segoe UI"/>
          <w:bCs/>
          <w:szCs w:val="22"/>
          <w:lang w:val="it-IT"/>
        </w:rPr>
        <w:t>254 milion</w:t>
      </w:r>
      <w:r>
        <w:rPr>
          <w:rFonts w:cs="Segoe UI"/>
          <w:bCs/>
          <w:szCs w:val="22"/>
          <w:lang w:val="it-IT"/>
        </w:rPr>
        <w:t>i di</w:t>
      </w:r>
      <w:r w:rsidR="00046845" w:rsidRPr="00A80C6D">
        <w:rPr>
          <w:rFonts w:cs="Segoe UI"/>
          <w:bCs/>
          <w:szCs w:val="22"/>
          <w:lang w:val="it-IT"/>
        </w:rPr>
        <w:t xml:space="preserve"> euro</w:t>
      </w:r>
      <w:r w:rsidR="00EE36E9">
        <w:rPr>
          <w:rFonts w:cs="Segoe UI"/>
          <w:bCs/>
          <w:szCs w:val="22"/>
          <w:lang w:val="it-IT"/>
        </w:rPr>
        <w:t xml:space="preserve"> (primo semestre 2022: </w:t>
      </w:r>
      <w:r w:rsidR="00046845" w:rsidRPr="00A80C6D">
        <w:rPr>
          <w:rFonts w:cs="Segoe UI"/>
          <w:bCs/>
          <w:szCs w:val="22"/>
          <w:lang w:val="it-IT"/>
        </w:rPr>
        <w:t>1</w:t>
      </w:r>
      <w:r w:rsidR="00EE36E9">
        <w:rPr>
          <w:rFonts w:cs="Segoe UI"/>
          <w:bCs/>
          <w:szCs w:val="22"/>
          <w:lang w:val="it-IT"/>
        </w:rPr>
        <w:t>.</w:t>
      </w:r>
      <w:r w:rsidR="00046845" w:rsidRPr="00A80C6D">
        <w:rPr>
          <w:rFonts w:cs="Segoe UI"/>
          <w:bCs/>
          <w:szCs w:val="22"/>
          <w:lang w:val="it-IT"/>
        </w:rPr>
        <w:t>166 milion</w:t>
      </w:r>
      <w:r w:rsidR="00EE36E9">
        <w:rPr>
          <w:rFonts w:cs="Segoe UI"/>
          <w:bCs/>
          <w:szCs w:val="22"/>
          <w:lang w:val="it-IT"/>
        </w:rPr>
        <w:t>i di</w:t>
      </w:r>
      <w:r w:rsidR="00046845" w:rsidRPr="00A80C6D">
        <w:rPr>
          <w:rFonts w:cs="Segoe UI"/>
          <w:bCs/>
          <w:szCs w:val="22"/>
          <w:lang w:val="it-IT"/>
        </w:rPr>
        <w:t xml:space="preserve"> euro</w:t>
      </w:r>
      <w:r w:rsidR="00EE36E9">
        <w:rPr>
          <w:rFonts w:cs="Segoe UI"/>
          <w:bCs/>
          <w:szCs w:val="22"/>
          <w:lang w:val="it-IT"/>
        </w:rPr>
        <w:t>)</w:t>
      </w:r>
      <w:r w:rsidR="00046845" w:rsidRPr="00A80C6D">
        <w:rPr>
          <w:rFonts w:cs="Segoe UI"/>
          <w:bCs/>
          <w:szCs w:val="22"/>
          <w:lang w:val="it-IT"/>
        </w:rPr>
        <w:t xml:space="preserve">. </w:t>
      </w:r>
      <w:r w:rsidR="00EE36E9">
        <w:rPr>
          <w:rFonts w:cs="Segoe UI"/>
          <w:bCs/>
          <w:szCs w:val="22"/>
          <w:lang w:val="it-IT"/>
        </w:rPr>
        <w:t>L’aumento è stato sostenuto dal rialzo dei prezzi</w:t>
      </w:r>
      <w:r w:rsidR="00E76C64">
        <w:rPr>
          <w:rFonts w:cs="Segoe UI"/>
          <w:bCs/>
          <w:szCs w:val="22"/>
          <w:lang w:val="it-IT"/>
        </w:rPr>
        <w:t>, dai risparmi generati dall’integrazione della nuova business unit Consumer Brands e dell’ottimizzazione del portafoglio.</w:t>
      </w:r>
    </w:p>
    <w:p w14:paraId="3D7BD40A" w14:textId="77777777" w:rsidR="00EE36E9" w:rsidRDefault="00EE36E9" w:rsidP="00046845">
      <w:pPr>
        <w:rPr>
          <w:rFonts w:cs="Segoe UI"/>
          <w:bCs/>
          <w:szCs w:val="22"/>
          <w:lang w:val="it-IT"/>
        </w:rPr>
      </w:pPr>
    </w:p>
    <w:p w14:paraId="0C54D1C9" w14:textId="77EFA081" w:rsidR="00C47A4D" w:rsidRPr="00F364F7" w:rsidRDefault="00C47A4D" w:rsidP="00C47A4D">
      <w:pPr>
        <w:contextualSpacing/>
        <w:rPr>
          <w:rFonts w:cs="Segoe UI"/>
          <w:szCs w:val="22"/>
          <w:lang w:val="it-IT"/>
        </w:rPr>
      </w:pPr>
      <w:r>
        <w:rPr>
          <w:rFonts w:cs="Segoe UI"/>
          <w:szCs w:val="22"/>
          <w:lang w:val="it-IT"/>
        </w:rPr>
        <w:t>Il</w:t>
      </w:r>
      <w:r w:rsidRPr="00F364F7">
        <w:rPr>
          <w:rFonts w:cs="Segoe UI"/>
          <w:b/>
          <w:bCs/>
          <w:szCs w:val="22"/>
          <w:lang w:val="it-IT"/>
        </w:rPr>
        <w:t xml:space="preserve"> tasso depurato di ritorno sulle vendite (margine EBIT depurato)</w:t>
      </w:r>
      <w:r w:rsidRPr="00F364F7">
        <w:rPr>
          <w:rFonts w:cs="Segoe UI"/>
          <w:szCs w:val="22"/>
          <w:lang w:val="it-IT"/>
        </w:rPr>
        <w:t xml:space="preserve"> è </w:t>
      </w:r>
      <w:r>
        <w:rPr>
          <w:rFonts w:cs="Segoe UI"/>
          <w:szCs w:val="22"/>
          <w:lang w:val="it-IT"/>
        </w:rPr>
        <w:t>aumentato di 80 punti base all’11,5%.</w:t>
      </w:r>
    </w:p>
    <w:p w14:paraId="6CAFF08B" w14:textId="77777777" w:rsidR="00046845" w:rsidRPr="00A80C6D" w:rsidRDefault="00046845" w:rsidP="00046845">
      <w:pPr>
        <w:rPr>
          <w:rFonts w:cs="Segoe UI"/>
          <w:bCs/>
          <w:szCs w:val="22"/>
          <w:lang w:val="it-IT"/>
        </w:rPr>
      </w:pPr>
    </w:p>
    <w:bookmarkEnd w:id="2"/>
    <w:p w14:paraId="58273CCE" w14:textId="5C2F7132" w:rsidR="005D4B9A" w:rsidRDefault="005D4B9A" w:rsidP="005D4B9A">
      <w:pPr>
        <w:contextualSpacing/>
        <w:rPr>
          <w:rFonts w:cs="Segoe UI"/>
          <w:bCs/>
          <w:szCs w:val="22"/>
          <w:lang w:val="it-IT"/>
        </w:rPr>
      </w:pPr>
      <w:r w:rsidRPr="00F364F7">
        <w:rPr>
          <w:rFonts w:cs="Segoe UI"/>
          <w:bCs/>
          <w:szCs w:val="22"/>
          <w:lang w:val="it-IT"/>
        </w:rPr>
        <w:t xml:space="preserve">Gli </w:t>
      </w:r>
      <w:r w:rsidRPr="00F364F7">
        <w:rPr>
          <w:rFonts w:cs="Segoe UI"/>
          <w:b/>
          <w:szCs w:val="22"/>
          <w:lang w:val="it-IT"/>
        </w:rPr>
        <w:t>utili depurat</w:t>
      </w:r>
      <w:r w:rsidR="00C46EE1">
        <w:rPr>
          <w:rFonts w:cs="Segoe UI"/>
          <w:b/>
          <w:szCs w:val="22"/>
          <w:lang w:val="it-IT"/>
        </w:rPr>
        <w:t>i</w:t>
      </w:r>
      <w:r w:rsidRPr="00F364F7">
        <w:rPr>
          <w:rFonts w:cs="Segoe UI"/>
          <w:b/>
          <w:szCs w:val="22"/>
          <w:lang w:val="it-IT"/>
        </w:rPr>
        <w:t xml:space="preserve"> per azione privilegiata</w:t>
      </w:r>
      <w:r w:rsidRPr="00F364F7">
        <w:rPr>
          <w:rFonts w:cs="Segoe UI"/>
          <w:bCs/>
          <w:szCs w:val="22"/>
          <w:lang w:val="it-IT"/>
        </w:rPr>
        <w:t xml:space="preserve"> sono </w:t>
      </w:r>
      <w:r w:rsidR="00196C58">
        <w:rPr>
          <w:rFonts w:cs="Segoe UI"/>
          <w:bCs/>
          <w:szCs w:val="22"/>
          <w:lang w:val="it-IT"/>
        </w:rPr>
        <w:t>saliti</w:t>
      </w:r>
      <w:r w:rsidRPr="00F364F7">
        <w:rPr>
          <w:rFonts w:cs="Segoe UI"/>
          <w:bCs/>
          <w:szCs w:val="22"/>
          <w:lang w:val="it-IT"/>
        </w:rPr>
        <w:t xml:space="preserve"> a </w:t>
      </w:r>
      <w:r w:rsidR="00196C58">
        <w:rPr>
          <w:rFonts w:cs="Segoe UI"/>
          <w:bCs/>
          <w:szCs w:val="22"/>
          <w:lang w:val="it-IT"/>
        </w:rPr>
        <w:t>2</w:t>
      </w:r>
      <w:r w:rsidRPr="00F364F7">
        <w:rPr>
          <w:rFonts w:cs="Segoe UI"/>
          <w:bCs/>
          <w:szCs w:val="22"/>
          <w:lang w:val="it-IT"/>
        </w:rPr>
        <w:t>,</w:t>
      </w:r>
      <w:r w:rsidR="00196C58">
        <w:rPr>
          <w:rFonts w:cs="Segoe UI"/>
          <w:bCs/>
          <w:szCs w:val="22"/>
          <w:lang w:val="it-IT"/>
        </w:rPr>
        <w:t>13</w:t>
      </w:r>
      <w:r w:rsidRPr="00F364F7">
        <w:rPr>
          <w:rFonts w:cs="Segoe UI"/>
          <w:bCs/>
          <w:szCs w:val="22"/>
          <w:lang w:val="it-IT"/>
        </w:rPr>
        <w:t xml:space="preserve"> euro, ovvero del 1</w:t>
      </w:r>
      <w:r w:rsidR="009A4C88">
        <w:rPr>
          <w:rFonts w:cs="Segoe UI"/>
          <w:bCs/>
          <w:szCs w:val="22"/>
          <w:lang w:val="it-IT"/>
        </w:rPr>
        <w:t>4</w:t>
      </w:r>
      <w:r w:rsidRPr="00F364F7">
        <w:rPr>
          <w:rFonts w:cs="Segoe UI"/>
          <w:bCs/>
          <w:szCs w:val="22"/>
          <w:lang w:val="it-IT"/>
        </w:rPr>
        <w:t>,</w:t>
      </w:r>
      <w:r w:rsidR="009A4C88">
        <w:rPr>
          <w:rFonts w:cs="Segoe UI"/>
          <w:bCs/>
          <w:szCs w:val="22"/>
          <w:lang w:val="it-IT"/>
        </w:rPr>
        <w:t>4</w:t>
      </w:r>
      <w:r w:rsidRPr="00F364F7">
        <w:rPr>
          <w:rFonts w:cs="Segoe UI"/>
          <w:bCs/>
          <w:szCs w:val="22"/>
          <w:lang w:val="it-IT"/>
        </w:rPr>
        <w:t>% a tassi costanti di cambio</w:t>
      </w:r>
      <w:r w:rsidR="009A4C88">
        <w:rPr>
          <w:rFonts w:cs="Segoe UI"/>
          <w:bCs/>
          <w:szCs w:val="22"/>
          <w:lang w:val="it-IT"/>
        </w:rPr>
        <w:t xml:space="preserve"> rispetto al primo semestre dell’anno scorso.</w:t>
      </w:r>
    </w:p>
    <w:p w14:paraId="7454930F" w14:textId="77777777" w:rsidR="005D4B9A" w:rsidRPr="00F364F7" w:rsidRDefault="005D4B9A" w:rsidP="005D4B9A">
      <w:pPr>
        <w:contextualSpacing/>
        <w:rPr>
          <w:rFonts w:cs="Segoe UI"/>
          <w:szCs w:val="22"/>
          <w:lang w:val="it-IT"/>
        </w:rPr>
      </w:pPr>
    </w:p>
    <w:p w14:paraId="4E966A21" w14:textId="3CB0064E" w:rsidR="009D0E12" w:rsidRDefault="005D4B9A" w:rsidP="005D4B9A">
      <w:pPr>
        <w:contextualSpacing/>
        <w:rPr>
          <w:rFonts w:cs="Segoe UI"/>
          <w:szCs w:val="22"/>
          <w:lang w:val="it-IT"/>
        </w:rPr>
      </w:pPr>
      <w:r w:rsidRPr="00F364F7">
        <w:rPr>
          <w:rFonts w:cs="Segoe UI"/>
          <w:szCs w:val="22"/>
          <w:lang w:val="it-IT"/>
        </w:rPr>
        <w:t xml:space="preserve">Il </w:t>
      </w:r>
      <w:r w:rsidRPr="00F364F7">
        <w:rPr>
          <w:rFonts w:cs="Segoe UI"/>
          <w:b/>
          <w:bCs/>
          <w:szCs w:val="22"/>
          <w:lang w:val="it-IT"/>
        </w:rPr>
        <w:t xml:space="preserve">capitale circolante netto </w:t>
      </w:r>
      <w:r w:rsidRPr="00F364F7">
        <w:rPr>
          <w:rFonts w:cs="Segoe UI"/>
          <w:szCs w:val="22"/>
          <w:lang w:val="it-IT"/>
        </w:rPr>
        <w:t xml:space="preserve">è cresciuto </w:t>
      </w:r>
      <w:r w:rsidR="009D0E12">
        <w:rPr>
          <w:rFonts w:cs="Segoe UI"/>
          <w:szCs w:val="22"/>
          <w:lang w:val="it-IT"/>
        </w:rPr>
        <w:t>di 0</w:t>
      </w:r>
      <w:r w:rsidRPr="00F364F7">
        <w:rPr>
          <w:rFonts w:cs="Segoe UI"/>
          <w:szCs w:val="22"/>
          <w:lang w:val="it-IT"/>
        </w:rPr>
        <w:t>,</w:t>
      </w:r>
      <w:r w:rsidR="009D0E12">
        <w:rPr>
          <w:rFonts w:cs="Segoe UI"/>
          <w:szCs w:val="22"/>
          <w:lang w:val="it-IT"/>
        </w:rPr>
        <w:t>8</w:t>
      </w:r>
      <w:r w:rsidRPr="00F364F7">
        <w:rPr>
          <w:rFonts w:cs="Segoe UI"/>
          <w:szCs w:val="22"/>
          <w:lang w:val="it-IT"/>
        </w:rPr>
        <w:t xml:space="preserve"> punti percentuali</w:t>
      </w:r>
      <w:r w:rsidR="009D0E12">
        <w:rPr>
          <w:rFonts w:cs="Segoe UI"/>
          <w:szCs w:val="22"/>
          <w:lang w:val="it-IT"/>
        </w:rPr>
        <w:t>, arrivando al 6,1% delle vendite (primo semestre 2022: 5,2%).</w:t>
      </w:r>
    </w:p>
    <w:p w14:paraId="6E0BEE0F" w14:textId="77777777" w:rsidR="009D0E12" w:rsidRDefault="009D0E12" w:rsidP="005D4B9A">
      <w:pPr>
        <w:contextualSpacing/>
        <w:rPr>
          <w:rFonts w:cs="Segoe UI"/>
          <w:szCs w:val="22"/>
          <w:lang w:val="it-IT"/>
        </w:rPr>
      </w:pPr>
    </w:p>
    <w:p w14:paraId="7B29CA0E" w14:textId="0FB4D558" w:rsidR="00A44DF7" w:rsidRDefault="005D4B9A" w:rsidP="005D4B9A">
      <w:pPr>
        <w:contextualSpacing/>
        <w:rPr>
          <w:rFonts w:cs="Segoe UI"/>
          <w:szCs w:val="22"/>
          <w:lang w:val="it-IT"/>
        </w:rPr>
      </w:pPr>
      <w:r w:rsidRPr="00F364F7">
        <w:rPr>
          <w:rFonts w:cs="Segoe UI"/>
          <w:szCs w:val="22"/>
          <w:lang w:val="it-IT"/>
        </w:rPr>
        <w:t xml:space="preserve">Il </w:t>
      </w:r>
      <w:r w:rsidRPr="00F364F7">
        <w:rPr>
          <w:rFonts w:cs="Segoe UI"/>
          <w:b/>
          <w:bCs/>
          <w:szCs w:val="22"/>
          <w:lang w:val="it-IT"/>
        </w:rPr>
        <w:t xml:space="preserve">flusso libero di cassa </w:t>
      </w:r>
      <w:r w:rsidR="003E5358">
        <w:rPr>
          <w:rFonts w:cs="Segoe UI"/>
          <w:szCs w:val="22"/>
          <w:lang w:val="it-IT"/>
        </w:rPr>
        <w:t>ha raggiunto i</w:t>
      </w:r>
      <w:r w:rsidRPr="00F364F7">
        <w:rPr>
          <w:rFonts w:cs="Segoe UI"/>
          <w:szCs w:val="22"/>
          <w:lang w:val="it-IT"/>
        </w:rPr>
        <w:t xml:space="preserve"> </w:t>
      </w:r>
      <w:r w:rsidR="003E5358">
        <w:rPr>
          <w:rFonts w:cs="Segoe UI"/>
          <w:szCs w:val="22"/>
          <w:lang w:val="it-IT"/>
        </w:rPr>
        <w:t>749</w:t>
      </w:r>
      <w:r w:rsidRPr="00F364F7">
        <w:rPr>
          <w:rFonts w:cs="Segoe UI"/>
          <w:szCs w:val="22"/>
          <w:lang w:val="it-IT"/>
        </w:rPr>
        <w:t xml:space="preserve"> milioni di euro, </w:t>
      </w:r>
      <w:r w:rsidR="00AA4F7E">
        <w:rPr>
          <w:rFonts w:cs="Segoe UI"/>
          <w:szCs w:val="22"/>
          <w:lang w:val="it-IT"/>
        </w:rPr>
        <w:t>segnando un importante aumento</w:t>
      </w:r>
      <w:r w:rsidRPr="00F364F7">
        <w:rPr>
          <w:rFonts w:cs="Segoe UI"/>
          <w:szCs w:val="22"/>
          <w:lang w:val="it-IT"/>
        </w:rPr>
        <w:t xml:space="preserve"> rispetto ai </w:t>
      </w:r>
      <w:r w:rsidR="00AA4F7E">
        <w:rPr>
          <w:rFonts w:cs="Segoe UI"/>
          <w:szCs w:val="22"/>
          <w:lang w:val="it-IT"/>
        </w:rPr>
        <w:t>46</w:t>
      </w:r>
      <w:r w:rsidRPr="00F364F7">
        <w:rPr>
          <w:rFonts w:cs="Segoe UI"/>
          <w:szCs w:val="22"/>
          <w:lang w:val="it-IT"/>
        </w:rPr>
        <w:t xml:space="preserve"> milioni di euro del</w:t>
      </w:r>
      <w:r w:rsidR="00A44DF7">
        <w:rPr>
          <w:rFonts w:cs="Segoe UI"/>
          <w:szCs w:val="22"/>
          <w:lang w:val="it-IT"/>
        </w:rPr>
        <w:t xml:space="preserve"> primo semestre dell’anno scorso.</w:t>
      </w:r>
      <w:r w:rsidRPr="00F364F7">
        <w:rPr>
          <w:rFonts w:cs="Segoe UI"/>
          <w:szCs w:val="22"/>
          <w:lang w:val="it-IT"/>
        </w:rPr>
        <w:t xml:space="preserve"> </w:t>
      </w:r>
      <w:r w:rsidR="00A44DF7">
        <w:rPr>
          <w:rFonts w:cs="Segoe UI"/>
          <w:szCs w:val="22"/>
          <w:lang w:val="it-IT"/>
        </w:rPr>
        <w:t>Questo risultato è dovuto in particolare</w:t>
      </w:r>
      <w:r w:rsidR="00FA4586">
        <w:rPr>
          <w:rFonts w:cs="Segoe UI"/>
          <w:szCs w:val="22"/>
          <w:lang w:val="it-IT"/>
        </w:rPr>
        <w:t xml:space="preserve"> al flusso di cassa nettamente superiore delle attività operative.</w:t>
      </w:r>
    </w:p>
    <w:p w14:paraId="6B3AEAF7" w14:textId="77777777" w:rsidR="003E5358" w:rsidRPr="00F364F7" w:rsidRDefault="003E5358" w:rsidP="005D4B9A">
      <w:pPr>
        <w:contextualSpacing/>
        <w:rPr>
          <w:rFonts w:cs="Segoe UI"/>
          <w:szCs w:val="22"/>
          <w:lang w:val="it-IT"/>
        </w:rPr>
      </w:pPr>
    </w:p>
    <w:p w14:paraId="1AD45CDC" w14:textId="013BA9E0" w:rsidR="00046845" w:rsidRPr="00A80C6D" w:rsidRDefault="005D4B9A" w:rsidP="00DD0336">
      <w:pPr>
        <w:contextualSpacing/>
        <w:rPr>
          <w:lang w:val="it-IT"/>
        </w:rPr>
      </w:pPr>
      <w:r w:rsidRPr="00F364F7">
        <w:rPr>
          <w:rFonts w:cs="Segoe UI"/>
          <w:szCs w:val="22"/>
          <w:lang w:val="it-IT"/>
        </w:rPr>
        <w:t xml:space="preserve">La </w:t>
      </w:r>
      <w:r w:rsidRPr="00F364F7">
        <w:rPr>
          <w:rFonts w:cs="Segoe UI"/>
          <w:b/>
          <w:bCs/>
          <w:szCs w:val="22"/>
          <w:lang w:val="it-IT"/>
        </w:rPr>
        <w:t>posizione finanziaria netta</w:t>
      </w:r>
      <w:r w:rsidRPr="00F364F7">
        <w:rPr>
          <w:rFonts w:cs="Segoe UI"/>
          <w:szCs w:val="22"/>
          <w:lang w:val="it-IT"/>
        </w:rPr>
        <w:t xml:space="preserve"> </w:t>
      </w:r>
      <w:r w:rsidR="00847993">
        <w:rPr>
          <w:rFonts w:cs="Segoe UI"/>
          <w:szCs w:val="22"/>
          <w:lang w:val="it-IT"/>
        </w:rPr>
        <w:t xml:space="preserve">al 30 giugno 2023 </w:t>
      </w:r>
      <w:r w:rsidRPr="00F364F7">
        <w:rPr>
          <w:rFonts w:cs="Segoe UI"/>
          <w:szCs w:val="22"/>
          <w:lang w:val="it-IT"/>
        </w:rPr>
        <w:t xml:space="preserve">è </w:t>
      </w:r>
      <w:r w:rsidR="00847993">
        <w:rPr>
          <w:rFonts w:cs="Segoe UI"/>
          <w:szCs w:val="22"/>
          <w:lang w:val="it-IT"/>
        </w:rPr>
        <w:t>pari</w:t>
      </w:r>
      <w:r w:rsidRPr="00F364F7">
        <w:rPr>
          <w:rFonts w:cs="Segoe UI"/>
          <w:szCs w:val="22"/>
          <w:lang w:val="it-IT"/>
        </w:rPr>
        <w:t xml:space="preserve"> -1.</w:t>
      </w:r>
      <w:r w:rsidR="00847993">
        <w:rPr>
          <w:rFonts w:cs="Segoe UI"/>
          <w:szCs w:val="22"/>
          <w:lang w:val="it-IT"/>
        </w:rPr>
        <w:t>311</w:t>
      </w:r>
      <w:r w:rsidRPr="00F364F7">
        <w:rPr>
          <w:rFonts w:cs="Segoe UI"/>
          <w:szCs w:val="22"/>
          <w:lang w:val="it-IT"/>
        </w:rPr>
        <w:t xml:space="preserve"> milioni di euro (-</w:t>
      </w:r>
      <w:r w:rsidR="00847993">
        <w:rPr>
          <w:rFonts w:cs="Segoe UI"/>
          <w:szCs w:val="22"/>
          <w:lang w:val="it-IT"/>
        </w:rPr>
        <w:t>1.267</w:t>
      </w:r>
      <w:r w:rsidRPr="00F364F7">
        <w:rPr>
          <w:rFonts w:cs="Segoe UI"/>
          <w:szCs w:val="22"/>
          <w:lang w:val="it-IT"/>
        </w:rPr>
        <w:t xml:space="preserve"> milioni di euro al 31 dicembre 2021). </w:t>
      </w:r>
    </w:p>
    <w:p w14:paraId="5FFB3405" w14:textId="77777777" w:rsidR="00046845" w:rsidRPr="00A80C6D" w:rsidRDefault="00046845" w:rsidP="00046845">
      <w:pPr>
        <w:rPr>
          <w:rFonts w:cs="Segoe UI"/>
          <w:color w:val="3B3B3B"/>
          <w:shd w:val="clear" w:color="auto" w:fill="FFFFFF"/>
          <w:lang w:val="it-IT"/>
        </w:rPr>
      </w:pPr>
    </w:p>
    <w:p w14:paraId="43078453" w14:textId="70FB71F8" w:rsidR="00046845" w:rsidRPr="00380E51" w:rsidRDefault="00601ACB" w:rsidP="00046845">
      <w:pPr>
        <w:rPr>
          <w:rFonts w:cs="Segoe UI"/>
          <w:dstrike/>
          <w:color w:val="FF0000"/>
          <w:shd w:val="clear" w:color="auto" w:fill="FFFFFF"/>
          <w:lang w:val="it-IT"/>
        </w:rPr>
      </w:pPr>
      <w:r>
        <w:rPr>
          <w:rFonts w:cs="Segoe UI"/>
          <w:shd w:val="clear" w:color="auto" w:fill="FFFFFF"/>
          <w:lang w:val="it-IT"/>
        </w:rPr>
        <w:t>Lo scorso 20 a</w:t>
      </w:r>
      <w:r w:rsidR="00046845" w:rsidRPr="00A80C6D">
        <w:rPr>
          <w:rFonts w:cs="Segoe UI"/>
          <w:shd w:val="clear" w:color="auto" w:fill="FFFFFF"/>
          <w:lang w:val="it-IT"/>
        </w:rPr>
        <w:t>pril</w:t>
      </w:r>
      <w:r>
        <w:rPr>
          <w:rFonts w:cs="Segoe UI"/>
          <w:shd w:val="clear" w:color="auto" w:fill="FFFFFF"/>
          <w:lang w:val="it-IT"/>
        </w:rPr>
        <w:t>e</w:t>
      </w:r>
      <w:r w:rsidR="00046845" w:rsidRPr="00A80C6D">
        <w:rPr>
          <w:rFonts w:cs="Segoe UI"/>
          <w:shd w:val="clear" w:color="auto" w:fill="FFFFFF"/>
          <w:lang w:val="it-IT"/>
        </w:rPr>
        <w:t xml:space="preserve"> 2023 Henkel </w:t>
      </w:r>
      <w:r>
        <w:rPr>
          <w:rFonts w:cs="Segoe UI"/>
          <w:shd w:val="clear" w:color="auto" w:fill="FFFFFF"/>
          <w:lang w:val="it-IT"/>
        </w:rPr>
        <w:t xml:space="preserve">ha </w:t>
      </w:r>
      <w:r w:rsidR="00DD55AA">
        <w:rPr>
          <w:rFonts w:cs="Segoe UI"/>
          <w:shd w:val="clear" w:color="auto" w:fill="FFFFFF"/>
          <w:lang w:val="it-IT"/>
        </w:rPr>
        <w:t>confermato</w:t>
      </w:r>
      <w:r>
        <w:rPr>
          <w:rFonts w:cs="Segoe UI"/>
          <w:shd w:val="clear" w:color="auto" w:fill="FFFFFF"/>
          <w:lang w:val="it-IT"/>
        </w:rPr>
        <w:t xml:space="preserve"> la conclusione di un accordo per cedere le </w:t>
      </w:r>
      <w:r w:rsidR="00AF3136">
        <w:rPr>
          <w:rFonts w:cs="Segoe UI"/>
          <w:shd w:val="clear" w:color="auto" w:fill="FFFFFF"/>
          <w:lang w:val="it-IT"/>
        </w:rPr>
        <w:t xml:space="preserve">attività in </w:t>
      </w:r>
      <w:r w:rsidR="00AF3136" w:rsidRPr="00AF3136">
        <w:rPr>
          <w:rFonts w:cs="Segoe UI"/>
          <w:b/>
          <w:bCs/>
          <w:shd w:val="clear" w:color="auto" w:fill="FFFFFF"/>
          <w:lang w:val="it-IT"/>
        </w:rPr>
        <w:t>Russia</w:t>
      </w:r>
      <w:r w:rsidR="00AF3136">
        <w:rPr>
          <w:rFonts w:cs="Segoe UI"/>
          <w:shd w:val="clear" w:color="auto" w:fill="FFFFFF"/>
          <w:lang w:val="it-IT"/>
        </w:rPr>
        <w:t xml:space="preserve"> a un consorzio di investitori </w:t>
      </w:r>
      <w:r w:rsidR="00AF3136" w:rsidRPr="00380E51">
        <w:rPr>
          <w:rFonts w:cs="Segoe UI"/>
          <w:shd w:val="clear" w:color="auto" w:fill="FFFFFF"/>
          <w:lang w:val="it-IT"/>
        </w:rPr>
        <w:t>locali.</w:t>
      </w:r>
      <w:r w:rsidR="00DD55AA" w:rsidRPr="00380E51">
        <w:rPr>
          <w:rFonts w:cs="Segoe UI"/>
          <w:shd w:val="clear" w:color="auto" w:fill="FFFFFF"/>
          <w:lang w:val="it-IT"/>
        </w:rPr>
        <w:t xml:space="preserve"> L’azienda aveva annunciato già lo scorso anno </w:t>
      </w:r>
      <w:r w:rsidR="002720FC" w:rsidRPr="00380E51">
        <w:rPr>
          <w:rFonts w:cs="Segoe UI"/>
          <w:shd w:val="clear" w:color="auto" w:fill="FFFFFF"/>
          <w:lang w:val="it-IT"/>
        </w:rPr>
        <w:t xml:space="preserve">l’uscita dal mercato russo </w:t>
      </w:r>
      <w:r w:rsidR="00DD55AA" w:rsidRPr="00380E51">
        <w:rPr>
          <w:rFonts w:cs="Segoe UI"/>
          <w:shd w:val="clear" w:color="auto" w:fill="FFFFFF"/>
          <w:lang w:val="it-IT"/>
        </w:rPr>
        <w:t>a segui</w:t>
      </w:r>
      <w:r w:rsidR="007B32EB" w:rsidRPr="00380E51">
        <w:rPr>
          <w:rFonts w:cs="Segoe UI"/>
          <w:shd w:val="clear" w:color="auto" w:fill="FFFFFF"/>
          <w:lang w:val="it-IT"/>
        </w:rPr>
        <w:t>t</w:t>
      </w:r>
      <w:r w:rsidR="00DD55AA" w:rsidRPr="00380E51">
        <w:rPr>
          <w:rFonts w:cs="Segoe UI"/>
          <w:shd w:val="clear" w:color="auto" w:fill="FFFFFF"/>
          <w:lang w:val="it-IT"/>
        </w:rPr>
        <w:t>o</w:t>
      </w:r>
      <w:r w:rsidR="007B32EB" w:rsidRPr="00380E51">
        <w:rPr>
          <w:rFonts w:cs="Segoe UI"/>
          <w:shd w:val="clear" w:color="auto" w:fill="FFFFFF"/>
          <w:lang w:val="it-IT"/>
        </w:rPr>
        <w:t xml:space="preserve"> dell’i</w:t>
      </w:r>
      <w:r w:rsidR="007B32EB">
        <w:rPr>
          <w:rFonts w:cs="Segoe UI"/>
          <w:shd w:val="clear" w:color="auto" w:fill="FFFFFF"/>
          <w:lang w:val="it-IT"/>
        </w:rPr>
        <w:t xml:space="preserve">nvasione </w:t>
      </w:r>
      <w:r w:rsidR="00113B6B">
        <w:rPr>
          <w:rFonts w:cs="Segoe UI"/>
          <w:shd w:val="clear" w:color="auto" w:fill="FFFFFF"/>
          <w:lang w:val="it-IT"/>
        </w:rPr>
        <w:t>dell’</w:t>
      </w:r>
      <w:r w:rsidR="007B32EB">
        <w:rPr>
          <w:rFonts w:cs="Segoe UI"/>
          <w:shd w:val="clear" w:color="auto" w:fill="FFFFFF"/>
          <w:lang w:val="it-IT"/>
        </w:rPr>
        <w:t xml:space="preserve">Ucraina. La transazione è stata chiusa con un prezzo di vendita pari a </w:t>
      </w:r>
      <w:r w:rsidR="00046845" w:rsidRPr="00A80C6D">
        <w:rPr>
          <w:rFonts w:cs="Segoe UI"/>
          <w:shd w:val="clear" w:color="auto" w:fill="FFFFFF"/>
          <w:lang w:val="it-IT"/>
        </w:rPr>
        <w:t xml:space="preserve">54 </w:t>
      </w:r>
      <w:r w:rsidR="000803D2">
        <w:rPr>
          <w:rFonts w:cs="Segoe UI"/>
          <w:shd w:val="clear" w:color="auto" w:fill="FFFFFF"/>
          <w:lang w:val="it-IT"/>
        </w:rPr>
        <w:t>miliardi di</w:t>
      </w:r>
      <w:r w:rsidR="00046845" w:rsidRPr="00A80C6D">
        <w:rPr>
          <w:rFonts w:cs="Segoe UI"/>
          <w:shd w:val="clear" w:color="auto" w:fill="FFFFFF"/>
          <w:lang w:val="it-IT"/>
        </w:rPr>
        <w:t xml:space="preserve"> rubl</w:t>
      </w:r>
      <w:r w:rsidR="000803D2">
        <w:rPr>
          <w:rFonts w:cs="Segoe UI"/>
          <w:shd w:val="clear" w:color="auto" w:fill="FFFFFF"/>
          <w:lang w:val="it-IT"/>
        </w:rPr>
        <w:t>i</w:t>
      </w:r>
      <w:r w:rsidR="00046845" w:rsidRPr="00A80C6D">
        <w:rPr>
          <w:rFonts w:cs="Segoe UI"/>
          <w:shd w:val="clear" w:color="auto" w:fill="FFFFFF"/>
          <w:lang w:val="it-IT"/>
        </w:rPr>
        <w:t xml:space="preserve"> (</w:t>
      </w:r>
      <w:r w:rsidR="000803D2">
        <w:rPr>
          <w:rFonts w:cs="Segoe UI"/>
          <w:shd w:val="clear" w:color="auto" w:fill="FFFFFF"/>
          <w:lang w:val="it-IT"/>
        </w:rPr>
        <w:t>circa</w:t>
      </w:r>
      <w:r w:rsidR="00046845" w:rsidRPr="00A80C6D">
        <w:rPr>
          <w:rFonts w:cs="Segoe UI"/>
          <w:shd w:val="clear" w:color="auto" w:fill="FFFFFF"/>
          <w:lang w:val="it-IT"/>
        </w:rPr>
        <w:t xml:space="preserve"> 600 milion</w:t>
      </w:r>
      <w:r w:rsidR="000803D2">
        <w:rPr>
          <w:rFonts w:cs="Segoe UI"/>
          <w:shd w:val="clear" w:color="auto" w:fill="FFFFFF"/>
          <w:lang w:val="it-IT"/>
        </w:rPr>
        <w:t>i di</w:t>
      </w:r>
      <w:r w:rsidR="00046845" w:rsidRPr="00A80C6D">
        <w:rPr>
          <w:rFonts w:cs="Segoe UI"/>
          <w:shd w:val="clear" w:color="auto" w:fill="FFFFFF"/>
          <w:lang w:val="it-IT"/>
        </w:rPr>
        <w:t xml:space="preserve"> euro).</w:t>
      </w:r>
    </w:p>
    <w:p w14:paraId="126C3C32" w14:textId="77777777" w:rsidR="00046845" w:rsidRPr="00A80C6D" w:rsidRDefault="00046845" w:rsidP="00046845">
      <w:pPr>
        <w:spacing w:after="120"/>
        <w:rPr>
          <w:rFonts w:cs="Segoe UI"/>
          <w:b/>
          <w:bCs/>
          <w:szCs w:val="22"/>
          <w:highlight w:val="yellow"/>
          <w:lang w:val="it-IT" w:eastAsia="de-DE"/>
        </w:rPr>
      </w:pPr>
    </w:p>
    <w:p w14:paraId="5D4E0E0C" w14:textId="41401A96" w:rsidR="00046845" w:rsidRDefault="00046845" w:rsidP="00046845">
      <w:pPr>
        <w:spacing w:line="240" w:lineRule="auto"/>
        <w:rPr>
          <w:rFonts w:cs="Segoe UI"/>
          <w:b/>
          <w:bCs/>
          <w:szCs w:val="22"/>
          <w:lang w:val="it-IT" w:eastAsia="de-DE"/>
        </w:rPr>
      </w:pPr>
      <w:r w:rsidRPr="00303767">
        <w:rPr>
          <w:rFonts w:cs="Segoe UI"/>
          <w:b/>
          <w:bCs/>
          <w:szCs w:val="22"/>
          <w:u w:val="single"/>
          <w:lang w:val="it-IT" w:eastAsia="de-DE"/>
        </w:rPr>
        <w:t>Not</w:t>
      </w:r>
      <w:r w:rsidR="00C507B9" w:rsidRPr="00303767">
        <w:rPr>
          <w:rFonts w:cs="Segoe UI"/>
          <w:b/>
          <w:bCs/>
          <w:szCs w:val="22"/>
          <w:u w:val="single"/>
          <w:lang w:val="it-IT" w:eastAsia="de-DE"/>
        </w:rPr>
        <w:t>a</w:t>
      </w:r>
      <w:r w:rsidRPr="00A80C6D">
        <w:rPr>
          <w:rFonts w:cs="Segoe UI"/>
          <w:b/>
          <w:bCs/>
          <w:szCs w:val="22"/>
          <w:lang w:val="it-IT" w:eastAsia="de-DE"/>
        </w:rPr>
        <w:t>:</w:t>
      </w:r>
    </w:p>
    <w:p w14:paraId="679DD683" w14:textId="77777777" w:rsidR="00C507B9" w:rsidRDefault="00C507B9" w:rsidP="00046845">
      <w:pPr>
        <w:spacing w:line="240" w:lineRule="auto"/>
        <w:rPr>
          <w:rFonts w:cs="Segoe UI"/>
          <w:b/>
          <w:bCs/>
          <w:szCs w:val="22"/>
          <w:lang w:val="it-IT" w:eastAsia="de-DE"/>
        </w:rPr>
      </w:pPr>
    </w:p>
    <w:p w14:paraId="702174FA" w14:textId="055D6E0D" w:rsidR="00C507B9" w:rsidRPr="00A80C6D" w:rsidRDefault="00C507B9" w:rsidP="00C507B9">
      <w:pPr>
        <w:rPr>
          <w:rFonts w:cs="Segoe UI"/>
          <w:szCs w:val="22"/>
          <w:lang w:val="it-IT"/>
        </w:rPr>
      </w:pPr>
      <w:r>
        <w:rPr>
          <w:rFonts w:cs="Segoe UI"/>
          <w:szCs w:val="22"/>
          <w:lang w:val="it-IT"/>
        </w:rPr>
        <w:t>La versione integrale di q</w:t>
      </w:r>
      <w:r w:rsidRPr="00C507B9">
        <w:rPr>
          <w:rFonts w:cs="Segoe UI"/>
          <w:szCs w:val="22"/>
          <w:lang w:val="it-IT"/>
        </w:rPr>
        <w:t xml:space="preserve">uesto comunicato stampa è disponibile in inglese sul sito </w:t>
      </w:r>
      <w:hyperlink r:id="rId12" w:history="1">
        <w:r w:rsidRPr="0014149E">
          <w:rPr>
            <w:rStyle w:val="Collegamentoipertestuale"/>
            <w:rFonts w:cs="Segoe UI"/>
            <w:sz w:val="22"/>
            <w:szCs w:val="22"/>
            <w:lang w:val="it-IT"/>
          </w:rPr>
          <w:t>Henkel.com</w:t>
        </w:r>
      </w:hyperlink>
    </w:p>
    <w:p w14:paraId="73222D33" w14:textId="13171A8F" w:rsidR="00C57D96" w:rsidRPr="00A80C6D" w:rsidRDefault="00C57D96" w:rsidP="00C57D96">
      <w:pPr>
        <w:spacing w:line="240" w:lineRule="auto"/>
        <w:jc w:val="left"/>
        <w:rPr>
          <w:rStyle w:val="AboutandContactHeadline"/>
          <w:rFonts w:cs="Segoe UI"/>
          <w:b w:val="0"/>
          <w:bCs w:val="0"/>
          <w:sz w:val="17"/>
          <w:szCs w:val="17"/>
          <w:lang w:val="it-IT"/>
        </w:rPr>
      </w:pPr>
      <w:r w:rsidRPr="00A80C6D">
        <w:rPr>
          <w:rStyle w:val="AboutandContactHeadline"/>
          <w:sz w:val="17"/>
          <w:szCs w:val="17"/>
          <w:lang w:val="it-IT"/>
        </w:rPr>
        <w:lastRenderedPageBreak/>
        <w:t>Informazioni su Henkel</w:t>
      </w:r>
      <w:r w:rsidR="00A15CFA" w:rsidRPr="00A80C6D">
        <w:rPr>
          <w:rStyle w:val="AboutandContactHeadline"/>
          <w:sz w:val="17"/>
          <w:szCs w:val="17"/>
          <w:lang w:val="it-IT"/>
        </w:rPr>
        <w:t xml:space="preserve"> </w:t>
      </w:r>
    </w:p>
    <w:p w14:paraId="012CFFAF" w14:textId="77777777" w:rsidR="00C57D96" w:rsidRPr="00A80C6D" w:rsidRDefault="00C57D96" w:rsidP="00C57D96">
      <w:pPr>
        <w:rPr>
          <w:rStyle w:val="AboutandContactBody"/>
          <w:sz w:val="17"/>
          <w:szCs w:val="17"/>
          <w:lang w:val="it-IT"/>
        </w:rPr>
      </w:pPr>
    </w:p>
    <w:p w14:paraId="36597D52" w14:textId="18D30532" w:rsidR="00C57D96" w:rsidRPr="00A80C6D" w:rsidRDefault="00C57D96" w:rsidP="00C57D96">
      <w:pPr>
        <w:rPr>
          <w:rStyle w:val="Collegamentoipertestuale"/>
          <w:rFonts w:asciiTheme="minorHAnsi" w:hAnsiTheme="minorHAnsi" w:cstheme="minorHAnsi"/>
          <w:b/>
          <w:bCs/>
          <w:color w:val="auto"/>
          <w:sz w:val="17"/>
          <w:szCs w:val="17"/>
          <w:u w:val="none"/>
          <w:lang w:val="it-IT"/>
        </w:rPr>
      </w:pPr>
      <w:r w:rsidRPr="00A80C6D">
        <w:rPr>
          <w:rStyle w:val="AboutandContactBody"/>
          <w:sz w:val="17"/>
          <w:szCs w:val="17"/>
          <w:lang w:val="it-IT"/>
        </w:rPr>
        <w:t>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w:t>
      </w:r>
      <w:r w:rsidR="00874DB1" w:rsidRPr="00A80C6D">
        <w:rPr>
          <w:rStyle w:val="AboutandContactBody"/>
          <w:sz w:val="17"/>
          <w:szCs w:val="17"/>
          <w:lang w:val="it-IT"/>
        </w:rPr>
        <w:t>2</w:t>
      </w:r>
      <w:r w:rsidRPr="00A80C6D">
        <w:rPr>
          <w:rStyle w:val="AboutandContactBody"/>
          <w:sz w:val="17"/>
          <w:szCs w:val="17"/>
          <w:lang w:val="it-IT"/>
        </w:rPr>
        <w:t xml:space="preserve"> Henkel ha registrato un fatturato complessivo di oltre 2</w:t>
      </w:r>
      <w:r w:rsidR="00874DB1" w:rsidRPr="00A80C6D">
        <w:rPr>
          <w:rStyle w:val="AboutandContactBody"/>
          <w:sz w:val="17"/>
          <w:szCs w:val="17"/>
          <w:lang w:val="it-IT"/>
        </w:rPr>
        <w:t>2</w:t>
      </w:r>
      <w:r w:rsidRPr="00A80C6D">
        <w:rPr>
          <w:rStyle w:val="AboutandContactBody"/>
          <w:sz w:val="17"/>
          <w:szCs w:val="17"/>
          <w:lang w:val="it-IT"/>
        </w:rPr>
        <w:t xml:space="preserve"> miliardi di euro, con un margine operativo </w:t>
      </w:r>
      <w:r w:rsidR="00BF68ED" w:rsidRPr="00A80C6D">
        <w:rPr>
          <w:rStyle w:val="AboutandContactBody"/>
          <w:sz w:val="17"/>
          <w:szCs w:val="17"/>
          <w:lang w:val="it-IT"/>
        </w:rPr>
        <w:t>depurato</w:t>
      </w:r>
      <w:r w:rsidRPr="00A80C6D">
        <w:rPr>
          <w:rStyle w:val="AboutandContactBody"/>
          <w:sz w:val="17"/>
          <w:szCs w:val="17"/>
          <w:lang w:val="it-IT"/>
        </w:rPr>
        <w:t xml:space="preserve"> pari a</w:t>
      </w:r>
      <w:r w:rsidR="00BF68ED" w:rsidRPr="00A80C6D">
        <w:rPr>
          <w:rStyle w:val="AboutandContactBody"/>
          <w:sz w:val="17"/>
          <w:szCs w:val="17"/>
          <w:lang w:val="it-IT"/>
        </w:rPr>
        <w:t xml:space="preserve"> circa</w:t>
      </w:r>
      <w:r w:rsidRPr="00A80C6D">
        <w:rPr>
          <w:rStyle w:val="AboutandContactBody"/>
          <w:sz w:val="17"/>
          <w:szCs w:val="17"/>
          <w:lang w:val="it-IT"/>
        </w:rPr>
        <w:t xml:space="preserve"> 2,</w:t>
      </w:r>
      <w:r w:rsidR="00BF68ED" w:rsidRPr="00A80C6D">
        <w:rPr>
          <w:rStyle w:val="AboutandContactBody"/>
          <w:sz w:val="17"/>
          <w:szCs w:val="17"/>
          <w:lang w:val="it-IT"/>
        </w:rPr>
        <w:t>3</w:t>
      </w:r>
      <w:r w:rsidRPr="00A80C6D">
        <w:rPr>
          <w:rStyle w:val="AboutandContactBody"/>
          <w:sz w:val="17"/>
          <w:szCs w:val="17"/>
          <w:lang w:val="it-IT"/>
        </w:rPr>
        <w:t xml:space="preserve"> miliardi di euro. Le azioni privilegiate Henkel sono quotate presso la Borsa tedesca secondo l'indice DAX. Lo sviluppo sostenibile ha una lunga tradizione in Henkel, che ha una chiara strategia di sostenibilità con obiettivi concreti. Fondata nel 1876, Henkel impiega oltre 50.000 collaboratori nel mondo – un team eterogeneo, unito da una forte cultura aziendale, valori condivisi e un purpose comune: “Pionieri nel cuore per il bene di intere generazioni”. Per maggiori informazioni, visitate il sito </w:t>
      </w:r>
      <w:hyperlink r:id="rId13" w:history="1">
        <w:r w:rsidRPr="00A80C6D">
          <w:rPr>
            <w:rStyle w:val="Collegamentoipertestuale"/>
            <w:sz w:val="17"/>
            <w:szCs w:val="17"/>
            <w:lang w:val="it-IT"/>
          </w:rPr>
          <w:t>www.henkel.com</w:t>
        </w:r>
      </w:hyperlink>
      <w:r w:rsidRPr="00A80C6D">
        <w:rPr>
          <w:rStyle w:val="AboutandContactBody"/>
          <w:sz w:val="17"/>
          <w:szCs w:val="17"/>
          <w:lang w:val="it-IT"/>
        </w:rPr>
        <w:t xml:space="preserve"> </w:t>
      </w:r>
    </w:p>
    <w:p w14:paraId="0705C942" w14:textId="77777777" w:rsidR="00827E58" w:rsidRPr="00531A35" w:rsidRDefault="00827E58" w:rsidP="00827E58">
      <w:pPr>
        <w:tabs>
          <w:tab w:val="left" w:pos="1080"/>
          <w:tab w:val="left" w:pos="4500"/>
        </w:tabs>
        <w:spacing w:line="264" w:lineRule="auto"/>
        <w:rPr>
          <w:rStyle w:val="AboutandContactBody"/>
          <w:rFonts w:asciiTheme="majorHAnsi" w:hAnsiTheme="majorHAnsi" w:cs="Calibri Light"/>
          <w:bCs/>
          <w:szCs w:val="18"/>
          <w:lang w:val="it-IT"/>
        </w:rPr>
      </w:pPr>
    </w:p>
    <w:p w14:paraId="040693EA" w14:textId="77777777" w:rsidR="00827E58" w:rsidRPr="00531A35" w:rsidRDefault="00827E58" w:rsidP="00827E58">
      <w:pPr>
        <w:tabs>
          <w:tab w:val="left" w:pos="1080"/>
          <w:tab w:val="left" w:pos="4500"/>
        </w:tabs>
        <w:spacing w:line="264" w:lineRule="auto"/>
        <w:rPr>
          <w:rStyle w:val="AboutandContactBody"/>
          <w:rFonts w:asciiTheme="majorHAnsi" w:hAnsiTheme="majorHAnsi" w:cs="Calibri Light"/>
          <w:bCs/>
          <w:szCs w:val="18"/>
          <w:lang w:val="it-IT"/>
        </w:rPr>
      </w:pPr>
    </w:p>
    <w:p w14:paraId="2B6FE2E1" w14:textId="4F077088" w:rsidR="00C57D96" w:rsidRPr="00A80C6D" w:rsidRDefault="00303767" w:rsidP="00C57D96">
      <w:pPr>
        <w:tabs>
          <w:tab w:val="left" w:pos="1080"/>
          <w:tab w:val="left" w:pos="4500"/>
        </w:tabs>
        <w:rPr>
          <w:rStyle w:val="AboutandContactBody"/>
          <w:rFonts w:asciiTheme="majorHAnsi" w:hAnsiTheme="majorHAnsi" w:cstheme="majorHAnsi"/>
          <w:b/>
          <w:sz w:val="17"/>
          <w:szCs w:val="17"/>
          <w:lang w:val="it-IT"/>
        </w:rPr>
      </w:pPr>
      <w:r>
        <w:rPr>
          <w:rStyle w:val="AboutandContactBody"/>
          <w:rFonts w:asciiTheme="majorHAnsi" w:hAnsiTheme="majorHAnsi" w:cstheme="majorHAnsi"/>
          <w:b/>
          <w:sz w:val="17"/>
          <w:szCs w:val="17"/>
          <w:lang w:val="it-IT"/>
        </w:rPr>
        <w:t>Pe</w:t>
      </w:r>
      <w:r w:rsidR="00C57D96" w:rsidRPr="00A80C6D">
        <w:rPr>
          <w:rStyle w:val="AboutandContactBody"/>
          <w:rFonts w:asciiTheme="majorHAnsi" w:hAnsiTheme="majorHAnsi" w:cstheme="majorHAnsi"/>
          <w:b/>
          <w:sz w:val="17"/>
          <w:szCs w:val="17"/>
          <w:lang w:val="it-IT"/>
        </w:rPr>
        <w:t xml:space="preserve">r informazioni alla stampa: </w:t>
      </w:r>
    </w:p>
    <w:p w14:paraId="7E5FAD5F" w14:textId="77777777" w:rsidR="00C57D96" w:rsidRPr="00A80C6D" w:rsidRDefault="00C57D96" w:rsidP="00C57D96">
      <w:pPr>
        <w:tabs>
          <w:tab w:val="left" w:pos="1080"/>
          <w:tab w:val="left" w:pos="4500"/>
        </w:tabs>
        <w:rPr>
          <w:rStyle w:val="AboutandContactBody"/>
          <w:rFonts w:asciiTheme="majorHAnsi" w:hAnsiTheme="majorHAnsi" w:cstheme="majorHAnsi"/>
          <w:b/>
          <w:sz w:val="17"/>
          <w:szCs w:val="17"/>
          <w:lang w:val="it-IT"/>
        </w:rPr>
      </w:pPr>
    </w:p>
    <w:p w14:paraId="378B1B56" w14:textId="77777777" w:rsidR="00C57D96" w:rsidRPr="00A80C6D" w:rsidRDefault="00C57D96" w:rsidP="00C57D96">
      <w:pPr>
        <w:tabs>
          <w:tab w:val="left" w:pos="1080"/>
          <w:tab w:val="left" w:pos="4500"/>
        </w:tabs>
        <w:rPr>
          <w:rStyle w:val="AboutandContactBody"/>
          <w:rFonts w:asciiTheme="majorHAnsi" w:hAnsiTheme="majorHAnsi" w:cstheme="majorHAnsi"/>
          <w:b/>
          <w:sz w:val="17"/>
          <w:szCs w:val="17"/>
          <w:lang w:val="it-IT"/>
        </w:rPr>
      </w:pPr>
      <w:r w:rsidRPr="00A80C6D">
        <w:rPr>
          <w:rStyle w:val="AboutandContactBody"/>
          <w:rFonts w:asciiTheme="majorHAnsi" w:hAnsiTheme="majorHAnsi" w:cstheme="majorHAnsi"/>
          <w:b/>
          <w:sz w:val="17"/>
          <w:szCs w:val="17"/>
          <w:lang w:val="it-IT"/>
        </w:rPr>
        <w:t>Giusi Viani</w:t>
      </w:r>
      <w:r w:rsidRPr="00A80C6D">
        <w:rPr>
          <w:rStyle w:val="AboutandContactBody"/>
          <w:rFonts w:asciiTheme="majorHAnsi" w:hAnsiTheme="majorHAnsi" w:cstheme="majorHAnsi"/>
          <w:b/>
          <w:sz w:val="17"/>
          <w:szCs w:val="17"/>
          <w:lang w:val="it-IT"/>
        </w:rPr>
        <w:tab/>
      </w:r>
      <w:r w:rsidRPr="00A80C6D">
        <w:rPr>
          <w:rStyle w:val="AboutandContactBody"/>
          <w:rFonts w:asciiTheme="majorHAnsi" w:hAnsiTheme="majorHAnsi" w:cstheme="majorHAnsi"/>
          <w:b/>
          <w:sz w:val="17"/>
          <w:szCs w:val="17"/>
          <w:lang w:val="it-IT"/>
        </w:rPr>
        <w:tab/>
        <w:t xml:space="preserve">Silvia Vergani </w:t>
      </w:r>
      <w:r w:rsidRPr="00A80C6D">
        <w:rPr>
          <w:rStyle w:val="AboutandContactBody"/>
          <w:rFonts w:asciiTheme="majorHAnsi" w:hAnsiTheme="majorHAnsi" w:cstheme="majorHAnsi"/>
          <w:b/>
          <w:sz w:val="17"/>
          <w:szCs w:val="17"/>
          <w:lang w:val="it-IT"/>
        </w:rPr>
        <w:tab/>
      </w:r>
    </w:p>
    <w:p w14:paraId="6EA4759A" w14:textId="77777777" w:rsidR="00C57D96" w:rsidRPr="00A80C6D" w:rsidRDefault="00C57D96" w:rsidP="00C57D96">
      <w:pPr>
        <w:tabs>
          <w:tab w:val="left" w:pos="1080"/>
          <w:tab w:val="left" w:pos="4500"/>
        </w:tabs>
        <w:rPr>
          <w:rStyle w:val="AboutandContactBody"/>
          <w:rFonts w:asciiTheme="majorHAnsi" w:hAnsiTheme="majorHAnsi" w:cstheme="majorHAnsi"/>
          <w:b/>
          <w:sz w:val="17"/>
          <w:szCs w:val="17"/>
          <w:lang w:val="it-IT"/>
        </w:rPr>
      </w:pPr>
      <w:r w:rsidRPr="00A80C6D">
        <w:rPr>
          <w:rStyle w:val="AboutandContactBody"/>
          <w:rFonts w:asciiTheme="majorHAnsi" w:hAnsiTheme="majorHAnsi" w:cstheme="majorHAnsi"/>
          <w:bCs/>
          <w:sz w:val="17"/>
          <w:szCs w:val="17"/>
          <w:lang w:val="it-IT"/>
        </w:rPr>
        <w:t>Head of Corporate Communications, Henkel Italia</w:t>
      </w:r>
      <w:r w:rsidRPr="00A80C6D">
        <w:rPr>
          <w:rStyle w:val="AboutandContactBody"/>
          <w:rFonts w:asciiTheme="majorHAnsi" w:hAnsiTheme="majorHAnsi" w:cstheme="majorHAnsi"/>
          <w:b/>
          <w:sz w:val="17"/>
          <w:szCs w:val="17"/>
          <w:lang w:val="it-IT"/>
        </w:rPr>
        <w:tab/>
      </w:r>
      <w:r w:rsidRPr="00A80C6D">
        <w:rPr>
          <w:rStyle w:val="AboutandContactBody"/>
          <w:rFonts w:asciiTheme="majorHAnsi" w:hAnsiTheme="majorHAnsi" w:cstheme="majorHAnsi"/>
          <w:bCs/>
          <w:sz w:val="17"/>
          <w:szCs w:val="17"/>
          <w:lang w:val="it-IT"/>
        </w:rPr>
        <w:t>Corporate Comm. Consultant, Henkel Italia</w:t>
      </w:r>
      <w:r w:rsidRPr="00A80C6D">
        <w:rPr>
          <w:rStyle w:val="AboutandContactBody"/>
          <w:rFonts w:asciiTheme="majorHAnsi" w:hAnsiTheme="majorHAnsi" w:cstheme="majorHAnsi"/>
          <w:b/>
          <w:sz w:val="17"/>
          <w:szCs w:val="17"/>
          <w:lang w:val="it-IT"/>
        </w:rPr>
        <w:t xml:space="preserve"> </w:t>
      </w:r>
    </w:p>
    <w:p w14:paraId="36407A19" w14:textId="77777777" w:rsidR="00C57D96" w:rsidRPr="00A80C6D" w:rsidRDefault="00C57D96" w:rsidP="00C57D96">
      <w:pPr>
        <w:tabs>
          <w:tab w:val="left" w:pos="1080"/>
          <w:tab w:val="left" w:pos="4500"/>
        </w:tabs>
        <w:rPr>
          <w:rStyle w:val="AboutandContactBody"/>
          <w:rFonts w:asciiTheme="majorHAnsi" w:hAnsiTheme="majorHAnsi" w:cstheme="majorHAnsi"/>
          <w:bCs/>
          <w:sz w:val="17"/>
          <w:szCs w:val="17"/>
          <w:lang w:val="it-IT"/>
        </w:rPr>
      </w:pPr>
      <w:r w:rsidRPr="00A80C6D">
        <w:rPr>
          <w:rStyle w:val="AboutandContactBody"/>
          <w:rFonts w:asciiTheme="majorHAnsi" w:hAnsiTheme="majorHAnsi" w:cstheme="majorHAnsi"/>
          <w:bCs/>
          <w:sz w:val="17"/>
          <w:szCs w:val="17"/>
          <w:lang w:val="it-IT"/>
        </w:rPr>
        <w:t>Tel: +39 348 4761287</w:t>
      </w:r>
      <w:r w:rsidRPr="00A80C6D">
        <w:rPr>
          <w:rStyle w:val="AboutandContactBody"/>
          <w:rFonts w:asciiTheme="majorHAnsi" w:hAnsiTheme="majorHAnsi" w:cstheme="majorHAnsi"/>
          <w:bCs/>
          <w:sz w:val="17"/>
          <w:szCs w:val="17"/>
          <w:lang w:val="it-IT"/>
        </w:rPr>
        <w:tab/>
        <w:t>Tel: +39 349 7668102</w:t>
      </w:r>
    </w:p>
    <w:p w14:paraId="1CAE75D3" w14:textId="6B57199A" w:rsidR="00112A28" w:rsidRDefault="00C57D96" w:rsidP="00424155">
      <w:pPr>
        <w:tabs>
          <w:tab w:val="left" w:pos="1080"/>
          <w:tab w:val="left" w:pos="4500"/>
        </w:tabs>
        <w:rPr>
          <w:rStyle w:val="Collegamentoipertestuale"/>
          <w:rFonts w:asciiTheme="majorHAnsi" w:hAnsiTheme="majorHAnsi" w:cstheme="majorHAnsi"/>
          <w:bCs/>
          <w:sz w:val="17"/>
          <w:szCs w:val="17"/>
          <w:lang w:val="it-IT"/>
        </w:rPr>
      </w:pPr>
      <w:r w:rsidRPr="00A80C6D">
        <w:rPr>
          <w:rStyle w:val="AboutandContactBody"/>
          <w:rFonts w:asciiTheme="majorHAnsi" w:hAnsiTheme="majorHAnsi" w:cstheme="majorHAnsi"/>
          <w:bCs/>
          <w:sz w:val="17"/>
          <w:szCs w:val="17"/>
          <w:lang w:val="it-IT"/>
        </w:rPr>
        <w:t xml:space="preserve">E-mail: </w:t>
      </w:r>
      <w:hyperlink r:id="rId14" w:history="1">
        <w:r w:rsidRPr="00A80C6D">
          <w:rPr>
            <w:rStyle w:val="Collegamentoipertestuale"/>
            <w:rFonts w:asciiTheme="majorHAnsi" w:hAnsiTheme="majorHAnsi" w:cstheme="majorHAnsi"/>
            <w:bCs/>
            <w:sz w:val="17"/>
            <w:szCs w:val="17"/>
            <w:lang w:val="it-IT"/>
          </w:rPr>
          <w:t>giusi.viani@henkel.com</w:t>
        </w:r>
      </w:hyperlink>
      <w:r w:rsidRPr="00A80C6D">
        <w:rPr>
          <w:rStyle w:val="AboutandContactBody"/>
          <w:rFonts w:asciiTheme="majorHAnsi" w:hAnsiTheme="majorHAnsi" w:cstheme="majorHAnsi"/>
          <w:bCs/>
          <w:sz w:val="17"/>
          <w:szCs w:val="17"/>
          <w:lang w:val="it-IT"/>
        </w:rPr>
        <w:t xml:space="preserve"> </w:t>
      </w:r>
      <w:r w:rsidRPr="00A80C6D">
        <w:rPr>
          <w:rStyle w:val="AboutandContactBody"/>
          <w:rFonts w:asciiTheme="majorHAnsi" w:hAnsiTheme="majorHAnsi" w:cstheme="majorHAnsi"/>
          <w:bCs/>
          <w:sz w:val="17"/>
          <w:szCs w:val="17"/>
          <w:lang w:val="it-IT"/>
        </w:rPr>
        <w:tab/>
        <w:t xml:space="preserve">E-mail: </w:t>
      </w:r>
      <w:hyperlink r:id="rId15" w:history="1">
        <w:r w:rsidRPr="00A80C6D">
          <w:rPr>
            <w:rStyle w:val="Collegamentoipertestuale"/>
            <w:rFonts w:asciiTheme="majorHAnsi" w:hAnsiTheme="majorHAnsi" w:cstheme="majorHAnsi"/>
            <w:bCs/>
            <w:sz w:val="17"/>
            <w:szCs w:val="17"/>
            <w:lang w:val="it-IT"/>
          </w:rPr>
          <w:t>silvia.vergani@henkel.com</w:t>
        </w:r>
      </w:hyperlink>
    </w:p>
    <w:p w14:paraId="0FB15AC4" w14:textId="77777777" w:rsidR="00303767" w:rsidRDefault="00303767" w:rsidP="00424155">
      <w:pPr>
        <w:tabs>
          <w:tab w:val="left" w:pos="1080"/>
          <w:tab w:val="left" w:pos="4500"/>
        </w:tabs>
        <w:rPr>
          <w:rStyle w:val="Collegamentoipertestuale"/>
          <w:rFonts w:asciiTheme="majorHAnsi" w:hAnsiTheme="majorHAnsi" w:cstheme="majorHAnsi"/>
          <w:bCs/>
          <w:sz w:val="17"/>
          <w:szCs w:val="17"/>
          <w:lang w:val="it-IT"/>
        </w:rPr>
      </w:pPr>
    </w:p>
    <w:p w14:paraId="1ECE1524" w14:textId="77777777" w:rsidR="00303767" w:rsidRDefault="00303767" w:rsidP="00424155">
      <w:pPr>
        <w:tabs>
          <w:tab w:val="left" w:pos="1080"/>
          <w:tab w:val="left" w:pos="4500"/>
        </w:tabs>
        <w:rPr>
          <w:rStyle w:val="Collegamentoipertestuale"/>
          <w:rFonts w:asciiTheme="majorHAnsi" w:hAnsiTheme="majorHAnsi" w:cstheme="majorHAnsi"/>
          <w:bCs/>
          <w:sz w:val="17"/>
          <w:szCs w:val="17"/>
          <w:lang w:val="it-IT"/>
        </w:rPr>
      </w:pPr>
    </w:p>
    <w:p w14:paraId="24F27BF4" w14:textId="77777777" w:rsidR="00303767" w:rsidRDefault="00303767" w:rsidP="00424155">
      <w:pPr>
        <w:tabs>
          <w:tab w:val="left" w:pos="1080"/>
          <w:tab w:val="left" w:pos="4500"/>
        </w:tabs>
        <w:rPr>
          <w:rStyle w:val="Collegamentoipertestuale"/>
          <w:rFonts w:asciiTheme="majorHAnsi" w:hAnsiTheme="majorHAnsi" w:cstheme="majorHAnsi"/>
          <w:bCs/>
          <w:sz w:val="17"/>
          <w:szCs w:val="17"/>
          <w:lang w:val="it-IT"/>
        </w:rPr>
      </w:pPr>
    </w:p>
    <w:p w14:paraId="5F58302A" w14:textId="77777777" w:rsidR="00303767" w:rsidRPr="00303767" w:rsidRDefault="00303767" w:rsidP="00303767">
      <w:pPr>
        <w:pStyle w:val="He01Flietext"/>
        <w:jc w:val="both"/>
        <w:rPr>
          <w:sz w:val="14"/>
          <w:szCs w:val="14"/>
          <w:lang w:val="en-US"/>
        </w:rPr>
      </w:pPr>
      <w:r w:rsidRPr="00303767">
        <w:rPr>
          <w:sz w:val="14"/>
          <w:szCs w:val="14"/>
          <w:lang w:val="en-US"/>
        </w:rPr>
        <w:t xml:space="preserve">This document contains statements referring to future business development, financial performance and other events or developments of future relevance for Henkel that may constitute forward-looking </w:t>
      </w:r>
      <w:r w:rsidRPr="00303767">
        <w:rPr>
          <w:spacing w:val="-1"/>
          <w:sz w:val="14"/>
          <w:szCs w:val="14"/>
          <w:lang w:val="en-US"/>
        </w:rPr>
        <w:t>statements. Statements with respect to the future are characterized by the use of words such as ex</w:t>
      </w:r>
      <w:r w:rsidRPr="00303767">
        <w:rPr>
          <w:sz w:val="14"/>
          <w:szCs w:val="14"/>
          <w:lang w:val="en-US"/>
        </w:rPr>
        <w:t xml:space="preserve">pect, </w:t>
      </w:r>
      <w:r w:rsidRPr="00303767">
        <w:rPr>
          <w:spacing w:val="2"/>
          <w:sz w:val="14"/>
          <w:szCs w:val="14"/>
          <w:lang w:val="en-US"/>
        </w:rPr>
        <w:t>intend, plan, anticipate, believe, estimate, and similar terms. Such statements are based on current estimates and assumptions made by the corporate management of Henkel AG &amp; Co. KGaA. These</w:t>
      </w:r>
      <w:r w:rsidRPr="00303767">
        <w:rPr>
          <w:sz w:val="14"/>
          <w:szCs w:val="14"/>
          <w:lang w:val="en-US"/>
        </w:rPr>
        <w:t xml:space="preserve"> statements are not to be understood as in any way guaranteeing that those expectations will turn out </w:t>
      </w:r>
      <w:r w:rsidRPr="00303767">
        <w:rPr>
          <w:spacing w:val="1"/>
          <w:sz w:val="14"/>
          <w:szCs w:val="14"/>
          <w:lang w:val="en-US"/>
        </w:rPr>
        <w:t>to be accurate. Future performance and results actually achieved by Henkel AG &amp; Co. KGaA and its af</w:t>
      </w:r>
      <w:r w:rsidRPr="00303767">
        <w:rPr>
          <w:sz w:val="14"/>
          <w:szCs w:val="14"/>
          <w:lang w:val="en-US"/>
        </w:rPr>
        <w:t xml:space="preserve">filiated companies depend on a number of risks and uncertainties and may therefore differ materially </w:t>
      </w:r>
      <w:r w:rsidRPr="00303767">
        <w:rPr>
          <w:spacing w:val="-1"/>
          <w:sz w:val="14"/>
          <w:szCs w:val="14"/>
          <w:lang w:val="en-US"/>
        </w:rPr>
        <w:t>(both positively and negatively) from the forward-looking statements. Many of these factors are out</w:t>
      </w:r>
      <w:r w:rsidRPr="00303767">
        <w:rPr>
          <w:sz w:val="14"/>
          <w:szCs w:val="14"/>
          <w:lang w:val="en-US"/>
        </w:rPr>
        <w:t>side Henkel’s control and cannot be accurately estimated in advance, such as the future economic environ</w:t>
      </w:r>
      <w:r w:rsidRPr="00303767">
        <w:rPr>
          <w:spacing w:val="1"/>
          <w:sz w:val="14"/>
          <w:szCs w:val="14"/>
          <w:lang w:val="en-US"/>
        </w:rPr>
        <w:t>ment and the actions of competitors and others involved in the marketplace. Henkel neither plans nor</w:t>
      </w:r>
      <w:r w:rsidRPr="00303767">
        <w:rPr>
          <w:sz w:val="14"/>
          <w:szCs w:val="14"/>
          <w:lang w:val="en-US"/>
        </w:rPr>
        <w:t xml:space="preserve"> undertakes to update forward-looking statements.</w:t>
      </w:r>
    </w:p>
    <w:p w14:paraId="553CB012" w14:textId="77777777" w:rsidR="00303767" w:rsidRPr="00303767" w:rsidRDefault="00303767" w:rsidP="00303767">
      <w:pPr>
        <w:pStyle w:val="He01Flietext"/>
        <w:jc w:val="both"/>
        <w:rPr>
          <w:sz w:val="14"/>
          <w:szCs w:val="14"/>
          <w:lang w:val="en-US"/>
        </w:rPr>
      </w:pPr>
      <w:r w:rsidRPr="00303767">
        <w:rPr>
          <w:sz w:val="14"/>
          <w:szCs w:val="14"/>
          <w:lang w:val="en-US"/>
        </w:rPr>
        <w:t xml:space="preserve">This document includes supplemental financial indicators that are not clearly defined in the applicable </w:t>
      </w:r>
      <w:r w:rsidRPr="00303767">
        <w:rPr>
          <w:spacing w:val="-2"/>
          <w:sz w:val="14"/>
          <w:szCs w:val="14"/>
          <w:lang w:val="en-US"/>
        </w:rPr>
        <w:t>financial reporting framework and that are or may be alternative performance measures. These supple</w:t>
      </w:r>
      <w:r w:rsidRPr="00303767">
        <w:rPr>
          <w:sz w:val="14"/>
          <w:szCs w:val="14"/>
          <w:lang w:val="en-US"/>
        </w:rPr>
        <w:t xml:space="preserve">mental financial indicators should not be viewed in isolation or as alternatives to measures of Henkel’s </w:t>
      </w:r>
      <w:r w:rsidRPr="00303767">
        <w:rPr>
          <w:spacing w:val="-3"/>
          <w:sz w:val="14"/>
          <w:szCs w:val="14"/>
          <w:lang w:val="en-US"/>
        </w:rPr>
        <w:t>net assets and financial position or results of operations as presented in accordance with the applicable</w:t>
      </w:r>
      <w:r w:rsidRPr="00303767">
        <w:rPr>
          <w:sz w:val="14"/>
          <w:szCs w:val="14"/>
          <w:lang w:val="en-US"/>
        </w:rPr>
        <w:t xml:space="preserve"> financial reporting framework in its Consolidated Financial Statements. Other companies that report or describe similarly titled alternative performance measures may calculate them differently.</w:t>
      </w:r>
    </w:p>
    <w:p w14:paraId="143B8333" w14:textId="77777777" w:rsidR="00303767" w:rsidRPr="00603C79" w:rsidRDefault="00303767" w:rsidP="00303767">
      <w:pPr>
        <w:pStyle w:val="He01Flietext"/>
        <w:jc w:val="both"/>
        <w:rPr>
          <w:sz w:val="14"/>
          <w:szCs w:val="14"/>
          <w:lang w:val="en-US"/>
        </w:rPr>
      </w:pPr>
      <w:r w:rsidRPr="00303767">
        <w:rPr>
          <w:spacing w:val="1"/>
          <w:sz w:val="14"/>
          <w:szCs w:val="14"/>
          <w:lang w:val="en-US"/>
        </w:rPr>
        <w:t>This document has been issued for information purposes only and is not intended to constitute an in</w:t>
      </w:r>
      <w:r w:rsidRPr="00303767">
        <w:rPr>
          <w:sz w:val="14"/>
          <w:szCs w:val="14"/>
          <w:lang w:val="en-US"/>
        </w:rPr>
        <w:t>vestment advice or an offer to sell, or a solicitation of an offer to buy, any securities.</w:t>
      </w:r>
    </w:p>
    <w:p w14:paraId="1968AA41" w14:textId="77777777" w:rsidR="00303767" w:rsidRPr="00531A35" w:rsidRDefault="00303767" w:rsidP="00303767">
      <w:pPr>
        <w:tabs>
          <w:tab w:val="left" w:pos="1080"/>
          <w:tab w:val="left" w:pos="4500"/>
        </w:tabs>
        <w:rPr>
          <w:rStyle w:val="AboutandContactBody"/>
          <w:rFonts w:asciiTheme="majorHAnsi" w:hAnsiTheme="majorHAnsi" w:cstheme="majorHAnsi"/>
          <w:bCs/>
          <w:color w:val="0000FF"/>
          <w:sz w:val="17"/>
          <w:szCs w:val="17"/>
          <w:u w:val="single"/>
        </w:rPr>
      </w:pPr>
    </w:p>
    <w:sectPr w:rsidR="00303767" w:rsidRPr="00531A35"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40A3" w14:textId="77777777" w:rsidR="00DA00B3" w:rsidRDefault="00DA00B3">
      <w:r>
        <w:separator/>
      </w:r>
    </w:p>
  </w:endnote>
  <w:endnote w:type="continuationSeparator" w:id="0">
    <w:p w14:paraId="772A85CB" w14:textId="77777777" w:rsidR="00DA00B3" w:rsidRDefault="00DA00B3">
      <w:r>
        <w:continuationSeparator/>
      </w:r>
    </w:p>
  </w:endnote>
  <w:endnote w:type="continuationNotice" w:id="1">
    <w:p w14:paraId="1772F5CF" w14:textId="77777777" w:rsidR="00DA00B3" w:rsidRDefault="00DA00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113B6B">
      <w:fldChar w:fldCharType="begin"/>
    </w:r>
    <w:r w:rsidR="00113B6B">
      <w:instrText xml:space="preserve"> NUMPAGES  \* Arabic  \* MERGEFORMAT </w:instrText>
    </w:r>
    <w:r w:rsidR="00113B6B">
      <w:fldChar w:fldCharType="separate"/>
    </w:r>
    <w:r>
      <w:t>2</w:t>
    </w:r>
    <w:r w:rsidR="00113B6B">
      <w:fldChar w:fldCharType="end"/>
    </w:r>
  </w:p>
  <w:p w14:paraId="6D85973C" w14:textId="77777777" w:rsidR="003F21AF" w:rsidRDefault="003F2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7FE5" w14:textId="232E5B49" w:rsidR="000A56DD" w:rsidRDefault="0049165B" w:rsidP="00440511">
    <w:pPr>
      <w:autoSpaceDE w:val="0"/>
      <w:autoSpaceDN w:val="0"/>
      <w:adjustRightInd w:val="0"/>
      <w:spacing w:after="60" w:line="240" w:lineRule="auto"/>
      <w:rPr>
        <w:sz w:val="14"/>
        <w:szCs w:val="14"/>
        <w:lang w:val="it-IT"/>
      </w:rPr>
    </w:pPr>
    <w:bookmarkStart w:id="3" w:name="_Hlk505758583"/>
    <w:r w:rsidRPr="00992A11">
      <w:rPr>
        <w:noProof/>
      </w:rPr>
      <w:drawing>
        <wp:anchor distT="0" distB="0" distL="114300" distR="114300" simplePos="0" relativeHeight="251660289" behindDoc="0" locked="0" layoutInCell="1" allowOverlap="1" wp14:anchorId="4470B52B" wp14:editId="32E30E8F">
          <wp:simplePos x="0" y="0"/>
          <wp:positionH relativeFrom="margin">
            <wp:posOffset>0</wp:posOffset>
          </wp:positionH>
          <wp:positionV relativeFrom="paragraph">
            <wp:posOffset>-635</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p>
  <w:p w14:paraId="7EA63B7B" w14:textId="77777777" w:rsidR="000A56DD" w:rsidRDefault="000A56DD" w:rsidP="00440511">
    <w:pPr>
      <w:autoSpaceDE w:val="0"/>
      <w:autoSpaceDN w:val="0"/>
      <w:adjustRightInd w:val="0"/>
      <w:spacing w:after="60" w:line="240" w:lineRule="auto"/>
      <w:rPr>
        <w:sz w:val="14"/>
        <w:szCs w:val="14"/>
        <w:lang w:val="it-IT"/>
      </w:rPr>
    </w:pPr>
  </w:p>
  <w:p w14:paraId="7E448CDF" w14:textId="77777777" w:rsidR="0049165B" w:rsidRDefault="0049165B" w:rsidP="00440511">
    <w:pPr>
      <w:autoSpaceDE w:val="0"/>
      <w:autoSpaceDN w:val="0"/>
      <w:adjustRightInd w:val="0"/>
      <w:spacing w:after="60" w:line="240" w:lineRule="auto"/>
      <w:rPr>
        <w:sz w:val="14"/>
        <w:szCs w:val="14"/>
        <w:lang w:val="it-IT"/>
      </w:rPr>
    </w:pPr>
  </w:p>
  <w:p w14:paraId="5E4F7EB5" w14:textId="31F0CF11" w:rsidR="00440511" w:rsidRPr="00943B29" w:rsidRDefault="00440511" w:rsidP="00440511">
    <w:pPr>
      <w:autoSpaceDE w:val="0"/>
      <w:autoSpaceDN w:val="0"/>
      <w:adjustRightInd w:val="0"/>
      <w:spacing w:after="60" w:line="240" w:lineRule="auto"/>
      <w:rPr>
        <w:sz w:val="14"/>
        <w:szCs w:val="14"/>
        <w:lang w:val="it-IT"/>
      </w:rPr>
    </w:pPr>
    <w:r>
      <w:rPr>
        <w:sz w:val="14"/>
        <w:szCs w:val="14"/>
        <w:lang w:val="it-IT"/>
      </w:rPr>
      <w:t xml:space="preserve">* </w:t>
    </w:r>
    <w:r w:rsidRPr="00943B29">
      <w:rPr>
        <w:sz w:val="14"/>
        <w:szCs w:val="14"/>
        <w:lang w:val="it-IT"/>
      </w:rPr>
      <w:t>Depurato da spese e ricavi straordinari, nonché oneri di ris</w:t>
    </w:r>
    <w:r>
      <w:rPr>
        <w:sz w:val="14"/>
        <w:szCs w:val="14"/>
        <w:lang w:val="it-IT"/>
      </w:rPr>
      <w:t>trutturazione</w:t>
    </w:r>
    <w:r w:rsidRPr="00943B29">
      <w:rPr>
        <w:sz w:val="14"/>
        <w:szCs w:val="14"/>
        <w:lang w:val="it-IT"/>
      </w:rPr>
      <w:t>.</w:t>
    </w:r>
  </w:p>
  <w:p w14:paraId="577A058E" w14:textId="447A21D9" w:rsidR="00CF6F33" w:rsidRPr="00992A11" w:rsidRDefault="00B422EC" w:rsidP="00992A11">
    <w:pPr>
      <w:pStyle w:val="Pidipagina"/>
    </w:pPr>
    <w:r w:rsidRPr="00992A11">
      <w:t>Pag</w:t>
    </w:r>
    <w:r w:rsidR="00E63D07">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p w14:paraId="5B528BA2" w14:textId="77777777" w:rsidR="003F21AF" w:rsidRDefault="003F2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1E05" w14:textId="77777777" w:rsidR="00DA00B3" w:rsidRDefault="00DA00B3">
      <w:r>
        <w:separator/>
      </w:r>
    </w:p>
  </w:footnote>
  <w:footnote w:type="continuationSeparator" w:id="0">
    <w:p w14:paraId="0DAD40BF" w14:textId="77777777" w:rsidR="00DA00B3" w:rsidRDefault="00DA00B3">
      <w:r>
        <w:continuationSeparator/>
      </w:r>
    </w:p>
  </w:footnote>
  <w:footnote w:type="continuationNotice" w:id="1">
    <w:p w14:paraId="03E4DC7D" w14:textId="77777777" w:rsidR="00DA00B3" w:rsidRDefault="00DA00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p w14:paraId="4A7FCF5E" w14:textId="77777777" w:rsidR="003F21AF" w:rsidRDefault="003F21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C8FD" w14:textId="54B0894B" w:rsidR="003F21AF" w:rsidRDefault="0059722C" w:rsidP="00CC7447">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A97337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E95B8E">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0EC6862"/>
    <w:lvl w:ilvl="0" w:tplc="EF8C5560">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227EAEF2"/>
    <w:lvl w:ilvl="0" w:tplc="36002C28">
      <w:start w:val="1"/>
      <w:numFmt w:val="bullet"/>
      <w:lvlText w:val=""/>
      <w:lvlJc w:val="left"/>
      <w:pPr>
        <w:ind w:left="360" w:hanging="360"/>
      </w:pPr>
      <w:rPr>
        <w:rFonts w:ascii="Wingdings" w:hAnsi="Wingdings" w:hint="default"/>
        <w:color w:val="E1000F"/>
        <w:sz w:val="24"/>
      </w:rPr>
    </w:lvl>
    <w:lvl w:ilvl="1" w:tplc="F84AC560">
      <w:numFmt w:val="bullet"/>
      <w:lvlText w:val="-"/>
      <w:lvlJc w:val="left"/>
      <w:pPr>
        <w:ind w:left="1080" w:hanging="360"/>
      </w:pPr>
      <w:rPr>
        <w:rFonts w:ascii="Arial" w:hAnsi="Arial" w:hint="default"/>
        <w:color w:val="FF0000"/>
        <w:lang w:val="it-I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10"/>
  </w:num>
  <w:num w:numId="4" w16cid:durableId="1658344630">
    <w:abstractNumId w:val="6"/>
  </w:num>
  <w:num w:numId="5" w16cid:durableId="2132553883">
    <w:abstractNumId w:val="4"/>
  </w:num>
  <w:num w:numId="6" w16cid:durableId="545726518">
    <w:abstractNumId w:val="7"/>
  </w:num>
  <w:num w:numId="7" w16cid:durableId="798450495">
    <w:abstractNumId w:val="8"/>
  </w:num>
  <w:num w:numId="8" w16cid:durableId="454642566">
    <w:abstractNumId w:val="5"/>
  </w:num>
  <w:num w:numId="9" w16cid:durableId="779758863">
    <w:abstractNumId w:val="0"/>
  </w:num>
  <w:num w:numId="10" w16cid:durableId="1684356537">
    <w:abstractNumId w:val="3"/>
  </w:num>
  <w:num w:numId="11" w16cid:durableId="441844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1861"/>
    <w:rsid w:val="00002AA4"/>
    <w:rsid w:val="00003F1A"/>
    <w:rsid w:val="000049DB"/>
    <w:rsid w:val="00005267"/>
    <w:rsid w:val="00006346"/>
    <w:rsid w:val="000100F1"/>
    <w:rsid w:val="00021C67"/>
    <w:rsid w:val="00030557"/>
    <w:rsid w:val="00030F51"/>
    <w:rsid w:val="00035A84"/>
    <w:rsid w:val="00040CC9"/>
    <w:rsid w:val="00041023"/>
    <w:rsid w:val="00046845"/>
    <w:rsid w:val="00051E86"/>
    <w:rsid w:val="00054F7F"/>
    <w:rsid w:val="00055447"/>
    <w:rsid w:val="000575F9"/>
    <w:rsid w:val="00060BF3"/>
    <w:rsid w:val="00060D28"/>
    <w:rsid w:val="000618FC"/>
    <w:rsid w:val="0006344D"/>
    <w:rsid w:val="00066030"/>
    <w:rsid w:val="00067071"/>
    <w:rsid w:val="000674E1"/>
    <w:rsid w:val="000722E8"/>
    <w:rsid w:val="00075870"/>
    <w:rsid w:val="000803D2"/>
    <w:rsid w:val="00080D10"/>
    <w:rsid w:val="0008357F"/>
    <w:rsid w:val="00083B58"/>
    <w:rsid w:val="00083B9D"/>
    <w:rsid w:val="00084890"/>
    <w:rsid w:val="000863DE"/>
    <w:rsid w:val="00086EAB"/>
    <w:rsid w:val="000876EA"/>
    <w:rsid w:val="00092D24"/>
    <w:rsid w:val="00093064"/>
    <w:rsid w:val="00095CE4"/>
    <w:rsid w:val="00095D8E"/>
    <w:rsid w:val="000A0407"/>
    <w:rsid w:val="000A127D"/>
    <w:rsid w:val="000A56DD"/>
    <w:rsid w:val="000A5867"/>
    <w:rsid w:val="000A69C1"/>
    <w:rsid w:val="000A7721"/>
    <w:rsid w:val="000B21BF"/>
    <w:rsid w:val="000B33AC"/>
    <w:rsid w:val="000B383D"/>
    <w:rsid w:val="000B406F"/>
    <w:rsid w:val="000B5115"/>
    <w:rsid w:val="000B5232"/>
    <w:rsid w:val="000B695A"/>
    <w:rsid w:val="000C210A"/>
    <w:rsid w:val="000C56DD"/>
    <w:rsid w:val="000D1672"/>
    <w:rsid w:val="000D214D"/>
    <w:rsid w:val="000D2C0B"/>
    <w:rsid w:val="000D4223"/>
    <w:rsid w:val="000E27CA"/>
    <w:rsid w:val="000E2DCC"/>
    <w:rsid w:val="000E2F62"/>
    <w:rsid w:val="000E38ED"/>
    <w:rsid w:val="000E7F24"/>
    <w:rsid w:val="000F03BE"/>
    <w:rsid w:val="000F1757"/>
    <w:rsid w:val="000F225B"/>
    <w:rsid w:val="000F459A"/>
    <w:rsid w:val="000F7FAF"/>
    <w:rsid w:val="00101033"/>
    <w:rsid w:val="001038DC"/>
    <w:rsid w:val="001046F4"/>
    <w:rsid w:val="00105571"/>
    <w:rsid w:val="00105975"/>
    <w:rsid w:val="00106375"/>
    <w:rsid w:val="00106E89"/>
    <w:rsid w:val="00111F4D"/>
    <w:rsid w:val="00112A28"/>
    <w:rsid w:val="00113B6B"/>
    <w:rsid w:val="00115230"/>
    <w:rsid w:val="00115B5F"/>
    <w:rsid w:val="001162B4"/>
    <w:rsid w:val="001215E3"/>
    <w:rsid w:val="00121873"/>
    <w:rsid w:val="00122C50"/>
    <w:rsid w:val="00122CBC"/>
    <w:rsid w:val="00122FC3"/>
    <w:rsid w:val="00126D4A"/>
    <w:rsid w:val="00127BC6"/>
    <w:rsid w:val="00132DA9"/>
    <w:rsid w:val="0013305B"/>
    <w:rsid w:val="001338A5"/>
    <w:rsid w:val="00133B99"/>
    <w:rsid w:val="001344A7"/>
    <w:rsid w:val="0014149E"/>
    <w:rsid w:val="00141741"/>
    <w:rsid w:val="00143372"/>
    <w:rsid w:val="001443BD"/>
    <w:rsid w:val="001449DB"/>
    <w:rsid w:val="00145812"/>
    <w:rsid w:val="00147A69"/>
    <w:rsid w:val="00150606"/>
    <w:rsid w:val="00150DDE"/>
    <w:rsid w:val="0015208F"/>
    <w:rsid w:val="00152CD7"/>
    <w:rsid w:val="001548C8"/>
    <w:rsid w:val="00154EBF"/>
    <w:rsid w:val="00156310"/>
    <w:rsid w:val="00157108"/>
    <w:rsid w:val="001577E9"/>
    <w:rsid w:val="0016138C"/>
    <w:rsid w:val="00164BC2"/>
    <w:rsid w:val="001705EF"/>
    <w:rsid w:val="001731CE"/>
    <w:rsid w:val="00173FE0"/>
    <w:rsid w:val="001804BD"/>
    <w:rsid w:val="00185DBA"/>
    <w:rsid w:val="001860BB"/>
    <w:rsid w:val="001865D6"/>
    <w:rsid w:val="0018676E"/>
    <w:rsid w:val="00190C2D"/>
    <w:rsid w:val="001928D4"/>
    <w:rsid w:val="0019384F"/>
    <w:rsid w:val="00195C72"/>
    <w:rsid w:val="00196C58"/>
    <w:rsid w:val="001A1B7F"/>
    <w:rsid w:val="001A49C6"/>
    <w:rsid w:val="001B36A1"/>
    <w:rsid w:val="001B3FC4"/>
    <w:rsid w:val="001B4993"/>
    <w:rsid w:val="001B57F9"/>
    <w:rsid w:val="001B7C20"/>
    <w:rsid w:val="001C0B32"/>
    <w:rsid w:val="001C4BE1"/>
    <w:rsid w:val="001C7DB0"/>
    <w:rsid w:val="001D122A"/>
    <w:rsid w:val="001D5C40"/>
    <w:rsid w:val="001D7547"/>
    <w:rsid w:val="001D7ADF"/>
    <w:rsid w:val="001E0F71"/>
    <w:rsid w:val="001E60F0"/>
    <w:rsid w:val="001E6D05"/>
    <w:rsid w:val="001E7C28"/>
    <w:rsid w:val="001F034E"/>
    <w:rsid w:val="001F1BDF"/>
    <w:rsid w:val="001F4956"/>
    <w:rsid w:val="001F7110"/>
    <w:rsid w:val="001F7E96"/>
    <w:rsid w:val="00200D18"/>
    <w:rsid w:val="00202284"/>
    <w:rsid w:val="00206A21"/>
    <w:rsid w:val="00212488"/>
    <w:rsid w:val="00220628"/>
    <w:rsid w:val="00222BF4"/>
    <w:rsid w:val="00222D75"/>
    <w:rsid w:val="0022302C"/>
    <w:rsid w:val="002240AC"/>
    <w:rsid w:val="002304D2"/>
    <w:rsid w:val="00231E45"/>
    <w:rsid w:val="00234ABD"/>
    <w:rsid w:val="00236E2A"/>
    <w:rsid w:val="00237F62"/>
    <w:rsid w:val="002427CB"/>
    <w:rsid w:val="00242A97"/>
    <w:rsid w:val="0024364C"/>
    <w:rsid w:val="00244387"/>
    <w:rsid w:val="00244B3A"/>
    <w:rsid w:val="0024586A"/>
    <w:rsid w:val="00250049"/>
    <w:rsid w:val="00251C2B"/>
    <w:rsid w:val="0025220E"/>
    <w:rsid w:val="00252DBD"/>
    <w:rsid w:val="002536DC"/>
    <w:rsid w:val="00253B33"/>
    <w:rsid w:val="00255631"/>
    <w:rsid w:val="00256F0C"/>
    <w:rsid w:val="00262C05"/>
    <w:rsid w:val="00271734"/>
    <w:rsid w:val="002720FC"/>
    <w:rsid w:val="00275027"/>
    <w:rsid w:val="00281D14"/>
    <w:rsid w:val="00282082"/>
    <w:rsid w:val="00282C13"/>
    <w:rsid w:val="00291160"/>
    <w:rsid w:val="002949F1"/>
    <w:rsid w:val="002A0304"/>
    <w:rsid w:val="002A0CCC"/>
    <w:rsid w:val="002A0DF7"/>
    <w:rsid w:val="002A2975"/>
    <w:rsid w:val="002A60E0"/>
    <w:rsid w:val="002B3A62"/>
    <w:rsid w:val="002C07F7"/>
    <w:rsid w:val="002C1344"/>
    <w:rsid w:val="002C252E"/>
    <w:rsid w:val="002C6773"/>
    <w:rsid w:val="002C725D"/>
    <w:rsid w:val="002C7E42"/>
    <w:rsid w:val="002D2A3D"/>
    <w:rsid w:val="002D615F"/>
    <w:rsid w:val="002D6160"/>
    <w:rsid w:val="002E0B17"/>
    <w:rsid w:val="002E11C2"/>
    <w:rsid w:val="002E33EE"/>
    <w:rsid w:val="002E393B"/>
    <w:rsid w:val="002E4D0F"/>
    <w:rsid w:val="002E4FFB"/>
    <w:rsid w:val="002E7DED"/>
    <w:rsid w:val="002F142F"/>
    <w:rsid w:val="002F78EA"/>
    <w:rsid w:val="002F7E11"/>
    <w:rsid w:val="002F7FDE"/>
    <w:rsid w:val="00300B3D"/>
    <w:rsid w:val="00303767"/>
    <w:rsid w:val="00304087"/>
    <w:rsid w:val="00304C25"/>
    <w:rsid w:val="00307331"/>
    <w:rsid w:val="00310ACD"/>
    <w:rsid w:val="00310ACF"/>
    <w:rsid w:val="00310F19"/>
    <w:rsid w:val="0031379F"/>
    <w:rsid w:val="00314EE2"/>
    <w:rsid w:val="003158D7"/>
    <w:rsid w:val="00316785"/>
    <w:rsid w:val="00320A26"/>
    <w:rsid w:val="00321344"/>
    <w:rsid w:val="00322707"/>
    <w:rsid w:val="00322D7F"/>
    <w:rsid w:val="00324511"/>
    <w:rsid w:val="00324C1C"/>
    <w:rsid w:val="00331858"/>
    <w:rsid w:val="0033451C"/>
    <w:rsid w:val="003355EE"/>
    <w:rsid w:val="00335766"/>
    <w:rsid w:val="00335C4C"/>
    <w:rsid w:val="00336854"/>
    <w:rsid w:val="0034015C"/>
    <w:rsid w:val="00342B09"/>
    <w:rsid w:val="00343A91"/>
    <w:rsid w:val="00343AFB"/>
    <w:rsid w:val="003442F4"/>
    <w:rsid w:val="00350E98"/>
    <w:rsid w:val="0035218F"/>
    <w:rsid w:val="00353705"/>
    <w:rsid w:val="003545C4"/>
    <w:rsid w:val="00354EAE"/>
    <w:rsid w:val="003562E8"/>
    <w:rsid w:val="0036036A"/>
    <w:rsid w:val="0036357D"/>
    <w:rsid w:val="003649BC"/>
    <w:rsid w:val="00365E44"/>
    <w:rsid w:val="00367AA1"/>
    <w:rsid w:val="00372E36"/>
    <w:rsid w:val="00376EE9"/>
    <w:rsid w:val="00377333"/>
    <w:rsid w:val="003775CB"/>
    <w:rsid w:val="00377CBB"/>
    <w:rsid w:val="00380E51"/>
    <w:rsid w:val="0038157F"/>
    <w:rsid w:val="00381807"/>
    <w:rsid w:val="00385185"/>
    <w:rsid w:val="003858C8"/>
    <w:rsid w:val="00386514"/>
    <w:rsid w:val="003877B6"/>
    <w:rsid w:val="0039014F"/>
    <w:rsid w:val="00391734"/>
    <w:rsid w:val="00391D60"/>
    <w:rsid w:val="00393887"/>
    <w:rsid w:val="00394C6B"/>
    <w:rsid w:val="00395271"/>
    <w:rsid w:val="0039597A"/>
    <w:rsid w:val="003970C7"/>
    <w:rsid w:val="003A1322"/>
    <w:rsid w:val="003A3119"/>
    <w:rsid w:val="003A4E62"/>
    <w:rsid w:val="003A56CA"/>
    <w:rsid w:val="003A772D"/>
    <w:rsid w:val="003B1069"/>
    <w:rsid w:val="003B390A"/>
    <w:rsid w:val="003B463E"/>
    <w:rsid w:val="003B5A80"/>
    <w:rsid w:val="003C15DE"/>
    <w:rsid w:val="003C3F70"/>
    <w:rsid w:val="003C4EB2"/>
    <w:rsid w:val="003E5358"/>
    <w:rsid w:val="003F1181"/>
    <w:rsid w:val="003F1AF3"/>
    <w:rsid w:val="003F21AF"/>
    <w:rsid w:val="003F34EE"/>
    <w:rsid w:val="003F4D8D"/>
    <w:rsid w:val="00411337"/>
    <w:rsid w:val="004114FD"/>
    <w:rsid w:val="00413250"/>
    <w:rsid w:val="00414C4E"/>
    <w:rsid w:val="00417DEF"/>
    <w:rsid w:val="0042016B"/>
    <w:rsid w:val="00424155"/>
    <w:rsid w:val="00426E0C"/>
    <w:rsid w:val="004313E7"/>
    <w:rsid w:val="00432C46"/>
    <w:rsid w:val="00432D6B"/>
    <w:rsid w:val="0043457D"/>
    <w:rsid w:val="00440511"/>
    <w:rsid w:val="00441449"/>
    <w:rsid w:val="0044314E"/>
    <w:rsid w:val="00443E48"/>
    <w:rsid w:val="0044705B"/>
    <w:rsid w:val="0044757F"/>
    <w:rsid w:val="0044763B"/>
    <w:rsid w:val="00447F59"/>
    <w:rsid w:val="00451F34"/>
    <w:rsid w:val="00453A7B"/>
    <w:rsid w:val="00453BED"/>
    <w:rsid w:val="00454670"/>
    <w:rsid w:val="00455E7D"/>
    <w:rsid w:val="004629B3"/>
    <w:rsid w:val="0046376E"/>
    <w:rsid w:val="004637F1"/>
    <w:rsid w:val="00463EB0"/>
    <w:rsid w:val="0046690F"/>
    <w:rsid w:val="00467F34"/>
    <w:rsid w:val="00472FEC"/>
    <w:rsid w:val="00474DD5"/>
    <w:rsid w:val="00475E3F"/>
    <w:rsid w:val="00475F84"/>
    <w:rsid w:val="0048113B"/>
    <w:rsid w:val="004852E1"/>
    <w:rsid w:val="00487732"/>
    <w:rsid w:val="00490A03"/>
    <w:rsid w:val="0049165B"/>
    <w:rsid w:val="00493327"/>
    <w:rsid w:val="00493715"/>
    <w:rsid w:val="00494DBE"/>
    <w:rsid w:val="00495CE6"/>
    <w:rsid w:val="0049676A"/>
    <w:rsid w:val="00497877"/>
    <w:rsid w:val="004A12DE"/>
    <w:rsid w:val="004A323C"/>
    <w:rsid w:val="004A5179"/>
    <w:rsid w:val="004A6750"/>
    <w:rsid w:val="004A69F5"/>
    <w:rsid w:val="004A6A46"/>
    <w:rsid w:val="004A6A8C"/>
    <w:rsid w:val="004B0727"/>
    <w:rsid w:val="004B3E14"/>
    <w:rsid w:val="004B54E8"/>
    <w:rsid w:val="004B5B71"/>
    <w:rsid w:val="004C4FEB"/>
    <w:rsid w:val="004C537A"/>
    <w:rsid w:val="004C6B79"/>
    <w:rsid w:val="004C759F"/>
    <w:rsid w:val="004D051A"/>
    <w:rsid w:val="004D059B"/>
    <w:rsid w:val="004D14D4"/>
    <w:rsid w:val="004D4CB6"/>
    <w:rsid w:val="004D4CEE"/>
    <w:rsid w:val="004D5A56"/>
    <w:rsid w:val="004D6D2A"/>
    <w:rsid w:val="004E0E34"/>
    <w:rsid w:val="004E3341"/>
    <w:rsid w:val="004F10C1"/>
    <w:rsid w:val="004F3773"/>
    <w:rsid w:val="004F5AB4"/>
    <w:rsid w:val="00502E62"/>
    <w:rsid w:val="00503A2B"/>
    <w:rsid w:val="00504452"/>
    <w:rsid w:val="005069FD"/>
    <w:rsid w:val="00506B8A"/>
    <w:rsid w:val="005070E9"/>
    <w:rsid w:val="00507470"/>
    <w:rsid w:val="0051139B"/>
    <w:rsid w:val="005130C5"/>
    <w:rsid w:val="005160D9"/>
    <w:rsid w:val="00516144"/>
    <w:rsid w:val="005163A1"/>
    <w:rsid w:val="0051641D"/>
    <w:rsid w:val="00521921"/>
    <w:rsid w:val="0052212B"/>
    <w:rsid w:val="0052517E"/>
    <w:rsid w:val="00531A35"/>
    <w:rsid w:val="00531B98"/>
    <w:rsid w:val="00533BFD"/>
    <w:rsid w:val="00534B46"/>
    <w:rsid w:val="00540358"/>
    <w:rsid w:val="00540D47"/>
    <w:rsid w:val="005427D4"/>
    <w:rsid w:val="00547640"/>
    <w:rsid w:val="00550864"/>
    <w:rsid w:val="00550E56"/>
    <w:rsid w:val="00554012"/>
    <w:rsid w:val="0055542A"/>
    <w:rsid w:val="0055571E"/>
    <w:rsid w:val="00556503"/>
    <w:rsid w:val="00556F67"/>
    <w:rsid w:val="00557F2C"/>
    <w:rsid w:val="00560834"/>
    <w:rsid w:val="00562830"/>
    <w:rsid w:val="00564A0E"/>
    <w:rsid w:val="00565557"/>
    <w:rsid w:val="00571884"/>
    <w:rsid w:val="00572056"/>
    <w:rsid w:val="00572A99"/>
    <w:rsid w:val="00573F14"/>
    <w:rsid w:val="00580FCA"/>
    <w:rsid w:val="00582A7A"/>
    <w:rsid w:val="005833F0"/>
    <w:rsid w:val="00586CAF"/>
    <w:rsid w:val="005873E9"/>
    <w:rsid w:val="00591180"/>
    <w:rsid w:val="00595834"/>
    <w:rsid w:val="0059722C"/>
    <w:rsid w:val="005974C4"/>
    <w:rsid w:val="00597D07"/>
    <w:rsid w:val="005A3846"/>
    <w:rsid w:val="005A5313"/>
    <w:rsid w:val="005B004B"/>
    <w:rsid w:val="005B0DE8"/>
    <w:rsid w:val="005B1F0C"/>
    <w:rsid w:val="005B47EA"/>
    <w:rsid w:val="005B6A58"/>
    <w:rsid w:val="005C2F4F"/>
    <w:rsid w:val="005C6E34"/>
    <w:rsid w:val="005C7112"/>
    <w:rsid w:val="005D0407"/>
    <w:rsid w:val="005D0561"/>
    <w:rsid w:val="005D0AD9"/>
    <w:rsid w:val="005D22F6"/>
    <w:rsid w:val="005D4B9A"/>
    <w:rsid w:val="005E0C30"/>
    <w:rsid w:val="005E18F4"/>
    <w:rsid w:val="005E2778"/>
    <w:rsid w:val="005E3779"/>
    <w:rsid w:val="005E54D5"/>
    <w:rsid w:val="005E69D9"/>
    <w:rsid w:val="005F27F4"/>
    <w:rsid w:val="005F3239"/>
    <w:rsid w:val="005F4761"/>
    <w:rsid w:val="005F6567"/>
    <w:rsid w:val="005F6CD4"/>
    <w:rsid w:val="00600641"/>
    <w:rsid w:val="00601ACB"/>
    <w:rsid w:val="006036BF"/>
    <w:rsid w:val="00607256"/>
    <w:rsid w:val="006116B2"/>
    <w:rsid w:val="0061321A"/>
    <w:rsid w:val="006144B1"/>
    <w:rsid w:val="00623A22"/>
    <w:rsid w:val="006335F1"/>
    <w:rsid w:val="006345B6"/>
    <w:rsid w:val="00635712"/>
    <w:rsid w:val="00636686"/>
    <w:rsid w:val="006371D8"/>
    <w:rsid w:val="00640C2B"/>
    <w:rsid w:val="00640D27"/>
    <w:rsid w:val="00643D8A"/>
    <w:rsid w:val="006446C4"/>
    <w:rsid w:val="006513EB"/>
    <w:rsid w:val="006519E4"/>
    <w:rsid w:val="00652229"/>
    <w:rsid w:val="00652793"/>
    <w:rsid w:val="00653244"/>
    <w:rsid w:val="006626CA"/>
    <w:rsid w:val="00663487"/>
    <w:rsid w:val="00664388"/>
    <w:rsid w:val="00666111"/>
    <w:rsid w:val="006716F0"/>
    <w:rsid w:val="00671D51"/>
    <w:rsid w:val="00671F4C"/>
    <w:rsid w:val="00672382"/>
    <w:rsid w:val="006736A8"/>
    <w:rsid w:val="00675605"/>
    <w:rsid w:val="0067613F"/>
    <w:rsid w:val="00680211"/>
    <w:rsid w:val="00681FD7"/>
    <w:rsid w:val="00682643"/>
    <w:rsid w:val="00682EB9"/>
    <w:rsid w:val="0068441A"/>
    <w:rsid w:val="00686387"/>
    <w:rsid w:val="00690B19"/>
    <w:rsid w:val="006944F0"/>
    <w:rsid w:val="006952C4"/>
    <w:rsid w:val="006A0A3C"/>
    <w:rsid w:val="006A72BF"/>
    <w:rsid w:val="006A79F0"/>
    <w:rsid w:val="006B2FB2"/>
    <w:rsid w:val="006B47EE"/>
    <w:rsid w:val="006B499F"/>
    <w:rsid w:val="006C14EA"/>
    <w:rsid w:val="006C1A90"/>
    <w:rsid w:val="006C37A7"/>
    <w:rsid w:val="006D0A77"/>
    <w:rsid w:val="006D1B83"/>
    <w:rsid w:val="006D4996"/>
    <w:rsid w:val="006D54AB"/>
    <w:rsid w:val="006E3006"/>
    <w:rsid w:val="006E4123"/>
    <w:rsid w:val="006E5032"/>
    <w:rsid w:val="006E5BDA"/>
    <w:rsid w:val="006F0FC7"/>
    <w:rsid w:val="006F1446"/>
    <w:rsid w:val="006F1753"/>
    <w:rsid w:val="006F23F3"/>
    <w:rsid w:val="006F39A9"/>
    <w:rsid w:val="006F3B80"/>
    <w:rsid w:val="006F3F09"/>
    <w:rsid w:val="006F670F"/>
    <w:rsid w:val="00700C80"/>
    <w:rsid w:val="00703272"/>
    <w:rsid w:val="0070469C"/>
    <w:rsid w:val="00705595"/>
    <w:rsid w:val="0070572E"/>
    <w:rsid w:val="0070733C"/>
    <w:rsid w:val="00710C5D"/>
    <w:rsid w:val="007115DB"/>
    <w:rsid w:val="0071348C"/>
    <w:rsid w:val="00717273"/>
    <w:rsid w:val="00720FD4"/>
    <w:rsid w:val="00722392"/>
    <w:rsid w:val="00723C5E"/>
    <w:rsid w:val="00724AF2"/>
    <w:rsid w:val="00726849"/>
    <w:rsid w:val="00727229"/>
    <w:rsid w:val="007304BB"/>
    <w:rsid w:val="0073096C"/>
    <w:rsid w:val="00734CE8"/>
    <w:rsid w:val="00734EF6"/>
    <w:rsid w:val="00735ED4"/>
    <w:rsid w:val="00736A8D"/>
    <w:rsid w:val="00742398"/>
    <w:rsid w:val="007427CB"/>
    <w:rsid w:val="00742CEF"/>
    <w:rsid w:val="007443A6"/>
    <w:rsid w:val="007466E7"/>
    <w:rsid w:val="00747263"/>
    <w:rsid w:val="007507B5"/>
    <w:rsid w:val="0075091D"/>
    <w:rsid w:val="00750CC4"/>
    <w:rsid w:val="00753A24"/>
    <w:rsid w:val="007568A5"/>
    <w:rsid w:val="00761152"/>
    <w:rsid w:val="00761F81"/>
    <w:rsid w:val="00763878"/>
    <w:rsid w:val="00772188"/>
    <w:rsid w:val="00777F9A"/>
    <w:rsid w:val="007813D0"/>
    <w:rsid w:val="00781A7C"/>
    <w:rsid w:val="00781B08"/>
    <w:rsid w:val="0078298E"/>
    <w:rsid w:val="00785993"/>
    <w:rsid w:val="007866E2"/>
    <w:rsid w:val="00786BA3"/>
    <w:rsid w:val="00787CD3"/>
    <w:rsid w:val="0079202F"/>
    <w:rsid w:val="007921C7"/>
    <w:rsid w:val="00795AF2"/>
    <w:rsid w:val="007A110F"/>
    <w:rsid w:val="007A1827"/>
    <w:rsid w:val="007A2477"/>
    <w:rsid w:val="007A2AAD"/>
    <w:rsid w:val="007A341F"/>
    <w:rsid w:val="007A4432"/>
    <w:rsid w:val="007A6691"/>
    <w:rsid w:val="007A784E"/>
    <w:rsid w:val="007B32EB"/>
    <w:rsid w:val="007B3C10"/>
    <w:rsid w:val="007B499C"/>
    <w:rsid w:val="007B4D4B"/>
    <w:rsid w:val="007C79A8"/>
    <w:rsid w:val="007D08B2"/>
    <w:rsid w:val="007D104A"/>
    <w:rsid w:val="007D1078"/>
    <w:rsid w:val="007D2A02"/>
    <w:rsid w:val="007D565D"/>
    <w:rsid w:val="007E0411"/>
    <w:rsid w:val="007E067C"/>
    <w:rsid w:val="007E62A0"/>
    <w:rsid w:val="007E6EA1"/>
    <w:rsid w:val="007F0F63"/>
    <w:rsid w:val="007F106B"/>
    <w:rsid w:val="007F2B1E"/>
    <w:rsid w:val="007F4C34"/>
    <w:rsid w:val="007F543F"/>
    <w:rsid w:val="007F5DDD"/>
    <w:rsid w:val="007F62B4"/>
    <w:rsid w:val="007F68FF"/>
    <w:rsid w:val="007F73D6"/>
    <w:rsid w:val="00801517"/>
    <w:rsid w:val="00801893"/>
    <w:rsid w:val="00802723"/>
    <w:rsid w:val="00802F6F"/>
    <w:rsid w:val="00802FD8"/>
    <w:rsid w:val="00806FA6"/>
    <w:rsid w:val="00810D53"/>
    <w:rsid w:val="0081499A"/>
    <w:rsid w:val="00817AE8"/>
    <w:rsid w:val="00817DE8"/>
    <w:rsid w:val="008200C2"/>
    <w:rsid w:val="008229F5"/>
    <w:rsid w:val="008266B4"/>
    <w:rsid w:val="0082699A"/>
    <w:rsid w:val="00827E58"/>
    <w:rsid w:val="0083092B"/>
    <w:rsid w:val="008318D0"/>
    <w:rsid w:val="00833CEB"/>
    <w:rsid w:val="008372D2"/>
    <w:rsid w:val="008377BC"/>
    <w:rsid w:val="00840B13"/>
    <w:rsid w:val="00841364"/>
    <w:rsid w:val="00844C17"/>
    <w:rsid w:val="00846FA6"/>
    <w:rsid w:val="00847726"/>
    <w:rsid w:val="00847993"/>
    <w:rsid w:val="00850992"/>
    <w:rsid w:val="00852511"/>
    <w:rsid w:val="00854348"/>
    <w:rsid w:val="00856952"/>
    <w:rsid w:val="00857601"/>
    <w:rsid w:val="00860171"/>
    <w:rsid w:val="00860FC6"/>
    <w:rsid w:val="008614F1"/>
    <w:rsid w:val="008639B3"/>
    <w:rsid w:val="00863C1A"/>
    <w:rsid w:val="0086645B"/>
    <w:rsid w:val="008668BD"/>
    <w:rsid w:val="00867B24"/>
    <w:rsid w:val="0087142D"/>
    <w:rsid w:val="008717E5"/>
    <w:rsid w:val="00871D29"/>
    <w:rsid w:val="00873956"/>
    <w:rsid w:val="00874DB1"/>
    <w:rsid w:val="00875F0D"/>
    <w:rsid w:val="00880E72"/>
    <w:rsid w:val="008815CA"/>
    <w:rsid w:val="00881DCD"/>
    <w:rsid w:val="008825EE"/>
    <w:rsid w:val="0088508D"/>
    <w:rsid w:val="008858D8"/>
    <w:rsid w:val="0088596E"/>
    <w:rsid w:val="00886A37"/>
    <w:rsid w:val="00887AA7"/>
    <w:rsid w:val="008907B8"/>
    <w:rsid w:val="00890E2C"/>
    <w:rsid w:val="0089622A"/>
    <w:rsid w:val="00897343"/>
    <w:rsid w:val="0089796A"/>
    <w:rsid w:val="008A2375"/>
    <w:rsid w:val="008A575A"/>
    <w:rsid w:val="008B0241"/>
    <w:rsid w:val="008B2498"/>
    <w:rsid w:val="008B2569"/>
    <w:rsid w:val="008B25D2"/>
    <w:rsid w:val="008B4ABC"/>
    <w:rsid w:val="008B6179"/>
    <w:rsid w:val="008C0724"/>
    <w:rsid w:val="008C30F2"/>
    <w:rsid w:val="008D33C2"/>
    <w:rsid w:val="008D52CF"/>
    <w:rsid w:val="008D7656"/>
    <w:rsid w:val="008D76C5"/>
    <w:rsid w:val="008E0267"/>
    <w:rsid w:val="008E0AFA"/>
    <w:rsid w:val="008E6164"/>
    <w:rsid w:val="008E75D3"/>
    <w:rsid w:val="008F125E"/>
    <w:rsid w:val="008F2071"/>
    <w:rsid w:val="008F4D2F"/>
    <w:rsid w:val="0090597F"/>
    <w:rsid w:val="00906292"/>
    <w:rsid w:val="009076AF"/>
    <w:rsid w:val="00907B47"/>
    <w:rsid w:val="009106CB"/>
    <w:rsid w:val="00917098"/>
    <w:rsid w:val="00917162"/>
    <w:rsid w:val="00924F2C"/>
    <w:rsid w:val="009251CC"/>
    <w:rsid w:val="0092714E"/>
    <w:rsid w:val="00932019"/>
    <w:rsid w:val="009324EC"/>
    <w:rsid w:val="009330C3"/>
    <w:rsid w:val="00937690"/>
    <w:rsid w:val="009418DA"/>
    <w:rsid w:val="00942002"/>
    <w:rsid w:val="00943B29"/>
    <w:rsid w:val="00943D68"/>
    <w:rsid w:val="009451F3"/>
    <w:rsid w:val="00945FE3"/>
    <w:rsid w:val="0094606F"/>
    <w:rsid w:val="00947885"/>
    <w:rsid w:val="00947EDA"/>
    <w:rsid w:val="00952168"/>
    <w:rsid w:val="009527FE"/>
    <w:rsid w:val="00960117"/>
    <w:rsid w:val="00966391"/>
    <w:rsid w:val="0097175E"/>
    <w:rsid w:val="009739A0"/>
    <w:rsid w:val="00974F84"/>
    <w:rsid w:val="009767C7"/>
    <w:rsid w:val="009827BF"/>
    <w:rsid w:val="0098579A"/>
    <w:rsid w:val="00990728"/>
    <w:rsid w:val="00991363"/>
    <w:rsid w:val="0099195A"/>
    <w:rsid w:val="00992A11"/>
    <w:rsid w:val="00993C66"/>
    <w:rsid w:val="009942F4"/>
    <w:rsid w:val="00994681"/>
    <w:rsid w:val="0099486A"/>
    <w:rsid w:val="009961AA"/>
    <w:rsid w:val="0099638C"/>
    <w:rsid w:val="00996442"/>
    <w:rsid w:val="009A0E26"/>
    <w:rsid w:val="009A16EC"/>
    <w:rsid w:val="009A26D1"/>
    <w:rsid w:val="009A4C88"/>
    <w:rsid w:val="009A7D1D"/>
    <w:rsid w:val="009B10D0"/>
    <w:rsid w:val="009B1B57"/>
    <w:rsid w:val="009B26D6"/>
    <w:rsid w:val="009B29B7"/>
    <w:rsid w:val="009B3B37"/>
    <w:rsid w:val="009B5B9E"/>
    <w:rsid w:val="009B7D1F"/>
    <w:rsid w:val="009C088E"/>
    <w:rsid w:val="009C34DC"/>
    <w:rsid w:val="009C4D35"/>
    <w:rsid w:val="009C5EA1"/>
    <w:rsid w:val="009D0E12"/>
    <w:rsid w:val="009D1522"/>
    <w:rsid w:val="009D2259"/>
    <w:rsid w:val="009D2C4F"/>
    <w:rsid w:val="009D7252"/>
    <w:rsid w:val="009E0FA8"/>
    <w:rsid w:val="009E5EB4"/>
    <w:rsid w:val="009F17AA"/>
    <w:rsid w:val="009F522A"/>
    <w:rsid w:val="009F5594"/>
    <w:rsid w:val="00A00B32"/>
    <w:rsid w:val="00A01F66"/>
    <w:rsid w:val="00A044D6"/>
    <w:rsid w:val="00A04ADB"/>
    <w:rsid w:val="00A057FA"/>
    <w:rsid w:val="00A05BF2"/>
    <w:rsid w:val="00A118B9"/>
    <w:rsid w:val="00A11E0F"/>
    <w:rsid w:val="00A12E23"/>
    <w:rsid w:val="00A15CFA"/>
    <w:rsid w:val="00A178F5"/>
    <w:rsid w:val="00A17C3B"/>
    <w:rsid w:val="00A23264"/>
    <w:rsid w:val="00A26CB6"/>
    <w:rsid w:val="00A275FF"/>
    <w:rsid w:val="00A32F82"/>
    <w:rsid w:val="00A32F8B"/>
    <w:rsid w:val="00A33783"/>
    <w:rsid w:val="00A33AA2"/>
    <w:rsid w:val="00A348EF"/>
    <w:rsid w:val="00A3636F"/>
    <w:rsid w:val="00A3756F"/>
    <w:rsid w:val="00A40078"/>
    <w:rsid w:val="00A42C94"/>
    <w:rsid w:val="00A42D6F"/>
    <w:rsid w:val="00A4361D"/>
    <w:rsid w:val="00A439A0"/>
    <w:rsid w:val="00A44070"/>
    <w:rsid w:val="00A44DF7"/>
    <w:rsid w:val="00A45A62"/>
    <w:rsid w:val="00A47370"/>
    <w:rsid w:val="00A54AC5"/>
    <w:rsid w:val="00A55DC3"/>
    <w:rsid w:val="00A560FD"/>
    <w:rsid w:val="00A56D41"/>
    <w:rsid w:val="00A570F8"/>
    <w:rsid w:val="00A57AE2"/>
    <w:rsid w:val="00A60BC9"/>
    <w:rsid w:val="00A61353"/>
    <w:rsid w:val="00A61776"/>
    <w:rsid w:val="00A65CCA"/>
    <w:rsid w:val="00A66019"/>
    <w:rsid w:val="00A66DB1"/>
    <w:rsid w:val="00A67A92"/>
    <w:rsid w:val="00A765AE"/>
    <w:rsid w:val="00A7669D"/>
    <w:rsid w:val="00A80C6D"/>
    <w:rsid w:val="00A80D04"/>
    <w:rsid w:val="00A818D8"/>
    <w:rsid w:val="00A855CB"/>
    <w:rsid w:val="00A87870"/>
    <w:rsid w:val="00A902C9"/>
    <w:rsid w:val="00A91A70"/>
    <w:rsid w:val="00A9795F"/>
    <w:rsid w:val="00A97D87"/>
    <w:rsid w:val="00AA1B85"/>
    <w:rsid w:val="00AA1F68"/>
    <w:rsid w:val="00AA465E"/>
    <w:rsid w:val="00AA4F7E"/>
    <w:rsid w:val="00AA73EC"/>
    <w:rsid w:val="00AA7504"/>
    <w:rsid w:val="00AB07A9"/>
    <w:rsid w:val="00AB1CB6"/>
    <w:rsid w:val="00AB1D9A"/>
    <w:rsid w:val="00AB30B8"/>
    <w:rsid w:val="00AB7D96"/>
    <w:rsid w:val="00AC10E8"/>
    <w:rsid w:val="00AC2D59"/>
    <w:rsid w:val="00AC34AC"/>
    <w:rsid w:val="00AD1835"/>
    <w:rsid w:val="00AD4081"/>
    <w:rsid w:val="00AD41FE"/>
    <w:rsid w:val="00AD44D2"/>
    <w:rsid w:val="00AD44FE"/>
    <w:rsid w:val="00AD6573"/>
    <w:rsid w:val="00AD7392"/>
    <w:rsid w:val="00AE21F4"/>
    <w:rsid w:val="00AE49F1"/>
    <w:rsid w:val="00AE4E41"/>
    <w:rsid w:val="00AE517C"/>
    <w:rsid w:val="00AE5705"/>
    <w:rsid w:val="00AE5C5D"/>
    <w:rsid w:val="00AE65B0"/>
    <w:rsid w:val="00AE7AC8"/>
    <w:rsid w:val="00AE7D7F"/>
    <w:rsid w:val="00AF04AB"/>
    <w:rsid w:val="00AF3136"/>
    <w:rsid w:val="00AF402D"/>
    <w:rsid w:val="00AF63D8"/>
    <w:rsid w:val="00AF7A3F"/>
    <w:rsid w:val="00B00981"/>
    <w:rsid w:val="00B00E74"/>
    <w:rsid w:val="00B05CCA"/>
    <w:rsid w:val="00B05E80"/>
    <w:rsid w:val="00B07BEA"/>
    <w:rsid w:val="00B1046B"/>
    <w:rsid w:val="00B14271"/>
    <w:rsid w:val="00B14C02"/>
    <w:rsid w:val="00B16270"/>
    <w:rsid w:val="00B1753C"/>
    <w:rsid w:val="00B17E31"/>
    <w:rsid w:val="00B22446"/>
    <w:rsid w:val="00B22D78"/>
    <w:rsid w:val="00B23A53"/>
    <w:rsid w:val="00B23D6B"/>
    <w:rsid w:val="00B262F5"/>
    <w:rsid w:val="00B2685D"/>
    <w:rsid w:val="00B26BE9"/>
    <w:rsid w:val="00B27B02"/>
    <w:rsid w:val="00B30351"/>
    <w:rsid w:val="00B338DD"/>
    <w:rsid w:val="00B33C2A"/>
    <w:rsid w:val="00B34C84"/>
    <w:rsid w:val="00B35038"/>
    <w:rsid w:val="00B35BAD"/>
    <w:rsid w:val="00B422EC"/>
    <w:rsid w:val="00B46B2E"/>
    <w:rsid w:val="00B506AE"/>
    <w:rsid w:val="00B56978"/>
    <w:rsid w:val="00B6090B"/>
    <w:rsid w:val="00B60F7C"/>
    <w:rsid w:val="00B612D0"/>
    <w:rsid w:val="00B646B7"/>
    <w:rsid w:val="00B66D66"/>
    <w:rsid w:val="00B67703"/>
    <w:rsid w:val="00B67D4E"/>
    <w:rsid w:val="00B726D4"/>
    <w:rsid w:val="00B73E78"/>
    <w:rsid w:val="00B759F3"/>
    <w:rsid w:val="00B76017"/>
    <w:rsid w:val="00B768B3"/>
    <w:rsid w:val="00B8214F"/>
    <w:rsid w:val="00B829C9"/>
    <w:rsid w:val="00B83C0B"/>
    <w:rsid w:val="00B83F5F"/>
    <w:rsid w:val="00B846EC"/>
    <w:rsid w:val="00B86A4F"/>
    <w:rsid w:val="00B914EA"/>
    <w:rsid w:val="00B93035"/>
    <w:rsid w:val="00B9337E"/>
    <w:rsid w:val="00B935C2"/>
    <w:rsid w:val="00B93EF3"/>
    <w:rsid w:val="00B9516B"/>
    <w:rsid w:val="00B9535A"/>
    <w:rsid w:val="00B958E8"/>
    <w:rsid w:val="00B97E4A"/>
    <w:rsid w:val="00BA09B2"/>
    <w:rsid w:val="00BA0EB7"/>
    <w:rsid w:val="00BA511C"/>
    <w:rsid w:val="00BA56E9"/>
    <w:rsid w:val="00BA593A"/>
    <w:rsid w:val="00BA5B46"/>
    <w:rsid w:val="00BB2D39"/>
    <w:rsid w:val="00BB5D0B"/>
    <w:rsid w:val="00BB5E00"/>
    <w:rsid w:val="00BC093E"/>
    <w:rsid w:val="00BC0995"/>
    <w:rsid w:val="00BC284E"/>
    <w:rsid w:val="00BC4A02"/>
    <w:rsid w:val="00BC63D7"/>
    <w:rsid w:val="00BC6A09"/>
    <w:rsid w:val="00BD2CE4"/>
    <w:rsid w:val="00BE075C"/>
    <w:rsid w:val="00BE09EC"/>
    <w:rsid w:val="00BE1570"/>
    <w:rsid w:val="00BE2667"/>
    <w:rsid w:val="00BE3FBB"/>
    <w:rsid w:val="00BE4DA6"/>
    <w:rsid w:val="00BE75F4"/>
    <w:rsid w:val="00BE793A"/>
    <w:rsid w:val="00BF070E"/>
    <w:rsid w:val="00BF2B82"/>
    <w:rsid w:val="00BF349B"/>
    <w:rsid w:val="00BF3C48"/>
    <w:rsid w:val="00BF432A"/>
    <w:rsid w:val="00BF68ED"/>
    <w:rsid w:val="00BF6E82"/>
    <w:rsid w:val="00C00DAA"/>
    <w:rsid w:val="00C060C7"/>
    <w:rsid w:val="00C10D00"/>
    <w:rsid w:val="00C11DAA"/>
    <w:rsid w:val="00C15EF0"/>
    <w:rsid w:val="00C16016"/>
    <w:rsid w:val="00C17FE7"/>
    <w:rsid w:val="00C2242A"/>
    <w:rsid w:val="00C24C17"/>
    <w:rsid w:val="00C266C7"/>
    <w:rsid w:val="00C33F9E"/>
    <w:rsid w:val="00C35308"/>
    <w:rsid w:val="00C35951"/>
    <w:rsid w:val="00C35DC1"/>
    <w:rsid w:val="00C3758F"/>
    <w:rsid w:val="00C37D7C"/>
    <w:rsid w:val="00C4067C"/>
    <w:rsid w:val="00C40B88"/>
    <w:rsid w:val="00C419F2"/>
    <w:rsid w:val="00C42C93"/>
    <w:rsid w:val="00C45908"/>
    <w:rsid w:val="00C45C98"/>
    <w:rsid w:val="00C46117"/>
    <w:rsid w:val="00C46EE1"/>
    <w:rsid w:val="00C47A4D"/>
    <w:rsid w:val="00C47D87"/>
    <w:rsid w:val="00C507B9"/>
    <w:rsid w:val="00C51901"/>
    <w:rsid w:val="00C534D1"/>
    <w:rsid w:val="00C5376E"/>
    <w:rsid w:val="00C57AF9"/>
    <w:rsid w:val="00C57D96"/>
    <w:rsid w:val="00C60C90"/>
    <w:rsid w:val="00C61767"/>
    <w:rsid w:val="00C71917"/>
    <w:rsid w:val="00C73886"/>
    <w:rsid w:val="00C808A6"/>
    <w:rsid w:val="00C818E4"/>
    <w:rsid w:val="00C81B9A"/>
    <w:rsid w:val="00C90562"/>
    <w:rsid w:val="00C922E1"/>
    <w:rsid w:val="00C928B0"/>
    <w:rsid w:val="00C928E5"/>
    <w:rsid w:val="00C92A3D"/>
    <w:rsid w:val="00C93D97"/>
    <w:rsid w:val="00C955E3"/>
    <w:rsid w:val="00C964DE"/>
    <w:rsid w:val="00C96A7C"/>
    <w:rsid w:val="00C97091"/>
    <w:rsid w:val="00C97260"/>
    <w:rsid w:val="00CA2001"/>
    <w:rsid w:val="00CB158B"/>
    <w:rsid w:val="00CB3B68"/>
    <w:rsid w:val="00CB3F4A"/>
    <w:rsid w:val="00CB43A2"/>
    <w:rsid w:val="00CB53AA"/>
    <w:rsid w:val="00CB5B6C"/>
    <w:rsid w:val="00CC027E"/>
    <w:rsid w:val="00CC052E"/>
    <w:rsid w:val="00CC05CC"/>
    <w:rsid w:val="00CC28E3"/>
    <w:rsid w:val="00CC7447"/>
    <w:rsid w:val="00CC7897"/>
    <w:rsid w:val="00CD16BE"/>
    <w:rsid w:val="00CD1C8B"/>
    <w:rsid w:val="00CD4616"/>
    <w:rsid w:val="00CD47AC"/>
    <w:rsid w:val="00CD56AF"/>
    <w:rsid w:val="00CD7D47"/>
    <w:rsid w:val="00CE0EEF"/>
    <w:rsid w:val="00CE188E"/>
    <w:rsid w:val="00CE33D5"/>
    <w:rsid w:val="00CE46F3"/>
    <w:rsid w:val="00CE6030"/>
    <w:rsid w:val="00CE7B00"/>
    <w:rsid w:val="00CF3A75"/>
    <w:rsid w:val="00CF5D37"/>
    <w:rsid w:val="00CF6F33"/>
    <w:rsid w:val="00D02248"/>
    <w:rsid w:val="00D025EA"/>
    <w:rsid w:val="00D03F41"/>
    <w:rsid w:val="00D063B8"/>
    <w:rsid w:val="00D06825"/>
    <w:rsid w:val="00D10FFA"/>
    <w:rsid w:val="00D17E3B"/>
    <w:rsid w:val="00D20CFC"/>
    <w:rsid w:val="00D22BB0"/>
    <w:rsid w:val="00D23C09"/>
    <w:rsid w:val="00D23CED"/>
    <w:rsid w:val="00D24BD2"/>
    <w:rsid w:val="00D2573D"/>
    <w:rsid w:val="00D260A2"/>
    <w:rsid w:val="00D265AE"/>
    <w:rsid w:val="00D30CC6"/>
    <w:rsid w:val="00D3108E"/>
    <w:rsid w:val="00D3260C"/>
    <w:rsid w:val="00D33EE2"/>
    <w:rsid w:val="00D34155"/>
    <w:rsid w:val="00D349D3"/>
    <w:rsid w:val="00D35790"/>
    <w:rsid w:val="00D3598F"/>
    <w:rsid w:val="00D3640C"/>
    <w:rsid w:val="00D40B70"/>
    <w:rsid w:val="00D41986"/>
    <w:rsid w:val="00D518B6"/>
    <w:rsid w:val="00D51B44"/>
    <w:rsid w:val="00D53914"/>
    <w:rsid w:val="00D53B9D"/>
    <w:rsid w:val="00D5653B"/>
    <w:rsid w:val="00D61350"/>
    <w:rsid w:val="00D62685"/>
    <w:rsid w:val="00D62EF1"/>
    <w:rsid w:val="00D6309D"/>
    <w:rsid w:val="00D644CA"/>
    <w:rsid w:val="00D66F09"/>
    <w:rsid w:val="00D66FC2"/>
    <w:rsid w:val="00D7332F"/>
    <w:rsid w:val="00D7590F"/>
    <w:rsid w:val="00D75B53"/>
    <w:rsid w:val="00D76C7E"/>
    <w:rsid w:val="00D771DE"/>
    <w:rsid w:val="00D776A9"/>
    <w:rsid w:val="00D7776D"/>
    <w:rsid w:val="00D80EA6"/>
    <w:rsid w:val="00D81901"/>
    <w:rsid w:val="00D86984"/>
    <w:rsid w:val="00D900A1"/>
    <w:rsid w:val="00D91744"/>
    <w:rsid w:val="00D9293F"/>
    <w:rsid w:val="00D93598"/>
    <w:rsid w:val="00D9616F"/>
    <w:rsid w:val="00DA00B3"/>
    <w:rsid w:val="00DA1E18"/>
    <w:rsid w:val="00DA2009"/>
    <w:rsid w:val="00DA49A4"/>
    <w:rsid w:val="00DB05B1"/>
    <w:rsid w:val="00DB50EB"/>
    <w:rsid w:val="00DB5A79"/>
    <w:rsid w:val="00DC0E5C"/>
    <w:rsid w:val="00DC2465"/>
    <w:rsid w:val="00DC3ECF"/>
    <w:rsid w:val="00DD0336"/>
    <w:rsid w:val="00DD512E"/>
    <w:rsid w:val="00DD5253"/>
    <w:rsid w:val="00DD55AA"/>
    <w:rsid w:val="00DE1177"/>
    <w:rsid w:val="00DE2CEA"/>
    <w:rsid w:val="00DE3E35"/>
    <w:rsid w:val="00DE6A3C"/>
    <w:rsid w:val="00DE7193"/>
    <w:rsid w:val="00DE74F4"/>
    <w:rsid w:val="00DE7F97"/>
    <w:rsid w:val="00DF1010"/>
    <w:rsid w:val="00DF28A0"/>
    <w:rsid w:val="00DF5AEA"/>
    <w:rsid w:val="00DF5D17"/>
    <w:rsid w:val="00DF63F6"/>
    <w:rsid w:val="00E00588"/>
    <w:rsid w:val="00E036D9"/>
    <w:rsid w:val="00E03D1F"/>
    <w:rsid w:val="00E04C09"/>
    <w:rsid w:val="00E04D7A"/>
    <w:rsid w:val="00E07E54"/>
    <w:rsid w:val="00E107F6"/>
    <w:rsid w:val="00E11C76"/>
    <w:rsid w:val="00E13747"/>
    <w:rsid w:val="00E1480F"/>
    <w:rsid w:val="00E16706"/>
    <w:rsid w:val="00E22730"/>
    <w:rsid w:val="00E22A36"/>
    <w:rsid w:val="00E22AC6"/>
    <w:rsid w:val="00E242BE"/>
    <w:rsid w:val="00E25AEA"/>
    <w:rsid w:val="00E26809"/>
    <w:rsid w:val="00E26E1A"/>
    <w:rsid w:val="00E26FDB"/>
    <w:rsid w:val="00E309A4"/>
    <w:rsid w:val="00E30DEF"/>
    <w:rsid w:val="00E30ED2"/>
    <w:rsid w:val="00E31276"/>
    <w:rsid w:val="00E3271B"/>
    <w:rsid w:val="00E33B01"/>
    <w:rsid w:val="00E37676"/>
    <w:rsid w:val="00E37F70"/>
    <w:rsid w:val="00E41C60"/>
    <w:rsid w:val="00E425F0"/>
    <w:rsid w:val="00E446C1"/>
    <w:rsid w:val="00E5120A"/>
    <w:rsid w:val="00E5203D"/>
    <w:rsid w:val="00E536A8"/>
    <w:rsid w:val="00E560B9"/>
    <w:rsid w:val="00E5719B"/>
    <w:rsid w:val="00E601FD"/>
    <w:rsid w:val="00E63D07"/>
    <w:rsid w:val="00E66E14"/>
    <w:rsid w:val="00E72BD1"/>
    <w:rsid w:val="00E742A3"/>
    <w:rsid w:val="00E744E0"/>
    <w:rsid w:val="00E748FE"/>
    <w:rsid w:val="00E758B9"/>
    <w:rsid w:val="00E75A60"/>
    <w:rsid w:val="00E76C64"/>
    <w:rsid w:val="00E82CB8"/>
    <w:rsid w:val="00E82E65"/>
    <w:rsid w:val="00E82F10"/>
    <w:rsid w:val="00E838B2"/>
    <w:rsid w:val="00E85569"/>
    <w:rsid w:val="00E856AF"/>
    <w:rsid w:val="00E86B83"/>
    <w:rsid w:val="00E87C64"/>
    <w:rsid w:val="00E910B2"/>
    <w:rsid w:val="00E93A01"/>
    <w:rsid w:val="00E93FF8"/>
    <w:rsid w:val="00E94901"/>
    <w:rsid w:val="00E94A45"/>
    <w:rsid w:val="00E95B8E"/>
    <w:rsid w:val="00E962F0"/>
    <w:rsid w:val="00E96EAF"/>
    <w:rsid w:val="00EA0DF8"/>
    <w:rsid w:val="00EA1752"/>
    <w:rsid w:val="00EA2273"/>
    <w:rsid w:val="00EA34C2"/>
    <w:rsid w:val="00EA5A89"/>
    <w:rsid w:val="00EA5BDB"/>
    <w:rsid w:val="00EB0AA6"/>
    <w:rsid w:val="00EB46D9"/>
    <w:rsid w:val="00EB51AD"/>
    <w:rsid w:val="00EC057A"/>
    <w:rsid w:val="00EC0981"/>
    <w:rsid w:val="00EC142D"/>
    <w:rsid w:val="00EC1E16"/>
    <w:rsid w:val="00EC6753"/>
    <w:rsid w:val="00ED0024"/>
    <w:rsid w:val="00ED0F85"/>
    <w:rsid w:val="00ED2B5C"/>
    <w:rsid w:val="00ED3269"/>
    <w:rsid w:val="00ED43D1"/>
    <w:rsid w:val="00ED4B36"/>
    <w:rsid w:val="00EE1A8C"/>
    <w:rsid w:val="00EE3488"/>
    <w:rsid w:val="00EE36E9"/>
    <w:rsid w:val="00EE4643"/>
    <w:rsid w:val="00EE68CA"/>
    <w:rsid w:val="00EE7BE7"/>
    <w:rsid w:val="00EF1330"/>
    <w:rsid w:val="00EF15FF"/>
    <w:rsid w:val="00EF7111"/>
    <w:rsid w:val="00EF7D1A"/>
    <w:rsid w:val="00F02611"/>
    <w:rsid w:val="00F029CF"/>
    <w:rsid w:val="00F0448F"/>
    <w:rsid w:val="00F05A7D"/>
    <w:rsid w:val="00F0716C"/>
    <w:rsid w:val="00F07FFE"/>
    <w:rsid w:val="00F12105"/>
    <w:rsid w:val="00F13068"/>
    <w:rsid w:val="00F15D6F"/>
    <w:rsid w:val="00F17E96"/>
    <w:rsid w:val="00F20B09"/>
    <w:rsid w:val="00F270E9"/>
    <w:rsid w:val="00F275C0"/>
    <w:rsid w:val="00F346B6"/>
    <w:rsid w:val="00F34AF9"/>
    <w:rsid w:val="00F34B14"/>
    <w:rsid w:val="00F36145"/>
    <w:rsid w:val="00F363B7"/>
    <w:rsid w:val="00F364F7"/>
    <w:rsid w:val="00F37BDD"/>
    <w:rsid w:val="00F41503"/>
    <w:rsid w:val="00F41E85"/>
    <w:rsid w:val="00F462A2"/>
    <w:rsid w:val="00F463F6"/>
    <w:rsid w:val="00F466C8"/>
    <w:rsid w:val="00F469A9"/>
    <w:rsid w:val="00F4705A"/>
    <w:rsid w:val="00F50B46"/>
    <w:rsid w:val="00F50D1F"/>
    <w:rsid w:val="00F527DE"/>
    <w:rsid w:val="00F56256"/>
    <w:rsid w:val="00F6203E"/>
    <w:rsid w:val="00F62CE4"/>
    <w:rsid w:val="00F635FC"/>
    <w:rsid w:val="00F63D03"/>
    <w:rsid w:val="00F65E2F"/>
    <w:rsid w:val="00F675BC"/>
    <w:rsid w:val="00F67DF1"/>
    <w:rsid w:val="00F829D9"/>
    <w:rsid w:val="00F8309B"/>
    <w:rsid w:val="00F8326B"/>
    <w:rsid w:val="00F833C9"/>
    <w:rsid w:val="00F865AE"/>
    <w:rsid w:val="00F866FD"/>
    <w:rsid w:val="00F90064"/>
    <w:rsid w:val="00F96AFD"/>
    <w:rsid w:val="00FA1398"/>
    <w:rsid w:val="00FA2E19"/>
    <w:rsid w:val="00FA3399"/>
    <w:rsid w:val="00FA4586"/>
    <w:rsid w:val="00FA697F"/>
    <w:rsid w:val="00FB2144"/>
    <w:rsid w:val="00FB5521"/>
    <w:rsid w:val="00FB610D"/>
    <w:rsid w:val="00FB6829"/>
    <w:rsid w:val="00FC4477"/>
    <w:rsid w:val="00FC46FB"/>
    <w:rsid w:val="00FD083E"/>
    <w:rsid w:val="00FD0A38"/>
    <w:rsid w:val="00FD2BD3"/>
    <w:rsid w:val="00FD4CCA"/>
    <w:rsid w:val="00FE2A9E"/>
    <w:rsid w:val="00FE4A2A"/>
    <w:rsid w:val="00FF1073"/>
    <w:rsid w:val="00FF3EA3"/>
    <w:rsid w:val="00FF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 w:type="paragraph" w:styleId="Paragrafoelenco">
    <w:name w:val="List Paragraph"/>
    <w:basedOn w:val="Normale"/>
    <w:uiPriority w:val="34"/>
    <w:qFormat/>
    <w:rsid w:val="00636686"/>
    <w:pPr>
      <w:ind w:left="720"/>
      <w:contextualSpacing/>
    </w:pPr>
    <w:rPr>
      <w:lang w:val="de-DE"/>
    </w:rPr>
  </w:style>
  <w:style w:type="paragraph" w:customStyle="1" w:styleId="He04Funote">
    <w:name w:val="_He_04_Fußnote"/>
    <w:next w:val="Normale"/>
    <w:qFormat/>
    <w:rsid w:val="00092D24"/>
    <w:pPr>
      <w:tabs>
        <w:tab w:val="left" w:pos="85"/>
      </w:tabs>
      <w:spacing w:line="256" w:lineRule="auto"/>
      <w:ind w:left="85" w:hanging="85"/>
    </w:pPr>
    <w:rPr>
      <w:sz w:val="15"/>
      <w:szCs w:val="22"/>
      <w:lang w:val="de-DE"/>
    </w:rPr>
  </w:style>
  <w:style w:type="character" w:customStyle="1" w:styleId="normaltextrun">
    <w:name w:val="normaltextrun"/>
    <w:basedOn w:val="Carpredefinitoparagrafo"/>
    <w:rsid w:val="00475E3F"/>
  </w:style>
  <w:style w:type="character" w:customStyle="1" w:styleId="eop">
    <w:name w:val="eop"/>
    <w:basedOn w:val="Carpredefinitoparagrafo"/>
    <w:rsid w:val="00475E3F"/>
  </w:style>
  <w:style w:type="paragraph" w:customStyle="1" w:styleId="He01FlietextAufzhlung1Ebene">
    <w:name w:val="_He_01_Fließtext Aufzählung 1. Ebene"/>
    <w:next w:val="Normale"/>
    <w:qFormat/>
    <w:rsid w:val="009A7D1D"/>
    <w:pPr>
      <w:numPr>
        <w:numId w:val="9"/>
      </w:numPr>
      <w:spacing w:after="113"/>
    </w:pPr>
    <w:rPr>
      <w:rFonts w:eastAsiaTheme="minorHAnsi" w:cstheme="minorBidi"/>
      <w:sz w:val="22"/>
      <w:szCs w:val="22"/>
      <w:lang w:val="de-DE"/>
    </w:rPr>
  </w:style>
  <w:style w:type="paragraph" w:customStyle="1" w:styleId="He01FlietextAufzhlung2Ebene">
    <w:name w:val="_He_01_Fließtext Aufzählung 2. Ebene"/>
    <w:next w:val="Normale"/>
    <w:qFormat/>
    <w:rsid w:val="009A7D1D"/>
    <w:pPr>
      <w:numPr>
        <w:numId w:val="10"/>
      </w:numPr>
      <w:spacing w:after="160"/>
    </w:pPr>
    <w:rPr>
      <w:rFonts w:eastAsiaTheme="minorHAnsi" w:cstheme="minorBidi"/>
      <w:sz w:val="22"/>
      <w:szCs w:val="22"/>
      <w:lang w:val="de-DE"/>
    </w:rPr>
  </w:style>
  <w:style w:type="paragraph" w:customStyle="1" w:styleId="He01Flietext">
    <w:name w:val="_He_01_Fließtext"/>
    <w:qFormat/>
    <w:rsid w:val="009C34DC"/>
    <w:pPr>
      <w:spacing w:after="160"/>
    </w:pPr>
    <w:rPr>
      <w:rFonts w:eastAsiaTheme="minorHAnsi" w:cstheme="minorBidi"/>
      <w:sz w:val="22"/>
      <w:szCs w:val="22"/>
      <w:lang w:val="de-DE"/>
    </w:rPr>
  </w:style>
  <w:style w:type="paragraph" w:customStyle="1" w:styleId="THe02reKopfrotbold">
    <w:name w:val="T_He_02_re Kopf rot bold"/>
    <w:next w:val="Normale"/>
    <w:qFormat/>
    <w:rsid w:val="009C34DC"/>
    <w:pPr>
      <w:jc w:val="right"/>
    </w:pPr>
    <w:rPr>
      <w:rFonts w:eastAsiaTheme="minorHAnsi" w:cstheme="minorBidi"/>
      <w:b/>
      <w:color w:val="E1000F"/>
      <w:sz w:val="20"/>
      <w:szCs w:val="22"/>
      <w:lang w:val="de-DE"/>
      <w14:numForm w14:val="lining"/>
    </w:rPr>
  </w:style>
  <w:style w:type="paragraph" w:customStyle="1" w:styleId="THe02reschwarzbold">
    <w:name w:val="T_He_02_re schwarz bold"/>
    <w:next w:val="Normale"/>
    <w:qFormat/>
    <w:rsid w:val="009C34DC"/>
    <w:pPr>
      <w:jc w:val="right"/>
    </w:pPr>
    <w:rPr>
      <w:rFonts w:eastAsiaTheme="minorHAnsi" w:cstheme="minorBidi"/>
      <w:b/>
      <w:color w:val="000000" w:themeColor="text1"/>
      <w:sz w:val="20"/>
      <w:szCs w:val="22"/>
      <w:lang w:val="de-DE"/>
      <w14:numForm w14:val="lining"/>
    </w:rPr>
  </w:style>
  <w:style w:type="paragraph" w:customStyle="1" w:styleId="THe02lischwarzbold">
    <w:name w:val="T_He_02_li schwarz bold"/>
    <w:next w:val="Normale"/>
    <w:qFormat/>
    <w:rsid w:val="009C34DC"/>
    <w:rPr>
      <w:rFonts w:eastAsiaTheme="minorHAnsi" w:cstheme="minorBidi"/>
      <w:b/>
      <w:color w:val="000000" w:themeColor="text1"/>
      <w:sz w:val="20"/>
      <w:szCs w:val="22"/>
      <w:lang w:val="de-DE"/>
    </w:rPr>
  </w:style>
  <w:style w:type="paragraph" w:customStyle="1" w:styleId="THe01berschrift">
    <w:name w:val="T_He_01_Überschrift"/>
    <w:next w:val="Normale"/>
    <w:qFormat/>
    <w:rsid w:val="009C34DC"/>
    <w:pPr>
      <w:numPr>
        <w:numId w:val="11"/>
      </w:numPr>
      <w:spacing w:after="160" w:line="259" w:lineRule="auto"/>
    </w:pPr>
    <w:rPr>
      <w:rFonts w:eastAsiaTheme="minorHAnsi" w:cstheme="minorBidi"/>
      <w:b/>
      <w:color w:val="5F6973"/>
      <w:sz w:val="24"/>
      <w:szCs w:val="22"/>
      <w:lang w:val="de-DE"/>
    </w:rPr>
  </w:style>
  <w:style w:type="paragraph" w:customStyle="1" w:styleId="THe02reschwarz">
    <w:name w:val="T_He_02_re schwarz"/>
    <w:next w:val="Normale"/>
    <w:qFormat/>
    <w:rsid w:val="009C34DC"/>
    <w:pPr>
      <w:jc w:val="right"/>
    </w:pPr>
    <w:rPr>
      <w:rFonts w:eastAsiaTheme="minorHAnsi" w:cstheme="minorBidi"/>
      <w:color w:val="000000" w:themeColor="text1"/>
      <w:sz w:val="20"/>
      <w:szCs w:val="22"/>
      <w:lang w:val="de-DE"/>
      <w14:numForm w14:val="lining"/>
    </w:rPr>
  </w:style>
  <w:style w:type="paragraph" w:customStyle="1" w:styleId="THe02lischwarz">
    <w:name w:val="T_He_02_li schwarz"/>
    <w:next w:val="Normale"/>
    <w:qFormat/>
    <w:rsid w:val="009C34DC"/>
    <w:rPr>
      <w:rFonts w:eastAsiaTheme="minorHAnsi" w:cstheme="minorBidi"/>
      <w:sz w:val="20"/>
      <w:szCs w:val="22"/>
      <w:lang w:val="de-DE"/>
    </w:rPr>
  </w:style>
  <w:style w:type="paragraph" w:customStyle="1" w:styleId="THe02liFunotenummeriert">
    <w:name w:val="T_He_02_li Fußnote nummeriert"/>
    <w:qFormat/>
    <w:rsid w:val="009C34DC"/>
    <w:pPr>
      <w:numPr>
        <w:ilvl w:val="1"/>
        <w:numId w:val="11"/>
      </w:numPr>
      <w:spacing w:before="20" w:after="20" w:line="259" w:lineRule="auto"/>
      <w:contextualSpacing/>
    </w:pPr>
    <w:rPr>
      <w:rFonts w:eastAsiaTheme="minorHAnsi" w:cstheme="minorBidi"/>
      <w:color w:val="5F6973"/>
      <w:sz w:val="14"/>
      <w:szCs w:val="22"/>
      <w:lang w:val="de-DE"/>
    </w:rPr>
  </w:style>
  <w:style w:type="paragraph" w:customStyle="1" w:styleId="THe02reKopfgraubold">
    <w:name w:val="T_He_02_re Kopf grau bold"/>
    <w:next w:val="He01Flietext"/>
    <w:qFormat/>
    <w:rsid w:val="009C34DC"/>
    <w:pPr>
      <w:jc w:val="right"/>
    </w:pPr>
    <w:rPr>
      <w:rFonts w:eastAsiaTheme="minorHAnsi" w:cstheme="minorBidi"/>
      <w:b/>
      <w:color w:val="5F6973"/>
      <w:sz w:val="20"/>
      <w:szCs w:val="22"/>
      <w:lang w:val="de-DE"/>
      <w14:numForm w14:val="lining"/>
    </w:rPr>
  </w:style>
  <w:style w:type="paragraph" w:customStyle="1" w:styleId="THe02lischwarzEinzug">
    <w:name w:val="T_He_02_li schwarz Einzug"/>
    <w:qFormat/>
    <w:rsid w:val="009C34DC"/>
    <w:pPr>
      <w:ind w:left="170"/>
    </w:pPr>
    <w:rPr>
      <w:rFonts w:eastAsiaTheme="minorHAnsi" w:cstheme="minorBidi"/>
      <w:sz w:val="20"/>
      <w:szCs w:val="22"/>
      <w:lang w:val="de-DE"/>
    </w:rPr>
  </w:style>
  <w:style w:type="paragraph" w:customStyle="1" w:styleId="THe02miKopfschwarzbold">
    <w:name w:val="T_He_02_mi Kopf schwarz bold"/>
    <w:next w:val="He01Flietext"/>
    <w:qFormat/>
    <w:rsid w:val="009C34DC"/>
    <w:pPr>
      <w:jc w:val="center"/>
    </w:pPr>
    <w:rPr>
      <w:rFonts w:eastAsiaTheme="minorHAnsi" w:cstheme="minorBidi"/>
      <w:b/>
      <w:color w:val="000000" w:themeColor="text1"/>
      <w:sz w:val="20"/>
      <w:szCs w:val="22"/>
      <w:lang w:val="de-DE"/>
      <w14:numForm w14:val="lining"/>
    </w:rPr>
  </w:style>
  <w:style w:type="paragraph" w:customStyle="1" w:styleId="THe02liheader">
    <w:name w:val="T_He_02_li_header"/>
    <w:qFormat/>
    <w:rsid w:val="009C34DC"/>
    <w:pPr>
      <w:spacing w:before="120"/>
    </w:pPr>
    <w:rPr>
      <w:rFonts w:eastAsiaTheme="minorHAnsi" w:cstheme="minorBidi"/>
      <w:b/>
      <w:color w:val="5F6973"/>
      <w:sz w:val="20"/>
      <w:szCs w:val="22"/>
      <w:lang w:val="de-DE"/>
    </w:rPr>
  </w:style>
  <w:style w:type="paragraph" w:customStyle="1" w:styleId="THe02reheader">
    <w:name w:val="T_He_02_re_header"/>
    <w:qFormat/>
    <w:rsid w:val="009C34DC"/>
    <w:pPr>
      <w:jc w:val="right"/>
    </w:pPr>
    <w:rPr>
      <w:rFonts w:eastAsiaTheme="minorHAnsi" w:cstheme="minorBidi"/>
      <w:b/>
      <w:color w:val="000000" w:themeColor="text1"/>
      <w:sz w:val="20"/>
      <w:szCs w:val="22"/>
      <w:lang w:val="de-DE"/>
    </w:rPr>
  </w:style>
  <w:style w:type="paragraph" w:customStyle="1" w:styleId="THe03leereZeile">
    <w:name w:val="T_He_03_leere_Zeile"/>
    <w:qFormat/>
    <w:rsid w:val="009C34DC"/>
    <w:rPr>
      <w:rFonts w:eastAsiaTheme="minorHAnsi" w:cstheme="minorBidi"/>
      <w:color w:val="5F6973"/>
      <w:sz w:val="5"/>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com/press-and-media/press-releases-and-kits/2023-08-10-henkel-raises-sales-and-earnings-guidance-for-2023-187999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9" ma:contentTypeDescription="Create a new document." ma:contentTypeScope="" ma:versionID="42ac2d2e3f92e02908b7533defd3f18d">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f3a5cfea248c81707be173ec14adcd4a"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332F96-3FD2-4E46-BD70-6B2859130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1457</Words>
  <Characters>8439</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6</cp:revision>
  <cp:lastPrinted>2016-11-17T04:11:00Z</cp:lastPrinted>
  <dcterms:created xsi:type="dcterms:W3CDTF">2023-08-23T15:21:00Z</dcterms:created>
  <dcterms:modified xsi:type="dcterms:W3CDTF">2023-08-23T15:26:00Z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