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214F3" w14:textId="3B425005" w:rsidR="00F210C5" w:rsidRPr="00B62DAB" w:rsidRDefault="000663A0" w:rsidP="00B350BA">
      <w:pPr>
        <w:pStyle w:val="MonthDayYear"/>
        <w:spacing w:afterLines="50" w:after="120"/>
        <w:rPr>
          <w:iCs/>
          <w:lang w:eastAsia="zh-TW"/>
        </w:rPr>
      </w:pPr>
      <w:r w:rsidRPr="00F635C6">
        <w:rPr>
          <w:highlight w:val="yellow"/>
          <w:lang w:eastAsia="zh-TW"/>
        </w:rPr>
        <w:t>2023</w:t>
      </w:r>
      <w:r w:rsidRPr="00F635C6">
        <w:rPr>
          <w:rFonts w:hint="eastAsia"/>
          <w:highlight w:val="yellow"/>
          <w:lang w:eastAsia="zh-TW"/>
        </w:rPr>
        <w:t>年</w:t>
      </w:r>
      <w:r w:rsidRPr="00F635C6">
        <w:rPr>
          <w:highlight w:val="yellow"/>
          <w:lang w:eastAsia="zh-TW"/>
        </w:rPr>
        <w:t>8</w:t>
      </w:r>
      <w:r w:rsidRPr="00F635C6">
        <w:rPr>
          <w:rFonts w:hint="eastAsia"/>
          <w:highlight w:val="yellow"/>
          <w:lang w:eastAsia="zh-TW"/>
        </w:rPr>
        <w:t>月</w:t>
      </w:r>
      <w:r w:rsidRPr="00F635C6">
        <w:rPr>
          <w:highlight w:val="yellow"/>
          <w:lang w:eastAsia="zh-TW"/>
        </w:rPr>
        <w:t>21</w:t>
      </w:r>
      <w:r w:rsidRPr="00F635C6">
        <w:rPr>
          <w:rFonts w:hint="eastAsia"/>
          <w:highlight w:val="yellow"/>
          <w:lang w:eastAsia="zh-TW"/>
        </w:rPr>
        <w:t>日</w:t>
      </w:r>
    </w:p>
    <w:p w14:paraId="453B5C30" w14:textId="5A4A55FF" w:rsidR="00BB7240" w:rsidRPr="00B62DAB" w:rsidRDefault="000663A0" w:rsidP="00B350BA">
      <w:pPr>
        <w:pStyle w:val="Topline"/>
        <w:spacing w:before="0" w:afterLines="50" w:after="120"/>
        <w:rPr>
          <w:rFonts w:asciiTheme="majorHAnsi" w:hAnsiTheme="majorHAnsi" w:cstheme="majorHAnsi"/>
          <w:lang w:eastAsia="zh-TW"/>
        </w:rPr>
      </w:pPr>
      <w:r w:rsidRPr="00B62DAB">
        <w:rPr>
          <w:rFonts w:asciiTheme="majorHAnsi" w:hAnsiTheme="majorHAnsi" w:cstheme="majorHAnsi" w:hint="eastAsia"/>
          <w:lang w:eastAsia="zh-TW"/>
        </w:rPr>
        <w:t>上半年保持增長態勢，盈利能力顯著改善</w:t>
      </w:r>
    </w:p>
    <w:p w14:paraId="22393190" w14:textId="197D0308" w:rsidR="00BB7240" w:rsidRPr="004F6D54" w:rsidRDefault="000663A0" w:rsidP="00B350BA">
      <w:pPr>
        <w:spacing w:afterLines="50" w:after="120"/>
        <w:jc w:val="left"/>
        <w:rPr>
          <w:rStyle w:val="Headline"/>
          <w:rFonts w:asciiTheme="majorHAnsi" w:hAnsiTheme="majorHAnsi" w:cstheme="majorHAnsi"/>
          <w:color w:val="000000" w:themeColor="text1"/>
          <w:lang w:eastAsia="zh-TW"/>
        </w:rPr>
      </w:pPr>
      <w:proofErr w:type="gramStart"/>
      <w:r w:rsidRPr="004F6D54">
        <w:rPr>
          <w:rStyle w:val="Headline"/>
          <w:rFonts w:asciiTheme="majorHAnsi" w:hAnsiTheme="majorHAnsi" w:cstheme="majorHAnsi" w:hint="eastAsia"/>
          <w:color w:val="000000" w:themeColor="text1"/>
          <w:lang w:eastAsia="zh-TW"/>
        </w:rPr>
        <w:t>漢高上</w:t>
      </w:r>
      <w:proofErr w:type="gramEnd"/>
      <w:r w:rsidRPr="004F6D54">
        <w:rPr>
          <w:rStyle w:val="Headline"/>
          <w:rFonts w:asciiTheme="majorHAnsi" w:hAnsiTheme="majorHAnsi" w:cstheme="majorHAnsi" w:hint="eastAsia"/>
          <w:color w:val="000000" w:themeColor="text1"/>
          <w:lang w:eastAsia="zh-TW"/>
        </w:rPr>
        <w:t>調</w:t>
      </w:r>
      <w:r w:rsidRPr="004F6D54">
        <w:rPr>
          <w:rStyle w:val="Headline"/>
          <w:rFonts w:asciiTheme="majorHAnsi" w:hAnsiTheme="majorHAnsi" w:cstheme="majorHAnsi"/>
          <w:color w:val="000000" w:themeColor="text1"/>
          <w:lang w:eastAsia="zh-TW"/>
        </w:rPr>
        <w:t>2023</w:t>
      </w:r>
      <w:r w:rsidRPr="004F6D54">
        <w:rPr>
          <w:rStyle w:val="Headline"/>
          <w:rFonts w:asciiTheme="majorHAnsi" w:hAnsiTheme="majorHAnsi" w:cstheme="majorHAnsi" w:hint="eastAsia"/>
          <w:color w:val="000000" w:themeColor="text1"/>
          <w:lang w:eastAsia="zh-TW"/>
        </w:rPr>
        <w:t>年銷售額和盈利預期</w:t>
      </w:r>
    </w:p>
    <w:p w14:paraId="4582F48C" w14:textId="68DC4A98" w:rsidR="00BB7240" w:rsidRPr="00F93BD2" w:rsidRDefault="000663A0" w:rsidP="00F93BD2">
      <w:pPr>
        <w:pStyle w:val="aa"/>
        <w:numPr>
          <w:ilvl w:val="0"/>
          <w:numId w:val="12"/>
        </w:numPr>
        <w:spacing w:afterLines="50" w:after="120"/>
        <w:ind w:right="-108"/>
        <w:contextualSpacing w:val="0"/>
        <w:rPr>
          <w:rFonts w:asciiTheme="majorHAnsi" w:hAnsiTheme="majorHAnsi" w:cstheme="majorHAnsi"/>
          <w:b/>
          <w:color w:val="000000" w:themeColor="text1"/>
          <w:szCs w:val="22"/>
          <w:lang w:eastAsia="zh-TW"/>
        </w:rPr>
      </w:pPr>
      <w:bookmarkStart w:id="0" w:name="_Hlk140061525"/>
      <w:bookmarkStart w:id="1" w:name="_Hlk43712519"/>
      <w:r w:rsidRPr="00F93BD2">
        <w:rPr>
          <w:rFonts w:asciiTheme="majorHAnsi" w:hAnsiTheme="majorHAnsi" w:cstheme="majorHAnsi" w:hint="eastAsia"/>
          <w:b/>
          <w:color w:val="000000" w:themeColor="text1"/>
          <w:szCs w:val="22"/>
          <w:lang w:eastAsia="zh-TW"/>
        </w:rPr>
        <w:t>上半年集團銷售額有機增長</w:t>
      </w:r>
      <w:r w:rsidRPr="00F93BD2">
        <w:rPr>
          <w:rFonts w:asciiTheme="majorHAnsi" w:hAnsiTheme="majorHAnsi" w:cstheme="majorHAnsi"/>
          <w:b/>
          <w:color w:val="000000" w:themeColor="text1"/>
          <w:szCs w:val="22"/>
          <w:lang w:eastAsia="zh-TW"/>
        </w:rPr>
        <w:t>4.9%</w:t>
      </w:r>
      <w:r w:rsidRPr="00F93BD2">
        <w:rPr>
          <w:rFonts w:asciiTheme="majorHAnsi" w:hAnsiTheme="majorHAnsi" w:cstheme="majorHAnsi" w:hint="eastAsia"/>
          <w:b/>
          <w:color w:val="000000" w:themeColor="text1"/>
          <w:szCs w:val="22"/>
          <w:lang w:eastAsia="zh-TW"/>
        </w:rPr>
        <w:t>，達到約</w:t>
      </w:r>
      <w:r w:rsidRPr="00F93BD2">
        <w:rPr>
          <w:rFonts w:asciiTheme="majorHAnsi" w:hAnsiTheme="majorHAnsi" w:cstheme="majorHAnsi"/>
          <w:b/>
          <w:color w:val="000000" w:themeColor="text1"/>
          <w:szCs w:val="22"/>
          <w:lang w:eastAsia="zh-TW"/>
        </w:rPr>
        <w:t>109</w:t>
      </w:r>
      <w:r w:rsidRPr="00F93BD2">
        <w:rPr>
          <w:rFonts w:asciiTheme="majorHAnsi" w:hAnsiTheme="majorHAnsi" w:cstheme="majorHAnsi" w:hint="eastAsia"/>
          <w:b/>
          <w:color w:val="000000" w:themeColor="text1"/>
          <w:szCs w:val="22"/>
          <w:lang w:eastAsia="zh-TW"/>
        </w:rPr>
        <w:t>億歐元（名義增長</w:t>
      </w:r>
      <w:r w:rsidRPr="00F93BD2">
        <w:rPr>
          <w:rFonts w:asciiTheme="majorHAnsi" w:hAnsiTheme="majorHAnsi" w:cstheme="majorHAnsi"/>
          <w:b/>
          <w:color w:val="000000" w:themeColor="text1"/>
          <w:szCs w:val="22"/>
          <w:lang w:eastAsia="zh-TW"/>
        </w:rPr>
        <w:t>0.1%</w:t>
      </w:r>
      <w:r w:rsidRPr="00F93BD2">
        <w:rPr>
          <w:rFonts w:asciiTheme="majorHAnsi" w:hAnsiTheme="majorHAnsi" w:cstheme="majorHAnsi" w:hint="eastAsia"/>
          <w:b/>
          <w:color w:val="000000" w:themeColor="text1"/>
          <w:szCs w:val="22"/>
          <w:lang w:eastAsia="zh-TW"/>
        </w:rPr>
        <w:t>），兩個業務部門均實現非常強勁的增長</w:t>
      </w:r>
    </w:p>
    <w:p w14:paraId="49FC2ED9" w14:textId="2FA7D67F" w:rsidR="00BB7240" w:rsidRPr="00F93BD2" w:rsidRDefault="000663A0" w:rsidP="00F93BD2">
      <w:pPr>
        <w:pStyle w:val="aa"/>
        <w:numPr>
          <w:ilvl w:val="0"/>
          <w:numId w:val="12"/>
        </w:numPr>
        <w:spacing w:afterLines="50" w:after="120"/>
        <w:ind w:right="-108"/>
        <w:contextualSpacing w:val="0"/>
        <w:rPr>
          <w:rFonts w:asciiTheme="majorHAnsi" w:hAnsiTheme="majorHAnsi" w:cstheme="majorHAnsi"/>
          <w:b/>
          <w:color w:val="000000" w:themeColor="text1"/>
          <w:szCs w:val="22"/>
          <w:lang w:eastAsia="zh-TW"/>
        </w:rPr>
      </w:pPr>
      <w:r w:rsidRPr="00F93BD2">
        <w:rPr>
          <w:rFonts w:hint="eastAsia"/>
          <w:b/>
          <w:color w:val="000000" w:themeColor="text1"/>
          <w:lang w:eastAsia="zh-TW"/>
        </w:rPr>
        <w:t>營業利潤（息稅前利潤）</w:t>
      </w:r>
      <w:r w:rsidRPr="00F93BD2">
        <w:rPr>
          <w:b/>
          <w:color w:val="000000" w:themeColor="text1"/>
          <w:lang w:eastAsia="zh-TW"/>
        </w:rPr>
        <w:t>*</w:t>
      </w:r>
      <w:r w:rsidRPr="00F93BD2">
        <w:rPr>
          <w:rFonts w:hint="eastAsia"/>
          <w:b/>
          <w:color w:val="000000" w:themeColor="text1"/>
          <w:lang w:eastAsia="zh-TW"/>
        </w:rPr>
        <w:t>：</w:t>
      </w:r>
      <w:r w:rsidRPr="00F93BD2">
        <w:rPr>
          <w:rFonts w:asciiTheme="majorHAnsi" w:hAnsiTheme="majorHAnsi" w:cstheme="majorHAnsi" w:hint="eastAsia"/>
          <w:b/>
          <w:color w:val="000000" w:themeColor="text1"/>
          <w:szCs w:val="22"/>
          <w:lang w:eastAsia="zh-TW"/>
        </w:rPr>
        <w:t>顯著增長至</w:t>
      </w:r>
      <w:r w:rsidRPr="00F93BD2">
        <w:rPr>
          <w:rFonts w:asciiTheme="majorHAnsi" w:hAnsiTheme="majorHAnsi" w:cstheme="majorHAnsi"/>
          <w:b/>
          <w:color w:val="000000" w:themeColor="text1"/>
          <w:szCs w:val="22"/>
          <w:lang w:eastAsia="zh-TW"/>
        </w:rPr>
        <w:t>12.54</w:t>
      </w:r>
      <w:r w:rsidRPr="00F93BD2">
        <w:rPr>
          <w:rFonts w:asciiTheme="majorHAnsi" w:hAnsiTheme="majorHAnsi" w:cstheme="majorHAnsi" w:hint="eastAsia"/>
          <w:b/>
          <w:color w:val="000000" w:themeColor="text1"/>
          <w:szCs w:val="22"/>
          <w:lang w:eastAsia="zh-TW"/>
        </w:rPr>
        <w:t>億歐元，增幅為</w:t>
      </w:r>
      <w:r w:rsidRPr="00F93BD2">
        <w:rPr>
          <w:rFonts w:asciiTheme="majorHAnsi" w:hAnsiTheme="majorHAnsi" w:cstheme="majorHAnsi"/>
          <w:b/>
          <w:color w:val="000000" w:themeColor="text1"/>
          <w:szCs w:val="22"/>
          <w:lang w:eastAsia="zh-TW"/>
        </w:rPr>
        <w:t>7.6%</w:t>
      </w:r>
    </w:p>
    <w:p w14:paraId="1E61A12E" w14:textId="03D76532" w:rsidR="00BB7240" w:rsidRPr="00F93BD2" w:rsidRDefault="000663A0" w:rsidP="00F93BD2">
      <w:pPr>
        <w:pStyle w:val="aa"/>
        <w:numPr>
          <w:ilvl w:val="0"/>
          <w:numId w:val="12"/>
        </w:numPr>
        <w:spacing w:afterLines="50" w:after="120"/>
        <w:ind w:right="-108"/>
        <w:contextualSpacing w:val="0"/>
        <w:rPr>
          <w:rFonts w:asciiTheme="majorHAnsi" w:hAnsiTheme="majorHAnsi" w:cstheme="majorHAnsi"/>
          <w:b/>
          <w:color w:val="000000" w:themeColor="text1"/>
          <w:szCs w:val="22"/>
          <w:lang w:eastAsia="zh-TW"/>
        </w:rPr>
      </w:pPr>
      <w:proofErr w:type="gramStart"/>
      <w:r w:rsidRPr="00F93BD2">
        <w:rPr>
          <w:rFonts w:asciiTheme="majorHAnsi" w:hAnsiTheme="majorHAnsi" w:cstheme="majorHAnsi" w:hint="eastAsia"/>
          <w:b/>
          <w:color w:val="000000" w:themeColor="text1"/>
          <w:szCs w:val="22"/>
          <w:lang w:eastAsia="zh-TW"/>
        </w:rPr>
        <w:t>息稅前</w:t>
      </w:r>
      <w:proofErr w:type="gramEnd"/>
      <w:r w:rsidRPr="00F93BD2">
        <w:rPr>
          <w:rFonts w:asciiTheme="majorHAnsi" w:hAnsiTheme="majorHAnsi" w:cstheme="majorHAnsi" w:hint="eastAsia"/>
          <w:b/>
          <w:color w:val="000000" w:themeColor="text1"/>
          <w:szCs w:val="22"/>
          <w:lang w:eastAsia="zh-TW"/>
        </w:rPr>
        <w:t>利潤率</w:t>
      </w:r>
      <w:r w:rsidRPr="00F93BD2">
        <w:rPr>
          <w:rFonts w:asciiTheme="majorHAnsi" w:hAnsiTheme="majorHAnsi" w:cstheme="majorHAnsi"/>
          <w:b/>
          <w:color w:val="000000" w:themeColor="text1"/>
          <w:szCs w:val="22"/>
          <w:lang w:eastAsia="zh-TW"/>
        </w:rPr>
        <w:t>*</w:t>
      </w:r>
      <w:r w:rsidRPr="00F93BD2">
        <w:rPr>
          <w:rFonts w:asciiTheme="majorHAnsi" w:hAnsiTheme="majorHAnsi" w:cstheme="majorHAnsi" w:hint="eastAsia"/>
          <w:b/>
          <w:color w:val="000000" w:themeColor="text1"/>
          <w:szCs w:val="22"/>
          <w:lang w:eastAsia="zh-TW"/>
        </w:rPr>
        <w:t>強勁增長至</w:t>
      </w:r>
      <w:r w:rsidRPr="00F93BD2">
        <w:rPr>
          <w:rFonts w:asciiTheme="majorHAnsi" w:hAnsiTheme="majorHAnsi" w:cstheme="majorHAnsi"/>
          <w:b/>
          <w:color w:val="000000" w:themeColor="text1"/>
          <w:szCs w:val="22"/>
          <w:lang w:eastAsia="zh-TW"/>
        </w:rPr>
        <w:t>11.5%</w:t>
      </w:r>
      <w:r w:rsidRPr="00F93BD2">
        <w:rPr>
          <w:rFonts w:asciiTheme="majorHAnsi" w:hAnsiTheme="majorHAnsi" w:cstheme="majorHAnsi" w:hint="eastAsia"/>
          <w:b/>
          <w:color w:val="000000" w:themeColor="text1"/>
          <w:szCs w:val="22"/>
          <w:lang w:eastAsia="zh-TW"/>
        </w:rPr>
        <w:t>，上浮</w:t>
      </w:r>
      <w:r w:rsidRPr="00F93BD2">
        <w:rPr>
          <w:rFonts w:asciiTheme="majorHAnsi" w:hAnsiTheme="majorHAnsi" w:cstheme="majorHAnsi"/>
          <w:b/>
          <w:color w:val="000000" w:themeColor="text1"/>
          <w:szCs w:val="22"/>
          <w:lang w:eastAsia="zh-TW"/>
        </w:rPr>
        <w:t>80</w:t>
      </w:r>
      <w:r w:rsidRPr="00F93BD2">
        <w:rPr>
          <w:rFonts w:asciiTheme="majorHAnsi" w:hAnsiTheme="majorHAnsi" w:cstheme="majorHAnsi" w:hint="eastAsia"/>
          <w:b/>
          <w:color w:val="000000" w:themeColor="text1"/>
          <w:szCs w:val="22"/>
          <w:lang w:eastAsia="zh-TW"/>
        </w:rPr>
        <w:t>個基點</w:t>
      </w:r>
    </w:p>
    <w:p w14:paraId="445BF711" w14:textId="01212475" w:rsidR="00BB7240" w:rsidRPr="00F93BD2" w:rsidRDefault="000663A0" w:rsidP="00F93BD2">
      <w:pPr>
        <w:pStyle w:val="aa"/>
        <w:numPr>
          <w:ilvl w:val="0"/>
          <w:numId w:val="12"/>
        </w:numPr>
        <w:spacing w:afterLines="50" w:after="120"/>
        <w:ind w:right="-108"/>
        <w:contextualSpacing w:val="0"/>
        <w:rPr>
          <w:rFonts w:asciiTheme="majorHAnsi" w:hAnsiTheme="majorHAnsi" w:cstheme="majorHAnsi"/>
          <w:b/>
          <w:color w:val="000000" w:themeColor="text1"/>
          <w:szCs w:val="22"/>
          <w:lang w:eastAsia="zh-TW"/>
        </w:rPr>
      </w:pPr>
      <w:r w:rsidRPr="00F93BD2">
        <w:rPr>
          <w:rFonts w:asciiTheme="majorHAnsi" w:hAnsiTheme="majorHAnsi" w:cstheme="majorHAnsi" w:hint="eastAsia"/>
          <w:b/>
          <w:color w:val="000000" w:themeColor="text1"/>
          <w:szCs w:val="22"/>
          <w:lang w:eastAsia="zh-TW"/>
        </w:rPr>
        <w:t>優先股每股收益</w:t>
      </w:r>
      <w:r w:rsidRPr="00F93BD2">
        <w:rPr>
          <w:rFonts w:hint="eastAsia"/>
          <w:b/>
          <w:color w:val="000000" w:themeColor="text1"/>
          <w:lang w:eastAsia="zh-TW"/>
        </w:rPr>
        <w:t>（</w:t>
      </w:r>
      <w:r w:rsidRPr="00F93BD2">
        <w:rPr>
          <w:b/>
          <w:color w:val="000000" w:themeColor="text1"/>
          <w:lang w:eastAsia="zh-TW"/>
        </w:rPr>
        <w:t>EPS</w:t>
      </w:r>
      <w:r w:rsidRPr="00F93BD2">
        <w:rPr>
          <w:rFonts w:hint="eastAsia"/>
          <w:b/>
          <w:color w:val="000000" w:themeColor="text1"/>
          <w:lang w:eastAsia="zh-TW"/>
        </w:rPr>
        <w:t>）</w:t>
      </w:r>
      <w:r w:rsidRPr="00F93BD2">
        <w:rPr>
          <w:rFonts w:asciiTheme="majorHAnsi" w:hAnsiTheme="majorHAnsi" w:cstheme="majorHAnsi"/>
          <w:b/>
          <w:color w:val="000000" w:themeColor="text1"/>
          <w:szCs w:val="22"/>
          <w:lang w:eastAsia="zh-TW"/>
        </w:rPr>
        <w:t>*</w:t>
      </w:r>
      <w:r w:rsidRPr="00F93BD2">
        <w:rPr>
          <w:rFonts w:asciiTheme="majorHAnsi" w:hAnsiTheme="majorHAnsi" w:cstheme="majorHAnsi" w:hint="eastAsia"/>
          <w:b/>
          <w:color w:val="000000" w:themeColor="text1"/>
          <w:szCs w:val="22"/>
          <w:lang w:eastAsia="zh-TW"/>
        </w:rPr>
        <w:t>增長至</w:t>
      </w:r>
      <w:r w:rsidRPr="00F93BD2">
        <w:rPr>
          <w:rFonts w:asciiTheme="majorHAnsi" w:hAnsiTheme="majorHAnsi" w:cstheme="majorHAnsi"/>
          <w:b/>
          <w:color w:val="000000" w:themeColor="text1"/>
          <w:szCs w:val="22"/>
          <w:lang w:eastAsia="zh-TW"/>
        </w:rPr>
        <w:t>2.13</w:t>
      </w:r>
      <w:r w:rsidRPr="00F93BD2">
        <w:rPr>
          <w:rFonts w:asciiTheme="majorHAnsi" w:hAnsiTheme="majorHAnsi" w:cstheme="majorHAnsi" w:hint="eastAsia"/>
          <w:b/>
          <w:color w:val="000000" w:themeColor="text1"/>
          <w:szCs w:val="22"/>
          <w:lang w:eastAsia="zh-TW"/>
        </w:rPr>
        <w:t>歐元，按固定匯率計算，實現</w:t>
      </w:r>
      <w:r w:rsidRPr="00F93BD2">
        <w:rPr>
          <w:rFonts w:asciiTheme="majorHAnsi" w:hAnsiTheme="majorHAnsi" w:cstheme="majorHAnsi"/>
          <w:b/>
          <w:color w:val="000000" w:themeColor="text1"/>
          <w:szCs w:val="22"/>
          <w:lang w:eastAsia="zh-TW"/>
        </w:rPr>
        <w:t>14.4%</w:t>
      </w:r>
      <w:r w:rsidRPr="00F93BD2">
        <w:rPr>
          <w:rFonts w:asciiTheme="majorHAnsi" w:hAnsiTheme="majorHAnsi" w:cstheme="majorHAnsi" w:hint="eastAsia"/>
          <w:b/>
          <w:color w:val="000000" w:themeColor="text1"/>
          <w:szCs w:val="22"/>
          <w:lang w:eastAsia="zh-TW"/>
        </w:rPr>
        <w:t>的兩位數增長</w:t>
      </w:r>
    </w:p>
    <w:bookmarkEnd w:id="0"/>
    <w:p w14:paraId="45DCE0BE" w14:textId="2A01B0EB" w:rsidR="00BB7240" w:rsidRPr="00F93BD2" w:rsidRDefault="000663A0" w:rsidP="00F93BD2">
      <w:pPr>
        <w:pStyle w:val="aa"/>
        <w:numPr>
          <w:ilvl w:val="0"/>
          <w:numId w:val="12"/>
        </w:numPr>
        <w:spacing w:afterLines="50" w:after="120"/>
        <w:ind w:right="-108"/>
        <w:contextualSpacing w:val="0"/>
        <w:rPr>
          <w:rFonts w:asciiTheme="majorHAnsi" w:hAnsiTheme="majorHAnsi" w:cstheme="majorHAnsi"/>
          <w:b/>
          <w:color w:val="000000" w:themeColor="text1"/>
          <w:szCs w:val="22"/>
          <w:lang w:eastAsia="zh-TW"/>
        </w:rPr>
      </w:pPr>
      <w:r w:rsidRPr="00F93BD2">
        <w:rPr>
          <w:rFonts w:asciiTheme="majorHAnsi" w:hAnsiTheme="majorHAnsi" w:cstheme="majorHAnsi" w:hint="eastAsia"/>
          <w:b/>
          <w:color w:val="000000" w:themeColor="text1"/>
          <w:szCs w:val="22"/>
          <w:lang w:eastAsia="zh-TW"/>
        </w:rPr>
        <w:t>持續推進戰略增長議程的實施</w:t>
      </w:r>
    </w:p>
    <w:p w14:paraId="1EA82E63" w14:textId="3E429CC0" w:rsidR="00BB7240" w:rsidRPr="00F93BD2" w:rsidRDefault="000663A0" w:rsidP="00F93BD2">
      <w:pPr>
        <w:pStyle w:val="aa"/>
        <w:numPr>
          <w:ilvl w:val="0"/>
          <w:numId w:val="12"/>
        </w:numPr>
        <w:spacing w:afterLines="50" w:after="120"/>
        <w:ind w:right="-108"/>
        <w:contextualSpacing w:val="0"/>
        <w:rPr>
          <w:rFonts w:asciiTheme="majorHAnsi" w:hAnsiTheme="majorHAnsi" w:cstheme="majorHAnsi"/>
          <w:b/>
          <w:color w:val="000000" w:themeColor="text1"/>
          <w:szCs w:val="22"/>
          <w:lang w:eastAsia="zh-TW"/>
        </w:rPr>
      </w:pPr>
      <w:r w:rsidRPr="00F93BD2">
        <w:rPr>
          <w:rFonts w:asciiTheme="majorHAnsi" w:hAnsiTheme="majorHAnsi" w:cstheme="majorHAnsi" w:hint="eastAsia"/>
          <w:b/>
          <w:color w:val="000000" w:themeColor="text1"/>
          <w:szCs w:val="22"/>
          <w:lang w:eastAsia="zh-TW"/>
        </w:rPr>
        <w:t>上調</w:t>
      </w:r>
      <w:r w:rsidRPr="00F93BD2">
        <w:rPr>
          <w:rFonts w:asciiTheme="majorHAnsi" w:hAnsiTheme="majorHAnsi" w:cstheme="majorHAnsi"/>
          <w:b/>
          <w:color w:val="000000" w:themeColor="text1"/>
          <w:szCs w:val="22"/>
          <w:lang w:eastAsia="zh-TW"/>
        </w:rPr>
        <w:t>2023</w:t>
      </w:r>
      <w:proofErr w:type="gramStart"/>
      <w:r w:rsidRPr="00F93BD2">
        <w:rPr>
          <w:rFonts w:asciiTheme="majorHAnsi" w:hAnsiTheme="majorHAnsi" w:cstheme="majorHAnsi" w:hint="eastAsia"/>
          <w:b/>
          <w:color w:val="000000" w:themeColor="text1"/>
          <w:szCs w:val="22"/>
          <w:lang w:eastAsia="zh-TW"/>
        </w:rPr>
        <w:t>財年銷售</w:t>
      </w:r>
      <w:proofErr w:type="gramEnd"/>
      <w:r w:rsidRPr="00F93BD2">
        <w:rPr>
          <w:rFonts w:asciiTheme="majorHAnsi" w:hAnsiTheme="majorHAnsi" w:cstheme="majorHAnsi" w:hint="eastAsia"/>
          <w:b/>
          <w:color w:val="000000" w:themeColor="text1"/>
          <w:szCs w:val="22"/>
          <w:lang w:eastAsia="zh-TW"/>
        </w:rPr>
        <w:t>額和盈利預期：</w:t>
      </w:r>
    </w:p>
    <w:p w14:paraId="00EB595B" w14:textId="55747947" w:rsidR="00BB7240" w:rsidRPr="00F93BD2" w:rsidRDefault="000663A0" w:rsidP="00C00075">
      <w:pPr>
        <w:pStyle w:val="aa"/>
        <w:numPr>
          <w:ilvl w:val="1"/>
          <w:numId w:val="13"/>
        </w:numPr>
        <w:spacing w:afterLines="50" w:after="120"/>
        <w:ind w:right="-108"/>
        <w:rPr>
          <w:rFonts w:asciiTheme="majorHAnsi" w:hAnsiTheme="majorHAnsi" w:cstheme="majorHAnsi"/>
          <w:b/>
          <w:color w:val="000000" w:themeColor="text1"/>
          <w:szCs w:val="22"/>
          <w:lang w:eastAsia="zh-TW"/>
        </w:rPr>
      </w:pPr>
      <w:r w:rsidRPr="00F93BD2">
        <w:rPr>
          <w:rFonts w:asciiTheme="majorHAnsi" w:hAnsiTheme="majorHAnsi" w:cstheme="majorHAnsi" w:hint="eastAsia"/>
          <w:b/>
          <w:color w:val="000000" w:themeColor="text1"/>
          <w:szCs w:val="22"/>
          <w:lang w:eastAsia="zh-TW"/>
        </w:rPr>
        <w:t>有機銷售額增長：調至</w:t>
      </w:r>
      <w:r w:rsidRPr="00F93BD2">
        <w:rPr>
          <w:rFonts w:asciiTheme="majorHAnsi" w:hAnsiTheme="majorHAnsi" w:cstheme="majorHAnsi"/>
          <w:b/>
          <w:color w:val="000000" w:themeColor="text1"/>
          <w:szCs w:val="22"/>
          <w:lang w:eastAsia="zh-TW"/>
        </w:rPr>
        <w:t>2.5%</w:t>
      </w:r>
      <w:r w:rsidRPr="00F93BD2">
        <w:rPr>
          <w:rFonts w:asciiTheme="majorHAnsi" w:hAnsiTheme="majorHAnsi" w:cstheme="majorHAnsi" w:hint="eastAsia"/>
          <w:b/>
          <w:color w:val="000000" w:themeColor="text1"/>
          <w:szCs w:val="22"/>
          <w:lang w:eastAsia="zh-TW"/>
        </w:rPr>
        <w:t>至</w:t>
      </w:r>
      <w:r w:rsidRPr="00F93BD2">
        <w:rPr>
          <w:rFonts w:asciiTheme="majorHAnsi" w:hAnsiTheme="majorHAnsi" w:cstheme="majorHAnsi"/>
          <w:b/>
          <w:color w:val="000000" w:themeColor="text1"/>
          <w:szCs w:val="22"/>
          <w:lang w:eastAsia="zh-TW"/>
        </w:rPr>
        <w:t>4.5%</w:t>
      </w:r>
    </w:p>
    <w:p w14:paraId="6DFA7888" w14:textId="71BB1254" w:rsidR="00BB7240" w:rsidRPr="00F93BD2" w:rsidRDefault="000663A0" w:rsidP="00C00075">
      <w:pPr>
        <w:pStyle w:val="aa"/>
        <w:numPr>
          <w:ilvl w:val="1"/>
          <w:numId w:val="13"/>
        </w:numPr>
        <w:spacing w:afterLines="50" w:after="120"/>
        <w:ind w:right="-108"/>
        <w:rPr>
          <w:rFonts w:asciiTheme="majorHAnsi" w:hAnsiTheme="majorHAnsi" w:cstheme="majorHAnsi"/>
          <w:b/>
          <w:color w:val="000000" w:themeColor="text1"/>
          <w:szCs w:val="22"/>
          <w:lang w:eastAsia="zh-TW"/>
        </w:rPr>
      </w:pPr>
      <w:r w:rsidRPr="00F93BD2">
        <w:rPr>
          <w:rFonts w:asciiTheme="majorHAnsi" w:hAnsiTheme="majorHAnsi" w:cstheme="majorHAnsi" w:hint="eastAsia"/>
          <w:b/>
          <w:color w:val="000000" w:themeColor="text1"/>
          <w:szCs w:val="22"/>
          <w:lang w:eastAsia="zh-TW"/>
        </w:rPr>
        <w:t>銷售回報率（息稅前利潤率）</w:t>
      </w:r>
      <w:r w:rsidRPr="00F93BD2">
        <w:rPr>
          <w:rFonts w:asciiTheme="majorHAnsi" w:hAnsiTheme="majorHAnsi" w:cstheme="majorHAnsi"/>
          <w:b/>
          <w:color w:val="000000" w:themeColor="text1"/>
          <w:szCs w:val="22"/>
          <w:lang w:eastAsia="zh-TW"/>
        </w:rPr>
        <w:t>*</w:t>
      </w:r>
      <w:r w:rsidRPr="00F93BD2">
        <w:rPr>
          <w:rFonts w:asciiTheme="majorHAnsi" w:hAnsiTheme="majorHAnsi" w:cstheme="majorHAnsi" w:hint="eastAsia"/>
          <w:b/>
          <w:color w:val="000000" w:themeColor="text1"/>
          <w:szCs w:val="22"/>
          <w:lang w:eastAsia="zh-TW"/>
        </w:rPr>
        <w:t>：調至</w:t>
      </w:r>
      <w:r w:rsidRPr="00F93BD2">
        <w:rPr>
          <w:rFonts w:asciiTheme="majorHAnsi" w:hAnsiTheme="majorHAnsi" w:cstheme="majorHAnsi"/>
          <w:b/>
          <w:color w:val="000000" w:themeColor="text1"/>
          <w:szCs w:val="22"/>
          <w:lang w:eastAsia="zh-TW"/>
        </w:rPr>
        <w:t>11.0%</w:t>
      </w:r>
      <w:r w:rsidRPr="00F93BD2">
        <w:rPr>
          <w:rFonts w:asciiTheme="majorHAnsi" w:hAnsiTheme="majorHAnsi" w:cstheme="majorHAnsi" w:hint="eastAsia"/>
          <w:b/>
          <w:color w:val="000000" w:themeColor="text1"/>
          <w:szCs w:val="22"/>
          <w:lang w:eastAsia="zh-TW"/>
        </w:rPr>
        <w:t>至</w:t>
      </w:r>
      <w:r w:rsidRPr="00F93BD2">
        <w:rPr>
          <w:rFonts w:asciiTheme="majorHAnsi" w:hAnsiTheme="majorHAnsi" w:cstheme="majorHAnsi"/>
          <w:b/>
          <w:color w:val="000000" w:themeColor="text1"/>
          <w:szCs w:val="22"/>
          <w:lang w:eastAsia="zh-TW"/>
        </w:rPr>
        <w:t>12.5%</w:t>
      </w:r>
    </w:p>
    <w:p w14:paraId="4D358D8D" w14:textId="1A59580A" w:rsidR="00BB7240" w:rsidRPr="00F93BD2" w:rsidRDefault="000663A0" w:rsidP="00C00075">
      <w:pPr>
        <w:pStyle w:val="aa"/>
        <w:numPr>
          <w:ilvl w:val="1"/>
          <w:numId w:val="13"/>
        </w:numPr>
        <w:spacing w:afterLines="50" w:after="120"/>
        <w:ind w:right="-108"/>
        <w:rPr>
          <w:rFonts w:asciiTheme="majorHAnsi" w:hAnsiTheme="majorHAnsi" w:cstheme="majorHAnsi"/>
          <w:b/>
          <w:color w:val="000000" w:themeColor="text1"/>
          <w:szCs w:val="22"/>
          <w:lang w:eastAsia="zh-TW"/>
        </w:rPr>
      </w:pPr>
      <w:r w:rsidRPr="00F93BD2">
        <w:rPr>
          <w:rFonts w:asciiTheme="majorHAnsi" w:hAnsiTheme="majorHAnsi" w:cstheme="majorHAnsi" w:hint="eastAsia"/>
          <w:b/>
          <w:color w:val="000000" w:themeColor="text1"/>
          <w:szCs w:val="22"/>
          <w:lang w:eastAsia="zh-TW"/>
        </w:rPr>
        <w:t>優先股每股收益</w:t>
      </w:r>
      <w:r w:rsidRPr="00F93BD2">
        <w:rPr>
          <w:rFonts w:hint="eastAsia"/>
          <w:b/>
          <w:color w:val="000000" w:themeColor="text1"/>
          <w:lang w:eastAsia="zh-TW"/>
        </w:rPr>
        <w:t>（</w:t>
      </w:r>
      <w:r w:rsidRPr="00F93BD2">
        <w:rPr>
          <w:b/>
          <w:color w:val="000000" w:themeColor="text1"/>
          <w:lang w:eastAsia="zh-TW"/>
        </w:rPr>
        <w:t>EPS</w:t>
      </w:r>
      <w:r w:rsidRPr="00F93BD2">
        <w:rPr>
          <w:rFonts w:hint="eastAsia"/>
          <w:b/>
          <w:color w:val="000000" w:themeColor="text1"/>
          <w:lang w:eastAsia="zh-TW"/>
        </w:rPr>
        <w:t>）</w:t>
      </w:r>
      <w:r w:rsidRPr="00F93BD2">
        <w:rPr>
          <w:rFonts w:asciiTheme="majorHAnsi" w:hAnsiTheme="majorHAnsi" w:cstheme="majorHAnsi"/>
          <w:b/>
          <w:color w:val="000000" w:themeColor="text1"/>
          <w:szCs w:val="22"/>
          <w:lang w:eastAsia="zh-TW"/>
        </w:rPr>
        <w:t>*</w:t>
      </w:r>
      <w:r w:rsidRPr="00F93BD2">
        <w:rPr>
          <w:rFonts w:asciiTheme="majorHAnsi" w:hAnsiTheme="majorHAnsi" w:cstheme="majorHAnsi" w:hint="eastAsia"/>
          <w:b/>
          <w:color w:val="000000" w:themeColor="text1"/>
          <w:szCs w:val="22"/>
          <w:lang w:eastAsia="zh-TW"/>
        </w:rPr>
        <w:t>：按固定匯率計算，增幅在</w:t>
      </w:r>
      <w:r w:rsidRPr="00F93BD2">
        <w:rPr>
          <w:rFonts w:asciiTheme="majorHAnsi" w:hAnsiTheme="majorHAnsi" w:cstheme="majorHAnsi"/>
          <w:b/>
          <w:color w:val="000000" w:themeColor="text1"/>
          <w:szCs w:val="22"/>
          <w:lang w:eastAsia="zh-TW"/>
        </w:rPr>
        <w:t>5%</w:t>
      </w:r>
      <w:r w:rsidRPr="00F93BD2">
        <w:rPr>
          <w:rFonts w:asciiTheme="majorHAnsi" w:hAnsiTheme="majorHAnsi" w:cstheme="majorHAnsi" w:hint="eastAsia"/>
          <w:b/>
          <w:color w:val="000000" w:themeColor="text1"/>
          <w:szCs w:val="22"/>
          <w:lang w:eastAsia="zh-TW"/>
        </w:rPr>
        <w:t>至</w:t>
      </w:r>
      <w:r w:rsidRPr="00F93BD2">
        <w:rPr>
          <w:rFonts w:asciiTheme="majorHAnsi" w:hAnsiTheme="majorHAnsi" w:cstheme="majorHAnsi"/>
          <w:b/>
          <w:color w:val="000000" w:themeColor="text1"/>
          <w:szCs w:val="22"/>
          <w:lang w:eastAsia="zh-TW"/>
        </w:rPr>
        <w:t>20%</w:t>
      </w:r>
      <w:r w:rsidRPr="00F93BD2">
        <w:rPr>
          <w:rFonts w:asciiTheme="majorHAnsi" w:hAnsiTheme="majorHAnsi" w:cstheme="majorHAnsi" w:hint="eastAsia"/>
          <w:b/>
          <w:color w:val="000000" w:themeColor="text1"/>
          <w:szCs w:val="22"/>
          <w:lang w:eastAsia="zh-TW"/>
        </w:rPr>
        <w:t>之間</w:t>
      </w:r>
    </w:p>
    <w:p w14:paraId="34CDF95F" w14:textId="77777777" w:rsidR="0001002C" w:rsidRPr="00B62DAB" w:rsidRDefault="0001002C" w:rsidP="00B350BA">
      <w:pPr>
        <w:spacing w:afterLines="50" w:after="120"/>
        <w:rPr>
          <w:rFonts w:cs="Segoe UI"/>
          <w:szCs w:val="22"/>
          <w:lang w:eastAsia="zh-TW"/>
        </w:rPr>
      </w:pPr>
    </w:p>
    <w:bookmarkEnd w:id="1"/>
    <w:p w14:paraId="4A77CB63" w14:textId="11E8FDC7" w:rsidR="00BD73FF" w:rsidRDefault="000663A0" w:rsidP="00E454C6">
      <w:pPr>
        <w:pStyle w:val="MonthDayYear"/>
        <w:spacing w:before="0"/>
        <w:jc w:val="left"/>
        <w:rPr>
          <w:rFonts w:cs="Segoe UI"/>
          <w:szCs w:val="22"/>
          <w:lang w:eastAsia="zh-TW"/>
        </w:rPr>
      </w:pPr>
      <w:r w:rsidRPr="00A00AF2">
        <w:rPr>
          <w:rFonts w:cs="Segoe UI" w:hint="eastAsia"/>
          <w:szCs w:val="22"/>
          <w:highlight w:val="yellow"/>
          <w:lang w:eastAsia="zh-TW"/>
        </w:rPr>
        <w:t>杜塞爾多夫</w:t>
      </w:r>
      <w:r>
        <w:rPr>
          <w:rFonts w:cs="Segoe UI" w:hint="eastAsia"/>
          <w:szCs w:val="22"/>
          <w:highlight w:val="yellow"/>
          <w:lang w:eastAsia="zh-TW"/>
        </w:rPr>
        <w:t>，</w:t>
      </w:r>
      <w:r w:rsidRPr="00E454C6">
        <w:rPr>
          <w:highlight w:val="yellow"/>
          <w:lang w:eastAsia="zh-TW"/>
        </w:rPr>
        <w:t>2023</w:t>
      </w:r>
      <w:r w:rsidRPr="00E454C6">
        <w:rPr>
          <w:rFonts w:hint="eastAsia"/>
          <w:highlight w:val="yellow"/>
          <w:lang w:eastAsia="zh-TW"/>
        </w:rPr>
        <w:t>年</w:t>
      </w:r>
      <w:r w:rsidRPr="00E454C6">
        <w:rPr>
          <w:highlight w:val="yellow"/>
          <w:lang w:eastAsia="zh-TW"/>
        </w:rPr>
        <w:t>8</w:t>
      </w:r>
      <w:r w:rsidRPr="00E454C6">
        <w:rPr>
          <w:rFonts w:hint="eastAsia"/>
          <w:highlight w:val="yellow"/>
          <w:lang w:eastAsia="zh-TW"/>
        </w:rPr>
        <w:t>月</w:t>
      </w:r>
      <w:r w:rsidRPr="00E454C6">
        <w:rPr>
          <w:highlight w:val="yellow"/>
          <w:lang w:eastAsia="zh-TW"/>
        </w:rPr>
        <w:t>21</w:t>
      </w:r>
      <w:r w:rsidRPr="00E454C6">
        <w:rPr>
          <w:rFonts w:hint="eastAsia"/>
          <w:highlight w:val="yellow"/>
          <w:lang w:eastAsia="zh-TW"/>
        </w:rPr>
        <w:t>日</w:t>
      </w:r>
      <w:r w:rsidRPr="00B62DAB">
        <w:rPr>
          <w:rFonts w:cs="Segoe UI"/>
          <w:szCs w:val="22"/>
          <w:lang w:eastAsia="zh-TW"/>
        </w:rPr>
        <w:t xml:space="preserve"> </w:t>
      </w:r>
      <w:proofErr w:type="gramStart"/>
      <w:r w:rsidRPr="00B62DAB">
        <w:rPr>
          <w:rFonts w:cs="Segoe UI" w:hint="eastAsia"/>
          <w:szCs w:val="22"/>
          <w:lang w:eastAsia="zh-TW"/>
        </w:rPr>
        <w:t>–</w:t>
      </w:r>
      <w:proofErr w:type="gramEnd"/>
      <w:r w:rsidRPr="00B62DAB">
        <w:rPr>
          <w:rFonts w:cs="Segoe UI"/>
          <w:szCs w:val="22"/>
          <w:lang w:eastAsia="zh-TW"/>
        </w:rPr>
        <w:t xml:space="preserve"> </w:t>
      </w:r>
      <w:r w:rsidRPr="00B62DAB">
        <w:rPr>
          <w:rFonts w:cs="Segoe UI" w:hint="eastAsia"/>
          <w:szCs w:val="22"/>
          <w:lang w:eastAsia="zh-TW"/>
        </w:rPr>
        <w:t>儘管經濟環境存在持續性的挑戰，</w:t>
      </w:r>
      <w:proofErr w:type="gramStart"/>
      <w:r w:rsidRPr="00B62DAB">
        <w:rPr>
          <w:rFonts w:cs="Segoe UI" w:hint="eastAsia"/>
          <w:szCs w:val="22"/>
          <w:lang w:eastAsia="zh-TW"/>
        </w:rPr>
        <w:t>漢高</w:t>
      </w:r>
      <w:r w:rsidRPr="00B62DAB">
        <w:rPr>
          <w:rFonts w:cs="Segoe UI"/>
          <w:szCs w:val="22"/>
          <w:lang w:eastAsia="zh-TW"/>
        </w:rPr>
        <w:t>2023</w:t>
      </w:r>
      <w:r w:rsidRPr="00B62DAB">
        <w:rPr>
          <w:rFonts w:cs="Segoe UI" w:hint="eastAsia"/>
          <w:szCs w:val="22"/>
          <w:lang w:eastAsia="zh-TW"/>
        </w:rPr>
        <w:t>年</w:t>
      </w:r>
      <w:proofErr w:type="gramEnd"/>
      <w:r w:rsidRPr="00B62DAB">
        <w:rPr>
          <w:rFonts w:cs="Segoe UI" w:hint="eastAsia"/>
          <w:szCs w:val="22"/>
          <w:lang w:eastAsia="zh-TW"/>
        </w:rPr>
        <w:t>上半年的銷售額和盈利均實現大幅增長。</w:t>
      </w:r>
    </w:p>
    <w:p w14:paraId="3E1F813E" w14:textId="77777777" w:rsidR="00E454C6" w:rsidRPr="00E454C6" w:rsidRDefault="00E454C6" w:rsidP="00E454C6">
      <w:pPr>
        <w:pStyle w:val="MonthDayYear"/>
        <w:spacing w:before="0"/>
        <w:jc w:val="left"/>
        <w:rPr>
          <w:iCs/>
          <w:lang w:eastAsia="zh-TW"/>
        </w:rPr>
      </w:pPr>
    </w:p>
    <w:p w14:paraId="0802E31B" w14:textId="13C62A6D" w:rsidR="00E454C6" w:rsidRDefault="000663A0" w:rsidP="00B350BA">
      <w:pPr>
        <w:spacing w:afterLines="50" w:after="120"/>
        <w:rPr>
          <w:rFonts w:cs="Segoe UI"/>
          <w:szCs w:val="22"/>
          <w:lang w:eastAsia="zh-TW"/>
        </w:rPr>
      </w:pPr>
      <w:proofErr w:type="gramStart"/>
      <w:r w:rsidRPr="00B62DAB">
        <w:rPr>
          <w:rFonts w:cs="Segoe UI" w:hint="eastAsia"/>
          <w:szCs w:val="22"/>
          <w:lang w:eastAsia="zh-TW"/>
        </w:rPr>
        <w:t>漢高首席</w:t>
      </w:r>
      <w:proofErr w:type="gramEnd"/>
      <w:r w:rsidRPr="00B62DAB">
        <w:rPr>
          <w:rFonts w:cs="Segoe UI" w:hint="eastAsia"/>
          <w:szCs w:val="22"/>
          <w:lang w:eastAsia="zh-TW"/>
        </w:rPr>
        <w:t>執行官卡斯</w:t>
      </w:r>
      <w:proofErr w:type="gramStart"/>
      <w:r w:rsidRPr="00B62DAB">
        <w:rPr>
          <w:rFonts w:cs="Segoe UI" w:hint="eastAsia"/>
          <w:szCs w:val="22"/>
          <w:lang w:eastAsia="zh-TW"/>
        </w:rPr>
        <w:t>滕·</w:t>
      </w:r>
      <w:proofErr w:type="gramEnd"/>
      <w:r w:rsidRPr="00B62DAB">
        <w:rPr>
          <w:rFonts w:cs="Segoe UI" w:hint="eastAsia"/>
          <w:szCs w:val="22"/>
          <w:lang w:eastAsia="zh-TW"/>
        </w:rPr>
        <w:t>諾貝爾（</w:t>
      </w:r>
      <w:r w:rsidRPr="00B62DAB">
        <w:rPr>
          <w:rFonts w:cs="Segoe UI"/>
          <w:szCs w:val="22"/>
          <w:lang w:eastAsia="zh-TW"/>
        </w:rPr>
        <w:t xml:space="preserve">Carsten </w:t>
      </w:r>
      <w:proofErr w:type="spellStart"/>
      <w:r w:rsidRPr="00B62DAB">
        <w:rPr>
          <w:rFonts w:cs="Segoe UI"/>
          <w:szCs w:val="22"/>
          <w:lang w:eastAsia="zh-TW"/>
        </w:rPr>
        <w:t>Knobel</w:t>
      </w:r>
      <w:proofErr w:type="spellEnd"/>
      <w:r w:rsidRPr="00B62DAB">
        <w:rPr>
          <w:rFonts w:cs="Segoe UI" w:hint="eastAsia"/>
          <w:szCs w:val="22"/>
          <w:lang w:eastAsia="zh-TW"/>
        </w:rPr>
        <w:t>）表示：“兩個業務部</w:t>
      </w:r>
      <w:r>
        <w:rPr>
          <w:rFonts w:cs="Segoe UI" w:hint="eastAsia"/>
          <w:szCs w:val="22"/>
          <w:lang w:eastAsia="zh-TW"/>
        </w:rPr>
        <w:t>門</w:t>
      </w:r>
      <w:r w:rsidRPr="00B62DAB">
        <w:rPr>
          <w:rFonts w:cs="Segoe UI" w:hint="eastAsia"/>
          <w:szCs w:val="22"/>
          <w:lang w:eastAsia="zh-TW"/>
        </w:rPr>
        <w:t>均取得非常強勁的增長。與此同時，儘管原材料和</w:t>
      </w:r>
      <w:proofErr w:type="gramStart"/>
      <w:r w:rsidRPr="00B62DAB">
        <w:rPr>
          <w:rFonts w:cs="Segoe UI" w:hint="eastAsia"/>
          <w:szCs w:val="22"/>
          <w:lang w:eastAsia="zh-TW"/>
        </w:rPr>
        <w:t>物流</w:t>
      </w:r>
      <w:proofErr w:type="gramEnd"/>
      <w:r>
        <w:rPr>
          <w:rFonts w:cs="Segoe UI" w:hint="eastAsia"/>
          <w:szCs w:val="22"/>
          <w:lang w:eastAsia="zh-TW"/>
        </w:rPr>
        <w:t>成本高漲</w:t>
      </w:r>
      <w:r w:rsidRPr="00B62DAB">
        <w:rPr>
          <w:rFonts w:cs="Segoe UI" w:hint="eastAsia"/>
          <w:szCs w:val="22"/>
          <w:lang w:eastAsia="zh-TW"/>
        </w:rPr>
        <w:t>的不利因素持續存在，我們仍成功實現了盈利能力的顯著提升。基於上半年的強勁業績表現，我們對今年餘下時間充滿信心，並大幅上調了</w:t>
      </w:r>
      <w:r>
        <w:rPr>
          <w:rFonts w:cs="Segoe UI" w:hint="eastAsia"/>
          <w:szCs w:val="22"/>
          <w:lang w:eastAsia="zh-TW"/>
        </w:rPr>
        <w:t>對</w:t>
      </w:r>
      <w:r w:rsidRPr="00B62DAB">
        <w:rPr>
          <w:rFonts w:cs="Segoe UI" w:hint="eastAsia"/>
          <w:szCs w:val="22"/>
          <w:lang w:eastAsia="zh-TW"/>
        </w:rPr>
        <w:t>銷售額和盈利</w:t>
      </w:r>
      <w:r>
        <w:rPr>
          <w:rFonts w:cs="Segoe UI" w:hint="eastAsia"/>
          <w:szCs w:val="22"/>
          <w:lang w:eastAsia="zh-TW"/>
        </w:rPr>
        <w:t>的</w:t>
      </w:r>
      <w:r w:rsidRPr="00B62DAB">
        <w:rPr>
          <w:rFonts w:cs="Segoe UI" w:hint="eastAsia"/>
          <w:b/>
          <w:bCs/>
          <w:szCs w:val="22"/>
          <w:lang w:eastAsia="zh-TW"/>
        </w:rPr>
        <w:t>全年預期</w:t>
      </w:r>
      <w:r w:rsidRPr="00B62DAB">
        <w:rPr>
          <w:rFonts w:cs="Segoe UI" w:hint="eastAsia"/>
          <w:szCs w:val="22"/>
          <w:lang w:eastAsia="zh-TW"/>
        </w:rPr>
        <w:t>。”</w:t>
      </w:r>
    </w:p>
    <w:p w14:paraId="6D9BAA69" w14:textId="77777777" w:rsidR="00E454C6" w:rsidRPr="00B62DAB" w:rsidRDefault="00E454C6" w:rsidP="00B350BA">
      <w:pPr>
        <w:spacing w:afterLines="50" w:after="120"/>
        <w:rPr>
          <w:rFonts w:cs="Segoe UI"/>
          <w:szCs w:val="22"/>
          <w:lang w:eastAsia="zh-TW"/>
        </w:rPr>
      </w:pPr>
    </w:p>
    <w:p w14:paraId="2EDD812C" w14:textId="6C41E8CC" w:rsidR="00F210C5" w:rsidRPr="00B62DAB" w:rsidRDefault="000663A0" w:rsidP="00B350BA">
      <w:pPr>
        <w:spacing w:afterLines="50" w:after="120"/>
        <w:rPr>
          <w:rFonts w:cs="Segoe UI"/>
          <w:szCs w:val="22"/>
          <w:lang w:eastAsia="zh-TW"/>
        </w:rPr>
      </w:pPr>
      <w:r w:rsidRPr="00B62DAB">
        <w:rPr>
          <w:rFonts w:cs="Segoe UI" w:hint="eastAsia"/>
          <w:szCs w:val="22"/>
          <w:lang w:eastAsia="zh-TW"/>
        </w:rPr>
        <w:t>卡斯</w:t>
      </w:r>
      <w:proofErr w:type="gramStart"/>
      <w:r w:rsidRPr="00B62DAB">
        <w:rPr>
          <w:rFonts w:cs="Segoe UI" w:hint="eastAsia"/>
          <w:szCs w:val="22"/>
          <w:lang w:eastAsia="zh-TW"/>
        </w:rPr>
        <w:t>滕·</w:t>
      </w:r>
      <w:proofErr w:type="gramEnd"/>
      <w:r w:rsidRPr="00B62DAB">
        <w:rPr>
          <w:rFonts w:cs="Segoe UI" w:hint="eastAsia"/>
          <w:szCs w:val="22"/>
          <w:lang w:eastAsia="zh-TW"/>
        </w:rPr>
        <w:t>諾貝爾解釋道：“今年上半年，我們在實施</w:t>
      </w:r>
      <w:r w:rsidRPr="00B62DAB">
        <w:rPr>
          <w:rFonts w:cs="Segoe UI" w:hint="eastAsia"/>
          <w:b/>
          <w:bCs/>
          <w:szCs w:val="22"/>
          <w:lang w:eastAsia="zh-TW"/>
        </w:rPr>
        <w:t>戰略增長議程</w:t>
      </w:r>
      <w:r w:rsidRPr="00B62DAB">
        <w:rPr>
          <w:rFonts w:cs="Segoe UI" w:hint="eastAsia"/>
          <w:szCs w:val="22"/>
          <w:lang w:eastAsia="zh-TW"/>
        </w:rPr>
        <w:t>方面也取得了良好進展。消費品牌業務部的整合工作比原計劃推進得更快。與此同時，我們不斷完善產品組合，持續向高利潤、高增長的品牌和產品靠攏。這也體現在該業務部</w:t>
      </w:r>
      <w:r>
        <w:rPr>
          <w:rFonts w:cs="Segoe UI" w:hint="eastAsia"/>
          <w:szCs w:val="22"/>
          <w:lang w:eastAsia="zh-TW"/>
        </w:rPr>
        <w:t>門</w:t>
      </w:r>
      <w:r w:rsidRPr="00B62DAB">
        <w:rPr>
          <w:rFonts w:cs="Segoe UI" w:hint="eastAsia"/>
          <w:szCs w:val="22"/>
          <w:lang w:eastAsia="zh-TW"/>
        </w:rPr>
        <w:t>的盈利上。我們正在調整粘合劑技術業務部的組織架構，使其更加貼近我們的客戶群，以擴大我們的全球領先地位，並進一步鞏固</w:t>
      </w:r>
      <w:r w:rsidRPr="00B62DAB">
        <w:rPr>
          <w:rFonts w:cs="Segoe UI" w:hint="eastAsia"/>
          <w:szCs w:val="22"/>
          <w:lang w:eastAsia="zh-TW"/>
        </w:rPr>
        <w:lastRenderedPageBreak/>
        <w:t>增長勢頭。</w:t>
      </w:r>
      <w:proofErr w:type="gramStart"/>
      <w:r w:rsidRPr="00B62DAB">
        <w:rPr>
          <w:rFonts w:cs="Segoe UI" w:hint="eastAsia"/>
          <w:szCs w:val="22"/>
          <w:lang w:eastAsia="zh-TW"/>
        </w:rPr>
        <w:t>此外，</w:t>
      </w:r>
      <w:proofErr w:type="gramEnd"/>
      <w:r w:rsidRPr="00B62DAB">
        <w:rPr>
          <w:rFonts w:cs="Segoe UI" w:hint="eastAsia"/>
          <w:szCs w:val="22"/>
          <w:lang w:eastAsia="zh-TW"/>
        </w:rPr>
        <w:t>我們正在積極推進</w:t>
      </w:r>
      <w:r>
        <w:rPr>
          <w:rFonts w:cs="Segoe UI" w:hint="eastAsia"/>
          <w:szCs w:val="22"/>
          <w:lang w:eastAsia="zh-TW"/>
        </w:rPr>
        <w:t>永續發展</w:t>
      </w:r>
      <w:r w:rsidRPr="00B62DAB">
        <w:rPr>
          <w:rFonts w:cs="Segoe UI" w:hint="eastAsia"/>
          <w:szCs w:val="22"/>
          <w:lang w:eastAsia="zh-TW"/>
        </w:rPr>
        <w:t>和</w:t>
      </w:r>
      <w:r>
        <w:rPr>
          <w:rFonts w:cs="Segoe UI" w:hint="eastAsia"/>
          <w:szCs w:val="22"/>
          <w:lang w:eastAsia="zh-TW"/>
        </w:rPr>
        <w:t>數位化</w:t>
      </w:r>
      <w:r w:rsidRPr="00B62DAB">
        <w:rPr>
          <w:rFonts w:cs="Segoe UI" w:hint="eastAsia"/>
          <w:szCs w:val="22"/>
          <w:lang w:eastAsia="zh-TW"/>
        </w:rPr>
        <w:t>領域的重要舉措，以進一步增強我們的競爭優勢。”</w:t>
      </w:r>
    </w:p>
    <w:p w14:paraId="7C1E5D01" w14:textId="77777777" w:rsidR="00CD25D3" w:rsidRDefault="00CD25D3" w:rsidP="00B350BA">
      <w:pPr>
        <w:spacing w:afterLines="50" w:after="120"/>
        <w:ind w:right="-108"/>
        <w:jc w:val="left"/>
        <w:rPr>
          <w:b/>
          <w:lang w:eastAsia="zh-TW"/>
        </w:rPr>
      </w:pPr>
    </w:p>
    <w:p w14:paraId="079BEF04" w14:textId="7B48EA38" w:rsidR="0009628B" w:rsidRPr="00E454C6" w:rsidRDefault="000663A0" w:rsidP="00B350BA">
      <w:pPr>
        <w:spacing w:afterLines="50" w:after="120"/>
        <w:ind w:right="-108"/>
        <w:jc w:val="left"/>
        <w:rPr>
          <w:rFonts w:cs="Segoe UI"/>
          <w:b/>
          <w:bCs/>
          <w:sz w:val="28"/>
          <w:szCs w:val="28"/>
          <w:lang w:eastAsia="zh-TW"/>
        </w:rPr>
      </w:pPr>
      <w:r w:rsidRPr="00E454C6">
        <w:rPr>
          <w:rFonts w:hint="eastAsia"/>
          <w:b/>
          <w:sz w:val="28"/>
          <w:szCs w:val="28"/>
          <w:lang w:eastAsia="zh-TW"/>
        </w:rPr>
        <w:t>漢高上調</w:t>
      </w:r>
      <w:r w:rsidRPr="00E454C6">
        <w:rPr>
          <w:b/>
          <w:sz w:val="28"/>
          <w:szCs w:val="28"/>
          <w:lang w:eastAsia="zh-TW"/>
        </w:rPr>
        <w:t>2023</w:t>
      </w:r>
      <w:proofErr w:type="gramStart"/>
      <w:r w:rsidRPr="00E454C6">
        <w:rPr>
          <w:rFonts w:hint="eastAsia"/>
          <w:b/>
          <w:sz w:val="28"/>
          <w:szCs w:val="28"/>
          <w:lang w:eastAsia="zh-TW"/>
        </w:rPr>
        <w:t>財年展望</w:t>
      </w:r>
      <w:proofErr w:type="gramEnd"/>
    </w:p>
    <w:p w14:paraId="50181730" w14:textId="294AF488" w:rsidR="0009628B" w:rsidRPr="00B62DAB" w:rsidRDefault="000663A0" w:rsidP="00B350BA">
      <w:pPr>
        <w:spacing w:afterLines="50" w:after="120"/>
        <w:rPr>
          <w:rFonts w:cs="Segoe UI"/>
          <w:szCs w:val="22"/>
          <w:lang w:eastAsia="zh-TW"/>
        </w:rPr>
      </w:pPr>
      <w:r w:rsidRPr="00B62DAB">
        <w:rPr>
          <w:rFonts w:hint="eastAsia"/>
          <w:lang w:eastAsia="zh-TW"/>
        </w:rPr>
        <w:t>在集團層面，漢高現在預計</w:t>
      </w:r>
      <w:r w:rsidRPr="00B62DAB">
        <w:rPr>
          <w:lang w:eastAsia="zh-TW"/>
        </w:rPr>
        <w:t>2023</w:t>
      </w:r>
      <w:proofErr w:type="gramStart"/>
      <w:r w:rsidRPr="00B62DAB">
        <w:rPr>
          <w:rFonts w:hint="eastAsia"/>
          <w:lang w:eastAsia="zh-TW"/>
        </w:rPr>
        <w:t>財年</w:t>
      </w:r>
      <w:r w:rsidRPr="00B62DAB">
        <w:rPr>
          <w:rFonts w:hint="eastAsia"/>
          <w:b/>
          <w:bCs/>
          <w:lang w:eastAsia="zh-TW"/>
        </w:rPr>
        <w:t>有機</w:t>
      </w:r>
      <w:proofErr w:type="gramEnd"/>
      <w:r w:rsidRPr="00B62DAB">
        <w:rPr>
          <w:rFonts w:hint="eastAsia"/>
          <w:b/>
          <w:bCs/>
          <w:lang w:eastAsia="zh-TW"/>
        </w:rPr>
        <w:t>銷售額增長</w:t>
      </w:r>
      <w:r w:rsidRPr="00B62DAB">
        <w:rPr>
          <w:lang w:eastAsia="zh-TW"/>
        </w:rPr>
        <w:t>2.5%</w:t>
      </w:r>
      <w:r w:rsidRPr="00B62DAB">
        <w:rPr>
          <w:rFonts w:hint="eastAsia"/>
          <w:lang w:eastAsia="zh-TW"/>
        </w:rPr>
        <w:t>至</w:t>
      </w:r>
      <w:r w:rsidRPr="00B62DAB">
        <w:rPr>
          <w:lang w:eastAsia="zh-TW"/>
        </w:rPr>
        <w:t>4.5%</w:t>
      </w:r>
      <w:proofErr w:type="gramStart"/>
      <w:r w:rsidRPr="00B62DAB">
        <w:rPr>
          <w:rFonts w:hint="eastAsia"/>
          <w:lang w:eastAsia="zh-TW"/>
        </w:rPr>
        <w:t>（</w:t>
      </w:r>
      <w:proofErr w:type="gramEnd"/>
      <w:r w:rsidRPr="00B62DAB">
        <w:rPr>
          <w:rFonts w:hint="eastAsia"/>
          <w:lang w:eastAsia="zh-TW"/>
        </w:rPr>
        <w:t>此前為：</w:t>
      </w:r>
      <w:r w:rsidRPr="00B62DAB">
        <w:rPr>
          <w:lang w:eastAsia="zh-TW"/>
        </w:rPr>
        <w:t>1.0%</w:t>
      </w:r>
      <w:r>
        <w:rPr>
          <w:rFonts w:hint="eastAsia"/>
          <w:lang w:eastAsia="zh-TW"/>
        </w:rPr>
        <w:t>至</w:t>
      </w:r>
      <w:r w:rsidRPr="00B62DAB">
        <w:rPr>
          <w:lang w:eastAsia="zh-TW"/>
        </w:rPr>
        <w:t>3.0%</w:t>
      </w:r>
      <w:r w:rsidRPr="00B62DAB">
        <w:rPr>
          <w:rFonts w:hint="eastAsia"/>
          <w:lang w:eastAsia="zh-TW"/>
        </w:rPr>
        <w:t>）。對於</w:t>
      </w:r>
      <w:r w:rsidRPr="00B14B02">
        <w:rPr>
          <w:rFonts w:hint="eastAsia"/>
          <w:lang w:eastAsia="zh-TW"/>
        </w:rPr>
        <w:t>粘合劑技術</w:t>
      </w:r>
      <w:r w:rsidRPr="00B62DAB">
        <w:rPr>
          <w:rFonts w:hint="eastAsia"/>
          <w:lang w:eastAsia="zh-TW"/>
        </w:rPr>
        <w:t>業務部，漢高預計有機銷售額增長</w:t>
      </w:r>
      <w:r w:rsidRPr="00B62DAB">
        <w:rPr>
          <w:lang w:eastAsia="zh-TW"/>
        </w:rPr>
        <w:t>2.0%</w:t>
      </w:r>
      <w:r w:rsidRPr="00B62DAB">
        <w:rPr>
          <w:rFonts w:hint="eastAsia"/>
          <w:lang w:eastAsia="zh-TW"/>
        </w:rPr>
        <w:t>至</w:t>
      </w:r>
      <w:r w:rsidRPr="00B62DAB">
        <w:rPr>
          <w:lang w:eastAsia="zh-TW"/>
        </w:rPr>
        <w:t>4.0%</w:t>
      </w:r>
      <w:r w:rsidRPr="00B62DAB">
        <w:rPr>
          <w:rFonts w:hint="eastAsia"/>
          <w:lang w:eastAsia="zh-TW"/>
        </w:rPr>
        <w:t>（此前為：</w:t>
      </w:r>
      <w:r w:rsidRPr="00B62DAB">
        <w:rPr>
          <w:lang w:eastAsia="zh-TW"/>
        </w:rPr>
        <w:t>1.0%</w:t>
      </w:r>
      <w:r>
        <w:rPr>
          <w:rFonts w:hint="eastAsia"/>
          <w:lang w:eastAsia="zh-TW"/>
        </w:rPr>
        <w:t>至</w:t>
      </w:r>
      <w:r w:rsidRPr="00B62DAB">
        <w:rPr>
          <w:lang w:eastAsia="zh-TW"/>
        </w:rPr>
        <w:t>3.0%</w:t>
      </w:r>
      <w:r w:rsidRPr="00B62DAB">
        <w:rPr>
          <w:rFonts w:hint="eastAsia"/>
          <w:lang w:eastAsia="zh-TW"/>
        </w:rPr>
        <w:t>），而</w:t>
      </w:r>
      <w:r>
        <w:rPr>
          <w:rFonts w:hint="eastAsia"/>
          <w:lang w:eastAsia="zh-TW"/>
        </w:rPr>
        <w:t>對於</w:t>
      </w:r>
      <w:r w:rsidRPr="00B62DAB">
        <w:rPr>
          <w:rFonts w:hint="eastAsia"/>
          <w:lang w:eastAsia="zh-TW"/>
        </w:rPr>
        <w:t>消費品牌業務部</w:t>
      </w:r>
      <w:r>
        <w:rPr>
          <w:rFonts w:hint="eastAsia"/>
          <w:lang w:eastAsia="zh-TW"/>
        </w:rPr>
        <w:t>，</w:t>
      </w:r>
      <w:r w:rsidRPr="00B62DAB">
        <w:rPr>
          <w:rFonts w:hint="eastAsia"/>
          <w:lang w:eastAsia="zh-TW"/>
        </w:rPr>
        <w:t>預計有機銷售額增長</w:t>
      </w:r>
      <w:r w:rsidRPr="00B62DAB">
        <w:rPr>
          <w:lang w:eastAsia="zh-TW"/>
        </w:rPr>
        <w:t>3.0%</w:t>
      </w:r>
      <w:r w:rsidRPr="00B62DAB">
        <w:rPr>
          <w:rFonts w:hint="eastAsia"/>
          <w:lang w:eastAsia="zh-TW"/>
        </w:rPr>
        <w:t>至</w:t>
      </w:r>
      <w:r w:rsidRPr="00B62DAB">
        <w:rPr>
          <w:lang w:eastAsia="zh-TW"/>
        </w:rPr>
        <w:t>5.0%</w:t>
      </w:r>
      <w:r w:rsidRPr="00B62DAB">
        <w:rPr>
          <w:rFonts w:hint="eastAsia"/>
          <w:lang w:eastAsia="zh-TW"/>
        </w:rPr>
        <w:t>（此前為：</w:t>
      </w:r>
      <w:r w:rsidRPr="00B62DAB">
        <w:rPr>
          <w:lang w:eastAsia="zh-TW"/>
        </w:rPr>
        <w:t>1.0%</w:t>
      </w:r>
      <w:r>
        <w:rPr>
          <w:rFonts w:hint="eastAsia"/>
          <w:lang w:eastAsia="zh-TW"/>
        </w:rPr>
        <w:t>至</w:t>
      </w:r>
      <w:r w:rsidRPr="00B62DAB">
        <w:rPr>
          <w:lang w:eastAsia="zh-TW"/>
        </w:rPr>
        <w:t>3.0%</w:t>
      </w:r>
      <w:r w:rsidRPr="00B62DAB">
        <w:rPr>
          <w:rFonts w:hint="eastAsia"/>
          <w:lang w:eastAsia="zh-TW"/>
        </w:rPr>
        <w:t>）。在集團層面，</w:t>
      </w:r>
      <w:r w:rsidRPr="00B62DAB">
        <w:rPr>
          <w:rFonts w:hint="eastAsia"/>
          <w:b/>
          <w:bCs/>
          <w:lang w:eastAsia="zh-TW"/>
        </w:rPr>
        <w:t>調整後的銷售回報率（息稅前利潤率）</w:t>
      </w:r>
      <w:r w:rsidRPr="00B62DAB">
        <w:rPr>
          <w:rFonts w:hint="eastAsia"/>
          <w:lang w:eastAsia="zh-TW"/>
        </w:rPr>
        <w:t>預計為</w:t>
      </w:r>
      <w:r w:rsidRPr="00B62DAB">
        <w:rPr>
          <w:lang w:eastAsia="zh-TW"/>
        </w:rPr>
        <w:t>11.0%</w:t>
      </w:r>
      <w:r w:rsidRPr="00B62DAB">
        <w:rPr>
          <w:rFonts w:hint="eastAsia"/>
          <w:lang w:eastAsia="zh-TW"/>
        </w:rPr>
        <w:t>至</w:t>
      </w:r>
      <w:r w:rsidRPr="00B62DAB">
        <w:rPr>
          <w:lang w:eastAsia="zh-TW"/>
        </w:rPr>
        <w:t>12.5%</w:t>
      </w:r>
      <w:r w:rsidRPr="00B62DAB">
        <w:rPr>
          <w:rFonts w:hint="eastAsia"/>
          <w:lang w:eastAsia="zh-TW"/>
        </w:rPr>
        <w:t>（此前為：</w:t>
      </w:r>
      <w:r w:rsidRPr="00B62DAB">
        <w:rPr>
          <w:lang w:eastAsia="zh-TW"/>
        </w:rPr>
        <w:t>10.0%</w:t>
      </w:r>
      <w:r w:rsidRPr="00B62DAB">
        <w:rPr>
          <w:rFonts w:hint="eastAsia"/>
          <w:lang w:eastAsia="zh-TW"/>
        </w:rPr>
        <w:t>至</w:t>
      </w:r>
      <w:r w:rsidRPr="00B62DAB">
        <w:rPr>
          <w:lang w:eastAsia="zh-TW"/>
        </w:rPr>
        <w:t>12.0%</w:t>
      </w:r>
      <w:r w:rsidRPr="00B62DAB">
        <w:rPr>
          <w:rFonts w:hint="eastAsia"/>
          <w:lang w:eastAsia="zh-TW"/>
        </w:rPr>
        <w:t>）。對於粘合劑技術業務部，漢高預計調整後的銷售回報率為</w:t>
      </w:r>
      <w:r w:rsidRPr="00B62DAB">
        <w:rPr>
          <w:lang w:eastAsia="zh-TW"/>
        </w:rPr>
        <w:t>13.5%</w:t>
      </w:r>
      <w:r w:rsidRPr="00B62DAB">
        <w:rPr>
          <w:rFonts w:hint="eastAsia"/>
          <w:lang w:eastAsia="zh-TW"/>
        </w:rPr>
        <w:t>至</w:t>
      </w:r>
      <w:r w:rsidRPr="00B62DAB">
        <w:rPr>
          <w:lang w:eastAsia="zh-TW"/>
        </w:rPr>
        <w:t>15.0%</w:t>
      </w:r>
      <w:r w:rsidRPr="00B62DAB">
        <w:rPr>
          <w:rFonts w:hint="eastAsia"/>
          <w:lang w:eastAsia="zh-TW"/>
        </w:rPr>
        <w:t>（此前為：</w:t>
      </w:r>
      <w:r w:rsidRPr="00B62DAB">
        <w:rPr>
          <w:lang w:eastAsia="zh-TW"/>
        </w:rPr>
        <w:t>13.0%</w:t>
      </w:r>
      <w:r w:rsidRPr="00B62DAB">
        <w:rPr>
          <w:rFonts w:hint="eastAsia"/>
          <w:lang w:eastAsia="zh-TW"/>
        </w:rPr>
        <w:t>至</w:t>
      </w:r>
      <w:r w:rsidRPr="00B62DAB">
        <w:rPr>
          <w:lang w:eastAsia="zh-TW"/>
        </w:rPr>
        <w:t>15.0%</w:t>
      </w:r>
      <w:r w:rsidRPr="00B62DAB">
        <w:rPr>
          <w:rFonts w:hint="eastAsia"/>
          <w:lang w:eastAsia="zh-TW"/>
        </w:rPr>
        <w:t>），而</w:t>
      </w:r>
      <w:r>
        <w:rPr>
          <w:rFonts w:hint="eastAsia"/>
          <w:lang w:eastAsia="zh-TW"/>
        </w:rPr>
        <w:t>對於</w:t>
      </w:r>
      <w:r w:rsidRPr="00B62DAB">
        <w:rPr>
          <w:rFonts w:hint="eastAsia"/>
          <w:lang w:eastAsia="zh-TW"/>
        </w:rPr>
        <w:t>消費品牌業務部</w:t>
      </w:r>
      <w:r>
        <w:rPr>
          <w:rFonts w:hint="eastAsia"/>
          <w:lang w:eastAsia="zh-TW"/>
        </w:rPr>
        <w:t>，</w:t>
      </w:r>
      <w:r w:rsidRPr="00B62DAB">
        <w:rPr>
          <w:rFonts w:hint="eastAsia"/>
          <w:lang w:eastAsia="zh-TW"/>
        </w:rPr>
        <w:t>預計調整後的銷售回報率為</w:t>
      </w:r>
      <w:r w:rsidRPr="00B62DAB">
        <w:rPr>
          <w:lang w:eastAsia="zh-TW"/>
        </w:rPr>
        <w:t>9.5%</w:t>
      </w:r>
      <w:r w:rsidRPr="00B62DAB">
        <w:rPr>
          <w:rFonts w:hint="eastAsia"/>
          <w:lang w:eastAsia="zh-TW"/>
        </w:rPr>
        <w:t>至</w:t>
      </w:r>
      <w:r w:rsidRPr="00B62DAB">
        <w:rPr>
          <w:lang w:eastAsia="zh-TW"/>
        </w:rPr>
        <w:t>11.0%</w:t>
      </w:r>
      <w:r w:rsidRPr="00B62DAB">
        <w:rPr>
          <w:rFonts w:hint="eastAsia"/>
          <w:lang w:eastAsia="zh-TW"/>
        </w:rPr>
        <w:t>（此前為：</w:t>
      </w:r>
      <w:r w:rsidRPr="00B62DAB">
        <w:rPr>
          <w:lang w:eastAsia="zh-TW"/>
        </w:rPr>
        <w:t>7.5%</w:t>
      </w:r>
      <w:r w:rsidRPr="00B62DAB">
        <w:rPr>
          <w:rFonts w:hint="eastAsia"/>
          <w:lang w:eastAsia="zh-TW"/>
        </w:rPr>
        <w:t>至</w:t>
      </w:r>
      <w:r w:rsidRPr="00B62DAB">
        <w:rPr>
          <w:lang w:eastAsia="zh-TW"/>
        </w:rPr>
        <w:t>9.5%</w:t>
      </w:r>
      <w:r w:rsidRPr="00B62DAB">
        <w:rPr>
          <w:rFonts w:hint="eastAsia"/>
          <w:lang w:eastAsia="zh-TW"/>
        </w:rPr>
        <w:t>）。對於按固定匯率計算的</w:t>
      </w:r>
      <w:r w:rsidRPr="00B62DAB">
        <w:rPr>
          <w:rFonts w:hint="eastAsia"/>
          <w:b/>
          <w:bCs/>
          <w:lang w:eastAsia="zh-TW"/>
        </w:rPr>
        <w:t>調整後優先股每股收益（</w:t>
      </w:r>
      <w:r w:rsidRPr="00B62DAB">
        <w:rPr>
          <w:b/>
          <w:bCs/>
          <w:lang w:eastAsia="zh-TW"/>
        </w:rPr>
        <w:t>EPS</w:t>
      </w:r>
      <w:r w:rsidRPr="00B62DAB">
        <w:rPr>
          <w:rFonts w:hint="eastAsia"/>
          <w:b/>
          <w:bCs/>
          <w:lang w:eastAsia="zh-TW"/>
        </w:rPr>
        <w:t>）</w:t>
      </w:r>
      <w:r w:rsidRPr="00B62DAB">
        <w:rPr>
          <w:rFonts w:hint="eastAsia"/>
          <w:lang w:eastAsia="zh-TW"/>
        </w:rPr>
        <w:t>，漢高現在預計增長幅度為</w:t>
      </w:r>
      <w:r w:rsidRPr="00B62DAB">
        <w:rPr>
          <w:lang w:eastAsia="zh-TW"/>
        </w:rPr>
        <w:t>5%</w:t>
      </w:r>
      <w:r w:rsidRPr="00B62DAB">
        <w:rPr>
          <w:rFonts w:hint="eastAsia"/>
          <w:lang w:eastAsia="zh-TW"/>
        </w:rPr>
        <w:t>至</w:t>
      </w:r>
      <w:r w:rsidRPr="00B62DAB">
        <w:rPr>
          <w:lang w:eastAsia="zh-TW"/>
        </w:rPr>
        <w:t>20%</w:t>
      </w:r>
      <w:r w:rsidRPr="00B62DAB">
        <w:rPr>
          <w:rFonts w:hint="eastAsia"/>
          <w:lang w:eastAsia="zh-TW"/>
        </w:rPr>
        <w:t>（此前為：</w:t>
      </w:r>
      <w:r w:rsidRPr="00B62DAB">
        <w:rPr>
          <w:lang w:eastAsia="zh-TW"/>
        </w:rPr>
        <w:t>-10%</w:t>
      </w:r>
      <w:r w:rsidRPr="00B62DAB">
        <w:rPr>
          <w:rFonts w:hint="eastAsia"/>
          <w:lang w:eastAsia="zh-TW"/>
        </w:rPr>
        <w:t>至</w:t>
      </w:r>
      <w:r w:rsidRPr="00B62DAB">
        <w:rPr>
          <w:lang w:eastAsia="zh-TW"/>
        </w:rPr>
        <w:t>10%</w:t>
      </w:r>
      <w:r w:rsidRPr="00B62DAB">
        <w:rPr>
          <w:rFonts w:hint="eastAsia"/>
          <w:lang w:eastAsia="zh-TW"/>
        </w:rPr>
        <w:t>）。</w:t>
      </w:r>
    </w:p>
    <w:p w14:paraId="2BC91BDA" w14:textId="77777777" w:rsidR="00C00075" w:rsidRDefault="00C00075" w:rsidP="00B350BA">
      <w:pPr>
        <w:spacing w:afterLines="50" w:after="120"/>
        <w:jc w:val="left"/>
        <w:rPr>
          <w:b/>
          <w:lang w:eastAsia="zh-TW"/>
        </w:rPr>
      </w:pPr>
    </w:p>
    <w:p w14:paraId="24E7A75F" w14:textId="0AFA625C" w:rsidR="0009628B" w:rsidRPr="00E454C6" w:rsidRDefault="000663A0" w:rsidP="00B350BA">
      <w:pPr>
        <w:spacing w:afterLines="50" w:after="120"/>
        <w:jc w:val="left"/>
        <w:rPr>
          <w:rFonts w:cs="Segoe UI"/>
          <w:b/>
          <w:bCs/>
          <w:sz w:val="28"/>
          <w:szCs w:val="28"/>
          <w:lang w:eastAsia="zh-TW"/>
        </w:rPr>
      </w:pPr>
      <w:r w:rsidRPr="00E454C6">
        <w:rPr>
          <w:b/>
          <w:sz w:val="28"/>
          <w:szCs w:val="28"/>
          <w:lang w:eastAsia="zh-TW"/>
        </w:rPr>
        <w:t>2023</w:t>
      </w:r>
      <w:r w:rsidRPr="00E454C6">
        <w:rPr>
          <w:rFonts w:hint="eastAsia"/>
          <w:b/>
          <w:sz w:val="28"/>
          <w:szCs w:val="28"/>
          <w:lang w:eastAsia="zh-TW"/>
        </w:rPr>
        <w:t>年上半年的銷售額和盈利情況</w:t>
      </w:r>
    </w:p>
    <w:p w14:paraId="0FBEE9C3" w14:textId="2BE1165C" w:rsidR="0009628B" w:rsidRDefault="000663A0" w:rsidP="00B350BA">
      <w:pPr>
        <w:spacing w:afterLines="50" w:after="120"/>
        <w:rPr>
          <w:lang w:eastAsia="zh-TW"/>
        </w:rPr>
      </w:pPr>
      <w:r w:rsidRPr="00B62DAB">
        <w:rPr>
          <w:lang w:eastAsia="zh-TW"/>
        </w:rPr>
        <w:t>2023</w:t>
      </w:r>
      <w:r w:rsidRPr="00B62DAB">
        <w:rPr>
          <w:rFonts w:hint="eastAsia"/>
          <w:lang w:eastAsia="zh-TW"/>
        </w:rPr>
        <w:t>年上半年，</w:t>
      </w:r>
      <w:r w:rsidRPr="00B62DAB">
        <w:rPr>
          <w:rFonts w:hint="eastAsia"/>
          <w:b/>
          <w:bCs/>
          <w:lang w:eastAsia="zh-TW"/>
        </w:rPr>
        <w:t>集團銷售額</w:t>
      </w:r>
      <w:r w:rsidRPr="00B62DAB">
        <w:rPr>
          <w:rFonts w:hint="eastAsia"/>
          <w:lang w:eastAsia="zh-TW"/>
        </w:rPr>
        <w:t>為</w:t>
      </w:r>
      <w:r w:rsidRPr="00B62DAB">
        <w:rPr>
          <w:lang w:eastAsia="zh-TW"/>
        </w:rPr>
        <w:t>109.26</w:t>
      </w:r>
      <w:r w:rsidRPr="00B62DAB">
        <w:rPr>
          <w:rFonts w:hint="eastAsia"/>
          <w:lang w:eastAsia="zh-TW"/>
        </w:rPr>
        <w:t>億歐元，比去年同期增長</w:t>
      </w:r>
      <w:r w:rsidRPr="00B62DAB">
        <w:rPr>
          <w:lang w:eastAsia="zh-TW"/>
        </w:rPr>
        <w:t>0.1%</w:t>
      </w:r>
      <w:r w:rsidRPr="00B62DAB">
        <w:rPr>
          <w:rFonts w:hint="eastAsia"/>
          <w:lang w:eastAsia="zh-TW"/>
        </w:rPr>
        <w:t>（第二季度：</w:t>
      </w:r>
      <w:r w:rsidRPr="00B62DAB">
        <w:rPr>
          <w:lang w:eastAsia="zh-TW"/>
        </w:rPr>
        <w:t>53.16</w:t>
      </w:r>
      <w:r w:rsidRPr="00B62DAB">
        <w:rPr>
          <w:rFonts w:hint="eastAsia"/>
          <w:lang w:eastAsia="zh-TW"/>
        </w:rPr>
        <w:t>億歐元，下降</w:t>
      </w:r>
      <w:r w:rsidRPr="00B62DAB">
        <w:rPr>
          <w:lang w:eastAsia="zh-TW"/>
        </w:rPr>
        <w:t>5.8%</w:t>
      </w:r>
      <w:r w:rsidRPr="00B62DAB">
        <w:rPr>
          <w:rFonts w:hint="eastAsia"/>
          <w:lang w:eastAsia="zh-TW"/>
        </w:rPr>
        <w:t>）。</w:t>
      </w:r>
      <w:r>
        <w:rPr>
          <w:rFonts w:hint="eastAsia"/>
          <w:lang w:eastAsia="zh-TW"/>
        </w:rPr>
        <w:t>相應的</w:t>
      </w:r>
      <w:r w:rsidRPr="00B62DAB">
        <w:rPr>
          <w:rFonts w:hint="eastAsia"/>
          <w:lang w:eastAsia="zh-TW"/>
        </w:rPr>
        <w:t>，</w:t>
      </w:r>
      <w:r w:rsidRPr="00B62DAB">
        <w:rPr>
          <w:rFonts w:hint="eastAsia"/>
          <w:b/>
          <w:bCs/>
          <w:lang w:eastAsia="zh-TW"/>
        </w:rPr>
        <w:t>有機銷售額增長</w:t>
      </w:r>
      <w:r w:rsidRPr="00B62DAB">
        <w:rPr>
          <w:lang w:eastAsia="zh-TW"/>
        </w:rPr>
        <w:t>4.9%</w:t>
      </w:r>
      <w:r w:rsidRPr="00B62DAB">
        <w:rPr>
          <w:rFonts w:hint="eastAsia"/>
          <w:lang w:eastAsia="zh-TW"/>
        </w:rPr>
        <w:t>（第二季度：</w:t>
      </w:r>
      <w:r>
        <w:rPr>
          <w:rFonts w:hint="eastAsia"/>
          <w:lang w:eastAsia="zh-TW"/>
        </w:rPr>
        <w:t>增長</w:t>
      </w:r>
      <w:r w:rsidRPr="00B62DAB">
        <w:rPr>
          <w:lang w:eastAsia="zh-TW"/>
        </w:rPr>
        <w:t>3.2%</w:t>
      </w:r>
      <w:r w:rsidRPr="00B62DAB">
        <w:rPr>
          <w:rFonts w:hint="eastAsia"/>
          <w:lang w:eastAsia="zh-TW"/>
        </w:rPr>
        <w:t>）。匯率因素導致銷售額下降</w:t>
      </w:r>
      <w:r w:rsidRPr="00B62DAB">
        <w:rPr>
          <w:lang w:eastAsia="zh-TW"/>
        </w:rPr>
        <w:t>2.5%</w:t>
      </w:r>
      <w:r w:rsidRPr="00B62DAB">
        <w:rPr>
          <w:rFonts w:hint="eastAsia"/>
          <w:lang w:eastAsia="zh-TW"/>
        </w:rPr>
        <w:t>（第二季度：</w:t>
      </w:r>
      <w:r>
        <w:rPr>
          <w:rFonts w:hint="eastAsia"/>
          <w:lang w:eastAsia="zh-TW"/>
        </w:rPr>
        <w:t>下降</w:t>
      </w:r>
      <w:r w:rsidRPr="00B62DAB">
        <w:rPr>
          <w:lang w:eastAsia="zh-TW"/>
        </w:rPr>
        <w:t>5.8%</w:t>
      </w:r>
      <w:r w:rsidRPr="00B62DAB">
        <w:rPr>
          <w:rFonts w:hint="eastAsia"/>
          <w:lang w:eastAsia="zh-TW"/>
        </w:rPr>
        <w:t>）。收購和撤資導致銷售額下降</w:t>
      </w:r>
      <w:r w:rsidRPr="00B62DAB">
        <w:rPr>
          <w:lang w:eastAsia="zh-TW"/>
        </w:rPr>
        <w:t>2.2%</w:t>
      </w:r>
      <w:r w:rsidRPr="00B62DAB">
        <w:rPr>
          <w:rFonts w:hint="eastAsia"/>
          <w:lang w:eastAsia="zh-TW"/>
        </w:rPr>
        <w:t>（第二季度：</w:t>
      </w:r>
      <w:r>
        <w:rPr>
          <w:rFonts w:hint="eastAsia"/>
          <w:lang w:eastAsia="zh-TW"/>
        </w:rPr>
        <w:t>下降</w:t>
      </w:r>
      <w:r w:rsidRPr="00B62DAB">
        <w:rPr>
          <w:lang w:eastAsia="zh-TW"/>
        </w:rPr>
        <w:t>3.2%</w:t>
      </w:r>
      <w:r w:rsidRPr="00B62DAB">
        <w:rPr>
          <w:rFonts w:hint="eastAsia"/>
          <w:lang w:eastAsia="zh-TW"/>
        </w:rPr>
        <w:t>）。</w:t>
      </w:r>
    </w:p>
    <w:p w14:paraId="0A244E65" w14:textId="77777777" w:rsidR="00E454C6" w:rsidRPr="00B62DAB" w:rsidRDefault="00E454C6" w:rsidP="00B350BA">
      <w:pPr>
        <w:spacing w:afterLines="50" w:after="120"/>
        <w:rPr>
          <w:rFonts w:cs="Segoe UI"/>
          <w:szCs w:val="22"/>
          <w:lang w:eastAsia="zh-TW"/>
        </w:rPr>
      </w:pPr>
    </w:p>
    <w:p w14:paraId="4523AB76" w14:textId="36CFDEBA" w:rsidR="0009628B" w:rsidRDefault="000663A0" w:rsidP="00B350BA">
      <w:pPr>
        <w:spacing w:afterLines="50" w:after="120"/>
        <w:rPr>
          <w:lang w:eastAsia="zh-TW"/>
        </w:rPr>
      </w:pPr>
      <w:r w:rsidRPr="00B62DAB">
        <w:rPr>
          <w:rFonts w:hint="eastAsia"/>
          <w:lang w:eastAsia="zh-TW"/>
        </w:rPr>
        <w:t>上半年的銷售額增長由兩個業務部</w:t>
      </w:r>
      <w:r>
        <w:rPr>
          <w:rFonts w:hint="eastAsia"/>
          <w:lang w:eastAsia="zh-TW"/>
        </w:rPr>
        <w:t>門</w:t>
      </w:r>
      <w:r w:rsidRPr="00B62DAB">
        <w:rPr>
          <w:rFonts w:hint="eastAsia"/>
          <w:lang w:eastAsia="zh-TW"/>
        </w:rPr>
        <w:t>共同推動。在移動和電子業務以及工匠、建築和專業業務領域的推動下，</w:t>
      </w:r>
      <w:r w:rsidRPr="00B62DAB">
        <w:rPr>
          <w:rFonts w:hint="eastAsia"/>
          <w:b/>
          <w:bCs/>
          <w:lang w:eastAsia="zh-TW"/>
        </w:rPr>
        <w:t>粘合劑技術</w:t>
      </w:r>
      <w:r w:rsidRPr="00B62DAB">
        <w:rPr>
          <w:rFonts w:hint="eastAsia"/>
          <w:lang w:eastAsia="zh-TW"/>
        </w:rPr>
        <w:t>業務部實現了非常強勁的有機銷售額增長，達</w:t>
      </w:r>
      <w:r w:rsidRPr="00B62DAB">
        <w:rPr>
          <w:lang w:eastAsia="zh-TW"/>
        </w:rPr>
        <w:t>4.7%</w:t>
      </w:r>
      <w:r w:rsidRPr="00B62DAB">
        <w:rPr>
          <w:rFonts w:hint="eastAsia"/>
          <w:lang w:eastAsia="zh-TW"/>
        </w:rPr>
        <w:t>。在洗滌劑及家用護理和美髮業務領域的推動下，</w:t>
      </w:r>
      <w:r w:rsidRPr="00B62DAB">
        <w:rPr>
          <w:rFonts w:hint="eastAsia"/>
          <w:b/>
          <w:bCs/>
          <w:lang w:eastAsia="zh-TW"/>
        </w:rPr>
        <w:t>消費品牌</w:t>
      </w:r>
      <w:r w:rsidRPr="00B62DAB">
        <w:rPr>
          <w:rFonts w:hint="eastAsia"/>
          <w:lang w:eastAsia="zh-TW"/>
        </w:rPr>
        <w:t>業務部實現了</w:t>
      </w:r>
      <w:r w:rsidRPr="00B62DAB">
        <w:rPr>
          <w:lang w:eastAsia="zh-TW"/>
        </w:rPr>
        <w:t>5.7%</w:t>
      </w:r>
      <w:r w:rsidRPr="00B62DAB">
        <w:rPr>
          <w:rFonts w:hint="eastAsia"/>
          <w:lang w:eastAsia="zh-TW"/>
        </w:rPr>
        <w:t>的強勁有機銷售額增長。</w:t>
      </w:r>
    </w:p>
    <w:p w14:paraId="0DD44ABC" w14:textId="77777777" w:rsidR="00E454C6" w:rsidRPr="00B62DAB" w:rsidRDefault="00E454C6" w:rsidP="00B350BA">
      <w:pPr>
        <w:spacing w:afterLines="50" w:after="120"/>
        <w:rPr>
          <w:rFonts w:cs="Segoe UI"/>
          <w:szCs w:val="22"/>
          <w:lang w:eastAsia="zh-TW"/>
        </w:rPr>
      </w:pPr>
    </w:p>
    <w:p w14:paraId="584312DC" w14:textId="15344CAF" w:rsidR="0009628B" w:rsidRDefault="000663A0" w:rsidP="00B350BA">
      <w:pPr>
        <w:spacing w:afterLines="50" w:after="120"/>
        <w:rPr>
          <w:lang w:eastAsia="zh-TW"/>
        </w:rPr>
      </w:pPr>
      <w:r w:rsidRPr="00B62DAB">
        <w:rPr>
          <w:rFonts w:hint="eastAsia"/>
          <w:lang w:eastAsia="zh-TW"/>
        </w:rPr>
        <w:t>今年上半年，</w:t>
      </w:r>
      <w:r w:rsidRPr="00B62DAB">
        <w:rPr>
          <w:rFonts w:hint="eastAsia"/>
          <w:b/>
          <w:bCs/>
          <w:lang w:eastAsia="zh-TW"/>
        </w:rPr>
        <w:t>歐洲</w:t>
      </w:r>
      <w:r w:rsidRPr="00B62DAB">
        <w:rPr>
          <w:rFonts w:hint="eastAsia"/>
          <w:lang w:eastAsia="zh-TW"/>
        </w:rPr>
        <w:t>地區的有機銷售額增長率達到</w:t>
      </w:r>
      <w:r w:rsidRPr="00B62DAB">
        <w:rPr>
          <w:lang w:eastAsia="zh-TW"/>
        </w:rPr>
        <w:t>2.4%</w:t>
      </w:r>
      <w:proofErr w:type="gramStart"/>
      <w:r w:rsidRPr="00B62DAB">
        <w:rPr>
          <w:rFonts w:hint="eastAsia"/>
          <w:lang w:eastAsia="zh-TW"/>
        </w:rPr>
        <w:t>（</w:t>
      </w:r>
      <w:proofErr w:type="gramEnd"/>
      <w:r w:rsidRPr="00B62DAB">
        <w:rPr>
          <w:rFonts w:hint="eastAsia"/>
          <w:lang w:eastAsia="zh-TW"/>
        </w:rPr>
        <w:t>第二季度：</w:t>
      </w:r>
      <w:r>
        <w:rPr>
          <w:rFonts w:hint="eastAsia"/>
          <w:lang w:eastAsia="zh-TW"/>
        </w:rPr>
        <w:t>增長</w:t>
      </w:r>
      <w:r w:rsidRPr="00B62DAB">
        <w:rPr>
          <w:lang w:eastAsia="zh-TW"/>
        </w:rPr>
        <w:t>0.8%</w:t>
      </w:r>
      <w:proofErr w:type="gramStart"/>
      <w:r w:rsidRPr="00B62DAB">
        <w:rPr>
          <w:rFonts w:hint="eastAsia"/>
          <w:lang w:eastAsia="zh-TW"/>
        </w:rPr>
        <w:t>）</w:t>
      </w:r>
      <w:proofErr w:type="gramEnd"/>
      <w:r w:rsidRPr="00B62DAB">
        <w:rPr>
          <w:rFonts w:hint="eastAsia"/>
          <w:lang w:eastAsia="zh-TW"/>
        </w:rPr>
        <w:t>。在</w:t>
      </w:r>
      <w:r w:rsidRPr="00B62DAB">
        <w:rPr>
          <w:rFonts w:hint="eastAsia"/>
          <w:b/>
          <w:bCs/>
          <w:lang w:eastAsia="zh-TW"/>
        </w:rPr>
        <w:t>印度、中東及非洲</w:t>
      </w:r>
      <w:r w:rsidRPr="00B62DAB">
        <w:rPr>
          <w:rFonts w:hint="eastAsia"/>
          <w:lang w:eastAsia="zh-TW"/>
        </w:rPr>
        <w:t>地區，有機銷售額增長</w:t>
      </w:r>
      <w:r w:rsidRPr="00B62DAB">
        <w:rPr>
          <w:lang w:eastAsia="zh-TW"/>
        </w:rPr>
        <w:t>25.7%</w:t>
      </w:r>
      <w:proofErr w:type="gramStart"/>
      <w:r w:rsidRPr="00B62DAB">
        <w:rPr>
          <w:rFonts w:hint="eastAsia"/>
          <w:lang w:eastAsia="zh-TW"/>
        </w:rPr>
        <w:t>（</w:t>
      </w:r>
      <w:proofErr w:type="gramEnd"/>
      <w:r w:rsidRPr="00B62DAB">
        <w:rPr>
          <w:rFonts w:hint="eastAsia"/>
          <w:lang w:eastAsia="zh-TW"/>
        </w:rPr>
        <w:t>第二季度：</w:t>
      </w:r>
      <w:r>
        <w:rPr>
          <w:rFonts w:hint="eastAsia"/>
          <w:lang w:eastAsia="zh-TW"/>
        </w:rPr>
        <w:t>增長</w:t>
      </w:r>
      <w:r w:rsidRPr="00B62DAB">
        <w:rPr>
          <w:lang w:eastAsia="zh-TW"/>
        </w:rPr>
        <w:t>23.6%</w:t>
      </w:r>
      <w:proofErr w:type="gramStart"/>
      <w:r w:rsidRPr="00B62DAB">
        <w:rPr>
          <w:rFonts w:hint="eastAsia"/>
          <w:lang w:eastAsia="zh-TW"/>
        </w:rPr>
        <w:t>）</w:t>
      </w:r>
      <w:proofErr w:type="gramEnd"/>
      <w:r w:rsidRPr="00B62DAB">
        <w:rPr>
          <w:rFonts w:hint="eastAsia"/>
          <w:lang w:eastAsia="zh-TW"/>
        </w:rPr>
        <w:t>。</w:t>
      </w:r>
      <w:r w:rsidRPr="00B62DAB">
        <w:rPr>
          <w:rFonts w:hint="eastAsia"/>
          <w:b/>
          <w:bCs/>
          <w:lang w:eastAsia="zh-TW"/>
        </w:rPr>
        <w:t>北美</w:t>
      </w:r>
      <w:r w:rsidRPr="00B62DAB">
        <w:rPr>
          <w:rFonts w:hint="eastAsia"/>
          <w:lang w:eastAsia="zh-TW"/>
        </w:rPr>
        <w:t>地區實現了</w:t>
      </w:r>
      <w:r w:rsidRPr="00B62DAB">
        <w:rPr>
          <w:lang w:eastAsia="zh-TW"/>
        </w:rPr>
        <w:t>3.8%</w:t>
      </w:r>
      <w:r w:rsidRPr="00B62DAB">
        <w:rPr>
          <w:rFonts w:hint="eastAsia"/>
          <w:lang w:eastAsia="zh-TW"/>
        </w:rPr>
        <w:t>的有機銷售額增長</w:t>
      </w:r>
      <w:proofErr w:type="gramStart"/>
      <w:r w:rsidRPr="00B62DAB">
        <w:rPr>
          <w:rFonts w:hint="eastAsia"/>
          <w:lang w:eastAsia="zh-TW"/>
        </w:rPr>
        <w:t>（</w:t>
      </w:r>
      <w:proofErr w:type="gramEnd"/>
      <w:r w:rsidRPr="00B62DAB">
        <w:rPr>
          <w:rFonts w:hint="eastAsia"/>
          <w:lang w:eastAsia="zh-TW"/>
        </w:rPr>
        <w:t>第二季度：</w:t>
      </w:r>
      <w:r>
        <w:rPr>
          <w:rFonts w:hint="eastAsia"/>
          <w:lang w:eastAsia="zh-TW"/>
        </w:rPr>
        <w:t>增長</w:t>
      </w:r>
      <w:r w:rsidRPr="00B62DAB">
        <w:rPr>
          <w:lang w:eastAsia="zh-TW"/>
        </w:rPr>
        <w:t>0.9%</w:t>
      </w:r>
      <w:proofErr w:type="gramStart"/>
      <w:r w:rsidRPr="00B62DAB">
        <w:rPr>
          <w:rFonts w:hint="eastAsia"/>
          <w:lang w:eastAsia="zh-TW"/>
        </w:rPr>
        <w:t>）</w:t>
      </w:r>
      <w:proofErr w:type="gramEnd"/>
      <w:r w:rsidRPr="00B62DAB">
        <w:rPr>
          <w:rFonts w:hint="eastAsia"/>
          <w:lang w:eastAsia="zh-TW"/>
        </w:rPr>
        <w:t>。</w:t>
      </w:r>
      <w:r w:rsidRPr="00B62DAB">
        <w:rPr>
          <w:rFonts w:hint="eastAsia"/>
          <w:b/>
          <w:bCs/>
          <w:lang w:eastAsia="zh-TW"/>
        </w:rPr>
        <w:t>拉美</w:t>
      </w:r>
      <w:r w:rsidRPr="00B62DAB">
        <w:rPr>
          <w:rFonts w:hint="eastAsia"/>
          <w:lang w:eastAsia="zh-TW"/>
        </w:rPr>
        <w:t>地區實現了</w:t>
      </w:r>
      <w:r w:rsidRPr="00B62DAB">
        <w:rPr>
          <w:lang w:eastAsia="zh-TW"/>
        </w:rPr>
        <w:t>13.2%</w:t>
      </w:r>
      <w:r w:rsidRPr="00B62DAB">
        <w:rPr>
          <w:rFonts w:hint="eastAsia"/>
          <w:lang w:eastAsia="zh-TW"/>
        </w:rPr>
        <w:t>的有機銷售額增長</w:t>
      </w:r>
      <w:proofErr w:type="gramStart"/>
      <w:r w:rsidRPr="00B62DAB">
        <w:rPr>
          <w:rFonts w:hint="eastAsia"/>
          <w:lang w:eastAsia="zh-TW"/>
        </w:rPr>
        <w:t>（</w:t>
      </w:r>
      <w:proofErr w:type="gramEnd"/>
      <w:r w:rsidRPr="00B62DAB">
        <w:rPr>
          <w:rFonts w:hint="eastAsia"/>
          <w:lang w:eastAsia="zh-TW"/>
        </w:rPr>
        <w:t>第二季度：</w:t>
      </w:r>
      <w:r>
        <w:rPr>
          <w:rFonts w:hint="eastAsia"/>
          <w:lang w:eastAsia="zh-TW"/>
        </w:rPr>
        <w:t>增長</w:t>
      </w:r>
      <w:r w:rsidRPr="00B62DAB">
        <w:rPr>
          <w:lang w:eastAsia="zh-TW"/>
        </w:rPr>
        <w:t>9.4%</w:t>
      </w:r>
      <w:proofErr w:type="gramStart"/>
      <w:r w:rsidRPr="00B62DAB">
        <w:rPr>
          <w:rFonts w:hint="eastAsia"/>
          <w:lang w:eastAsia="zh-TW"/>
        </w:rPr>
        <w:t>）</w:t>
      </w:r>
      <w:proofErr w:type="gramEnd"/>
      <w:r w:rsidRPr="00B62DAB">
        <w:rPr>
          <w:rFonts w:hint="eastAsia"/>
          <w:lang w:eastAsia="zh-TW"/>
        </w:rPr>
        <w:t>。相比之下，</w:t>
      </w:r>
      <w:r w:rsidRPr="00B62DAB">
        <w:rPr>
          <w:rFonts w:hint="eastAsia"/>
          <w:b/>
          <w:bCs/>
          <w:lang w:eastAsia="zh-TW"/>
        </w:rPr>
        <w:t>亞太</w:t>
      </w:r>
      <w:r w:rsidRPr="00B62DAB">
        <w:rPr>
          <w:rFonts w:hint="eastAsia"/>
          <w:lang w:eastAsia="zh-TW"/>
        </w:rPr>
        <w:t>地區的有機銷售額下降</w:t>
      </w:r>
      <w:r w:rsidRPr="00B62DAB">
        <w:rPr>
          <w:lang w:eastAsia="zh-TW"/>
        </w:rPr>
        <w:t>2.7%</w:t>
      </w:r>
      <w:proofErr w:type="gramStart"/>
      <w:r w:rsidRPr="00B62DAB">
        <w:rPr>
          <w:rFonts w:hint="eastAsia"/>
          <w:lang w:eastAsia="zh-TW"/>
        </w:rPr>
        <w:t>（</w:t>
      </w:r>
      <w:proofErr w:type="gramEnd"/>
      <w:r w:rsidRPr="00B62DAB">
        <w:rPr>
          <w:rFonts w:hint="eastAsia"/>
          <w:lang w:eastAsia="zh-TW"/>
        </w:rPr>
        <w:t>第二季度：</w:t>
      </w:r>
      <w:r>
        <w:rPr>
          <w:rFonts w:hint="eastAsia"/>
          <w:lang w:eastAsia="zh-TW"/>
        </w:rPr>
        <w:t>下降</w:t>
      </w:r>
      <w:r w:rsidRPr="00B62DAB">
        <w:rPr>
          <w:lang w:eastAsia="zh-TW"/>
        </w:rPr>
        <w:t>0.6%</w:t>
      </w:r>
      <w:proofErr w:type="gramStart"/>
      <w:r w:rsidRPr="00B62DAB">
        <w:rPr>
          <w:rFonts w:hint="eastAsia"/>
          <w:lang w:eastAsia="zh-TW"/>
        </w:rPr>
        <w:t>）</w:t>
      </w:r>
      <w:proofErr w:type="gramEnd"/>
      <w:r w:rsidRPr="00B62DAB">
        <w:rPr>
          <w:rFonts w:hint="eastAsia"/>
          <w:lang w:eastAsia="zh-TW"/>
        </w:rPr>
        <w:t>，主要原因是中國市場環境持續嚴峻。</w:t>
      </w:r>
    </w:p>
    <w:p w14:paraId="55E680AE" w14:textId="77777777" w:rsidR="00E454C6" w:rsidRPr="00B62DAB" w:rsidRDefault="00E454C6" w:rsidP="00B350BA">
      <w:pPr>
        <w:spacing w:afterLines="50" w:after="120"/>
        <w:rPr>
          <w:rFonts w:cs="Segoe UI"/>
          <w:szCs w:val="22"/>
          <w:lang w:eastAsia="zh-TW"/>
        </w:rPr>
      </w:pPr>
    </w:p>
    <w:p w14:paraId="7AB4524E" w14:textId="19561855" w:rsidR="0009628B" w:rsidRPr="00B62DAB" w:rsidRDefault="000663A0" w:rsidP="00B350BA">
      <w:pPr>
        <w:spacing w:afterLines="50" w:after="120"/>
        <w:rPr>
          <w:rFonts w:cs="Segoe UI"/>
          <w:bCs/>
          <w:szCs w:val="22"/>
          <w:lang w:eastAsia="zh-TW"/>
        </w:rPr>
      </w:pPr>
      <w:bookmarkStart w:id="2" w:name="_Hlk109402106"/>
      <w:r w:rsidRPr="00B62DAB">
        <w:rPr>
          <w:rFonts w:hint="eastAsia"/>
          <w:lang w:eastAsia="zh-TW"/>
        </w:rPr>
        <w:t>上半年</w:t>
      </w:r>
      <w:r w:rsidRPr="00B62DAB">
        <w:rPr>
          <w:rFonts w:hint="eastAsia"/>
          <w:b/>
          <w:bCs/>
          <w:lang w:eastAsia="zh-TW"/>
        </w:rPr>
        <w:t>調整後的營業利潤（調整後的息稅前利潤）</w:t>
      </w:r>
      <w:r w:rsidRPr="00B62DAB">
        <w:rPr>
          <w:rFonts w:hint="eastAsia"/>
          <w:lang w:eastAsia="zh-TW"/>
        </w:rPr>
        <w:t>達</w:t>
      </w:r>
      <w:r w:rsidRPr="00B62DAB">
        <w:rPr>
          <w:lang w:eastAsia="zh-TW"/>
        </w:rPr>
        <w:t>12.54</w:t>
      </w:r>
      <w:r w:rsidRPr="00B62DAB">
        <w:rPr>
          <w:rFonts w:hint="eastAsia"/>
          <w:lang w:eastAsia="zh-TW"/>
        </w:rPr>
        <w:t>億歐元，</w:t>
      </w:r>
      <w:r>
        <w:rPr>
          <w:rFonts w:hint="eastAsia"/>
          <w:lang w:eastAsia="zh-TW"/>
        </w:rPr>
        <w:t>較</w:t>
      </w:r>
      <w:r w:rsidRPr="00B62DAB">
        <w:rPr>
          <w:rFonts w:hint="eastAsia"/>
          <w:lang w:eastAsia="zh-TW"/>
        </w:rPr>
        <w:t>去年同期</w:t>
      </w:r>
      <w:r>
        <w:rPr>
          <w:rFonts w:hint="eastAsia"/>
          <w:lang w:eastAsia="zh-TW"/>
        </w:rPr>
        <w:t>的</w:t>
      </w:r>
      <w:r w:rsidRPr="00B62DAB">
        <w:rPr>
          <w:lang w:eastAsia="zh-TW"/>
        </w:rPr>
        <w:t>11.66</w:t>
      </w:r>
      <w:r w:rsidRPr="00B62DAB">
        <w:rPr>
          <w:rFonts w:hint="eastAsia"/>
          <w:lang w:eastAsia="zh-TW"/>
        </w:rPr>
        <w:t>億歐元增長</w:t>
      </w:r>
      <w:r w:rsidRPr="00B62DAB">
        <w:rPr>
          <w:lang w:eastAsia="zh-TW"/>
        </w:rPr>
        <w:t>7.6%</w:t>
      </w:r>
      <w:r w:rsidRPr="00B62DAB">
        <w:rPr>
          <w:rFonts w:hint="eastAsia"/>
          <w:lang w:eastAsia="zh-TW"/>
        </w:rPr>
        <w:t>。這一增長得益於銷售價格的提</w:t>
      </w:r>
      <w:r>
        <w:rPr>
          <w:rFonts w:hint="eastAsia"/>
          <w:lang w:eastAsia="zh-TW"/>
        </w:rPr>
        <w:t>升、</w:t>
      </w:r>
      <w:r w:rsidRPr="00B62DAB">
        <w:rPr>
          <w:rFonts w:hint="eastAsia"/>
          <w:lang w:eastAsia="zh-TW"/>
        </w:rPr>
        <w:t>整合消費品牌業務部</w:t>
      </w:r>
      <w:r>
        <w:rPr>
          <w:rFonts w:hint="eastAsia"/>
          <w:lang w:eastAsia="zh-TW"/>
        </w:rPr>
        <w:t>所節省的成本，</w:t>
      </w:r>
      <w:r w:rsidRPr="00B62DAB">
        <w:rPr>
          <w:rFonts w:hint="eastAsia"/>
          <w:lang w:eastAsia="zh-TW"/>
        </w:rPr>
        <w:t>以及產品組合優化措施所帶來的成本節省。</w:t>
      </w:r>
    </w:p>
    <w:bookmarkEnd w:id="2"/>
    <w:p w14:paraId="605933C2" w14:textId="26374EB3" w:rsidR="0009628B" w:rsidRPr="00B62DAB" w:rsidRDefault="000663A0" w:rsidP="00B350BA">
      <w:pPr>
        <w:spacing w:afterLines="50" w:after="120"/>
        <w:rPr>
          <w:rFonts w:cs="Segoe UI"/>
          <w:szCs w:val="22"/>
          <w:lang w:eastAsia="zh-TW"/>
        </w:rPr>
      </w:pPr>
      <w:r w:rsidRPr="00B62DAB">
        <w:rPr>
          <w:rFonts w:hint="eastAsia"/>
          <w:b/>
          <w:bCs/>
          <w:lang w:eastAsia="zh-TW"/>
        </w:rPr>
        <w:t>調整後的銷售回報率（調整後的息稅前利潤率）</w:t>
      </w:r>
      <w:r w:rsidRPr="00B62DAB">
        <w:rPr>
          <w:rFonts w:hint="eastAsia"/>
          <w:lang w:eastAsia="zh-TW"/>
        </w:rPr>
        <w:t>上浮</w:t>
      </w:r>
      <w:r w:rsidRPr="00B62DAB">
        <w:rPr>
          <w:lang w:eastAsia="zh-TW"/>
        </w:rPr>
        <w:t>80</w:t>
      </w:r>
      <w:r w:rsidRPr="00B62DAB">
        <w:rPr>
          <w:rFonts w:hint="eastAsia"/>
          <w:lang w:eastAsia="zh-TW"/>
        </w:rPr>
        <w:t>個基點，達到</w:t>
      </w:r>
      <w:r w:rsidRPr="00B62DAB">
        <w:rPr>
          <w:lang w:eastAsia="zh-TW"/>
        </w:rPr>
        <w:t>11.5%</w:t>
      </w:r>
      <w:r w:rsidRPr="00B62DAB">
        <w:rPr>
          <w:rFonts w:hint="eastAsia"/>
          <w:lang w:eastAsia="zh-TW"/>
        </w:rPr>
        <w:t>。</w:t>
      </w:r>
    </w:p>
    <w:p w14:paraId="2AE9783E" w14:textId="30AE5702" w:rsidR="0009628B" w:rsidRPr="00B62DAB" w:rsidRDefault="000663A0" w:rsidP="00B350BA">
      <w:pPr>
        <w:spacing w:afterLines="50" w:after="120"/>
        <w:rPr>
          <w:rFonts w:cs="Segoe UI"/>
          <w:bCs/>
          <w:szCs w:val="22"/>
          <w:lang w:eastAsia="zh-TW"/>
        </w:rPr>
      </w:pPr>
      <w:r w:rsidRPr="00B62DAB">
        <w:rPr>
          <w:lang w:eastAsia="zh-TW"/>
        </w:rPr>
        <w:lastRenderedPageBreak/>
        <w:t>2023</w:t>
      </w:r>
      <w:r w:rsidRPr="00B62DAB">
        <w:rPr>
          <w:rFonts w:hint="eastAsia"/>
          <w:lang w:eastAsia="zh-TW"/>
        </w:rPr>
        <w:t>年上半年，</w:t>
      </w:r>
      <w:r w:rsidRPr="00B62DAB">
        <w:rPr>
          <w:rFonts w:hint="eastAsia"/>
          <w:b/>
          <w:bCs/>
          <w:lang w:eastAsia="zh-TW"/>
        </w:rPr>
        <w:t>調整後的優先股每股收益</w:t>
      </w:r>
      <w:r w:rsidRPr="00B62DAB">
        <w:rPr>
          <w:rFonts w:hint="eastAsia"/>
          <w:lang w:eastAsia="zh-TW"/>
        </w:rPr>
        <w:t>增至</w:t>
      </w:r>
      <w:proofErr w:type="gramStart"/>
      <w:r w:rsidRPr="00B62DAB">
        <w:rPr>
          <w:lang w:eastAsia="zh-TW"/>
        </w:rPr>
        <w:t>2.13</w:t>
      </w:r>
      <w:r w:rsidRPr="00B62DAB">
        <w:rPr>
          <w:rFonts w:hint="eastAsia"/>
          <w:lang w:eastAsia="zh-TW"/>
        </w:rPr>
        <w:t>歐元。按固定匯率計算</w:t>
      </w:r>
      <w:proofErr w:type="gramEnd"/>
      <w:r w:rsidRPr="00B62DAB">
        <w:rPr>
          <w:rFonts w:hint="eastAsia"/>
          <w:lang w:eastAsia="zh-TW"/>
        </w:rPr>
        <w:t>，較上年同期增長</w:t>
      </w:r>
      <w:r w:rsidRPr="00B62DAB">
        <w:rPr>
          <w:lang w:eastAsia="zh-TW"/>
        </w:rPr>
        <w:t>14.4%</w:t>
      </w:r>
      <w:r w:rsidRPr="00B62DAB">
        <w:rPr>
          <w:rFonts w:hint="eastAsia"/>
          <w:lang w:eastAsia="zh-TW"/>
        </w:rPr>
        <w:t>。</w:t>
      </w:r>
    </w:p>
    <w:p w14:paraId="7CB018A8" w14:textId="37F78125" w:rsidR="0009628B" w:rsidRPr="00B62DAB" w:rsidRDefault="000663A0" w:rsidP="00B350BA">
      <w:pPr>
        <w:spacing w:afterLines="50" w:after="120"/>
        <w:rPr>
          <w:rFonts w:cs="Segoe UI"/>
          <w:szCs w:val="22"/>
          <w:lang w:eastAsia="zh-TW"/>
        </w:rPr>
      </w:pPr>
      <w:r w:rsidRPr="00B62DAB">
        <w:rPr>
          <w:rFonts w:hint="eastAsia"/>
          <w:b/>
          <w:bCs/>
          <w:lang w:eastAsia="zh-TW"/>
        </w:rPr>
        <w:t>淨流動資本</w:t>
      </w:r>
      <w:r w:rsidRPr="00B62DAB">
        <w:rPr>
          <w:rFonts w:hint="eastAsia"/>
          <w:lang w:eastAsia="zh-TW"/>
        </w:rPr>
        <w:t>增長</w:t>
      </w:r>
      <w:r w:rsidRPr="00B62DAB">
        <w:rPr>
          <w:lang w:eastAsia="zh-TW"/>
        </w:rPr>
        <w:t>0.8%</w:t>
      </w:r>
      <w:r w:rsidRPr="00B62DAB">
        <w:rPr>
          <w:rFonts w:hint="eastAsia"/>
          <w:lang w:eastAsia="zh-TW"/>
        </w:rPr>
        <w:t>，占銷售額的</w:t>
      </w:r>
      <w:r w:rsidRPr="00B62DAB">
        <w:rPr>
          <w:lang w:eastAsia="zh-TW"/>
        </w:rPr>
        <w:t>6.1%</w:t>
      </w:r>
      <w:proofErr w:type="gramStart"/>
      <w:r w:rsidRPr="00B62DAB">
        <w:rPr>
          <w:rFonts w:hint="eastAsia"/>
          <w:lang w:eastAsia="zh-TW"/>
        </w:rPr>
        <w:t>（</w:t>
      </w:r>
      <w:proofErr w:type="gramEnd"/>
      <w:r w:rsidRPr="00B62DAB">
        <w:rPr>
          <w:rFonts w:hint="eastAsia"/>
          <w:lang w:eastAsia="zh-TW"/>
        </w:rPr>
        <w:t>去年同期：</w:t>
      </w:r>
      <w:r w:rsidRPr="00B62DAB">
        <w:rPr>
          <w:lang w:eastAsia="zh-TW"/>
        </w:rPr>
        <w:t>5.2%</w:t>
      </w:r>
      <w:r w:rsidRPr="00B62DAB">
        <w:rPr>
          <w:rFonts w:hint="eastAsia"/>
          <w:lang w:eastAsia="zh-TW"/>
        </w:rPr>
        <w:t>）。</w:t>
      </w:r>
    </w:p>
    <w:p w14:paraId="39808C96" w14:textId="1162B7DB" w:rsidR="0009628B" w:rsidRPr="00B62DAB" w:rsidRDefault="000663A0" w:rsidP="00B350BA">
      <w:pPr>
        <w:autoSpaceDE w:val="0"/>
        <w:autoSpaceDN w:val="0"/>
        <w:adjustRightInd w:val="0"/>
        <w:spacing w:afterLines="50" w:after="120"/>
        <w:rPr>
          <w:rFonts w:cs="Segoe UI"/>
          <w:szCs w:val="22"/>
          <w:lang w:eastAsia="zh-TW"/>
        </w:rPr>
      </w:pPr>
      <w:r w:rsidRPr="00B62DAB">
        <w:rPr>
          <w:rFonts w:hint="eastAsia"/>
          <w:b/>
          <w:bCs/>
          <w:lang w:eastAsia="zh-TW"/>
        </w:rPr>
        <w:t>自由現金流</w:t>
      </w:r>
      <w:r w:rsidRPr="00B62DAB">
        <w:rPr>
          <w:rFonts w:hint="eastAsia"/>
          <w:lang w:eastAsia="zh-TW"/>
        </w:rPr>
        <w:t>達到</w:t>
      </w:r>
      <w:r w:rsidRPr="00B62DAB">
        <w:rPr>
          <w:lang w:eastAsia="zh-TW"/>
        </w:rPr>
        <w:t>7.49</w:t>
      </w:r>
      <w:r w:rsidRPr="00B62DAB">
        <w:rPr>
          <w:rFonts w:hint="eastAsia"/>
          <w:lang w:eastAsia="zh-TW"/>
        </w:rPr>
        <w:t>億歐元，遠超</w:t>
      </w:r>
      <w:r w:rsidRPr="00B62DAB">
        <w:rPr>
          <w:lang w:eastAsia="zh-TW"/>
        </w:rPr>
        <w:t>2022</w:t>
      </w:r>
      <w:r w:rsidRPr="00B62DAB">
        <w:rPr>
          <w:rFonts w:hint="eastAsia"/>
          <w:lang w:eastAsia="zh-TW"/>
        </w:rPr>
        <w:t>年上半年水平（</w:t>
      </w:r>
      <w:r w:rsidRPr="00B62DAB">
        <w:rPr>
          <w:lang w:eastAsia="zh-TW"/>
        </w:rPr>
        <w:t>4600</w:t>
      </w:r>
      <w:r w:rsidRPr="00B62DAB">
        <w:rPr>
          <w:rFonts w:hint="eastAsia"/>
          <w:lang w:eastAsia="zh-TW"/>
        </w:rPr>
        <w:t>萬歐元），這主要歸功於</w:t>
      </w:r>
      <w:proofErr w:type="gramStart"/>
      <w:r w:rsidRPr="00B62DAB">
        <w:rPr>
          <w:rFonts w:hint="eastAsia"/>
          <w:lang w:eastAsia="zh-TW"/>
        </w:rPr>
        <w:t>本財年</w:t>
      </w:r>
      <w:proofErr w:type="gramEnd"/>
      <w:r w:rsidRPr="00B62DAB">
        <w:rPr>
          <w:rFonts w:hint="eastAsia"/>
          <w:lang w:eastAsia="zh-TW"/>
        </w:rPr>
        <w:t>經營活動產生的較大現金流。</w:t>
      </w:r>
    </w:p>
    <w:p w14:paraId="576A4EA9" w14:textId="77E7F6B5" w:rsidR="0009628B" w:rsidRPr="00B62DAB" w:rsidRDefault="000663A0" w:rsidP="00B350BA">
      <w:pPr>
        <w:spacing w:afterLines="50" w:after="120"/>
        <w:rPr>
          <w:lang w:eastAsia="zh-TW"/>
        </w:rPr>
      </w:pPr>
      <w:r w:rsidRPr="00B62DAB">
        <w:rPr>
          <w:rFonts w:hint="eastAsia"/>
          <w:lang w:eastAsia="zh-TW"/>
        </w:rPr>
        <w:t>截至</w:t>
      </w:r>
      <w:r w:rsidRPr="00B62DAB">
        <w:rPr>
          <w:lang w:eastAsia="zh-TW"/>
        </w:rPr>
        <w:t>2023</w:t>
      </w:r>
      <w:r w:rsidRPr="00B62DAB">
        <w:rPr>
          <w:rFonts w:hint="eastAsia"/>
          <w:lang w:eastAsia="zh-TW"/>
        </w:rPr>
        <w:t>年</w:t>
      </w:r>
      <w:r w:rsidRPr="00B62DAB">
        <w:rPr>
          <w:lang w:eastAsia="zh-TW"/>
        </w:rPr>
        <w:t>6</w:t>
      </w:r>
      <w:r w:rsidRPr="00B62DAB">
        <w:rPr>
          <w:rFonts w:hint="eastAsia"/>
          <w:lang w:eastAsia="zh-TW"/>
        </w:rPr>
        <w:t>月</w:t>
      </w:r>
      <w:r w:rsidRPr="00B62DAB">
        <w:rPr>
          <w:lang w:eastAsia="zh-TW"/>
        </w:rPr>
        <w:t>30</w:t>
      </w:r>
      <w:r w:rsidRPr="00B62DAB">
        <w:rPr>
          <w:rFonts w:hint="eastAsia"/>
          <w:lang w:eastAsia="zh-TW"/>
        </w:rPr>
        <w:t>日，</w:t>
      </w:r>
      <w:r w:rsidRPr="00B62DAB">
        <w:rPr>
          <w:rFonts w:hint="eastAsia"/>
          <w:b/>
          <w:lang w:eastAsia="zh-TW"/>
        </w:rPr>
        <w:t>淨財務狀況</w:t>
      </w:r>
      <w:r w:rsidRPr="00B62DAB">
        <w:rPr>
          <w:rFonts w:hint="eastAsia"/>
          <w:lang w:eastAsia="zh-TW"/>
        </w:rPr>
        <w:t>為</w:t>
      </w:r>
      <w:r w:rsidRPr="00B62DAB">
        <w:rPr>
          <w:lang w:eastAsia="zh-TW"/>
        </w:rPr>
        <w:t>-13.11</w:t>
      </w:r>
      <w:r w:rsidRPr="00B62DAB">
        <w:rPr>
          <w:rFonts w:hint="eastAsia"/>
          <w:lang w:eastAsia="zh-TW"/>
        </w:rPr>
        <w:t>億歐元</w:t>
      </w:r>
      <w:proofErr w:type="gramStart"/>
      <w:r w:rsidRPr="00B62DAB">
        <w:rPr>
          <w:rFonts w:hint="eastAsia"/>
          <w:lang w:eastAsia="zh-TW"/>
        </w:rPr>
        <w:t>（</w:t>
      </w:r>
      <w:proofErr w:type="gramEnd"/>
      <w:r w:rsidRPr="00B62DAB">
        <w:rPr>
          <w:lang w:eastAsia="zh-TW"/>
        </w:rPr>
        <w:t>2022</w:t>
      </w:r>
      <w:r w:rsidRPr="00B62DAB">
        <w:rPr>
          <w:rFonts w:hint="eastAsia"/>
          <w:lang w:eastAsia="zh-TW"/>
        </w:rPr>
        <w:t>年</w:t>
      </w:r>
      <w:r w:rsidRPr="00B62DAB">
        <w:rPr>
          <w:lang w:eastAsia="zh-TW"/>
        </w:rPr>
        <w:t>12</w:t>
      </w:r>
      <w:r w:rsidRPr="00B62DAB">
        <w:rPr>
          <w:rFonts w:hint="eastAsia"/>
          <w:lang w:eastAsia="zh-TW"/>
        </w:rPr>
        <w:t>月</w:t>
      </w:r>
      <w:r w:rsidRPr="00B62DAB">
        <w:rPr>
          <w:lang w:eastAsia="zh-TW"/>
        </w:rPr>
        <w:t>31</w:t>
      </w:r>
      <w:r w:rsidRPr="00B62DAB">
        <w:rPr>
          <w:rFonts w:hint="eastAsia"/>
          <w:lang w:eastAsia="zh-TW"/>
        </w:rPr>
        <w:t>日：</w:t>
      </w:r>
      <w:r w:rsidRPr="00B62DAB">
        <w:rPr>
          <w:lang w:eastAsia="zh-TW"/>
        </w:rPr>
        <w:t>-12.67</w:t>
      </w:r>
      <w:r w:rsidRPr="00B62DAB">
        <w:rPr>
          <w:rFonts w:hint="eastAsia"/>
          <w:lang w:eastAsia="zh-TW"/>
        </w:rPr>
        <w:t>億歐元）。</w:t>
      </w:r>
    </w:p>
    <w:p w14:paraId="36102C41" w14:textId="54C22CC2" w:rsidR="0009628B" w:rsidRDefault="000663A0" w:rsidP="00B350BA">
      <w:pPr>
        <w:spacing w:afterLines="50" w:after="120"/>
        <w:rPr>
          <w:shd w:val="clear" w:color="auto" w:fill="FFFFFF"/>
          <w:lang w:eastAsia="zh-TW"/>
        </w:rPr>
      </w:pPr>
      <w:r w:rsidRPr="00B62DAB">
        <w:rPr>
          <w:shd w:val="clear" w:color="auto" w:fill="FFFFFF"/>
          <w:lang w:eastAsia="zh-TW"/>
        </w:rPr>
        <w:t>2023</w:t>
      </w:r>
      <w:r w:rsidRPr="00B62DAB">
        <w:rPr>
          <w:rFonts w:hint="eastAsia"/>
          <w:shd w:val="clear" w:color="auto" w:fill="FFFFFF"/>
          <w:lang w:eastAsia="zh-TW"/>
        </w:rPr>
        <w:t>年</w:t>
      </w:r>
      <w:r w:rsidRPr="00B62DAB">
        <w:rPr>
          <w:shd w:val="clear" w:color="auto" w:fill="FFFFFF"/>
          <w:lang w:eastAsia="zh-TW"/>
        </w:rPr>
        <w:t>4</w:t>
      </w:r>
      <w:r w:rsidRPr="00B62DAB">
        <w:rPr>
          <w:rFonts w:hint="eastAsia"/>
          <w:shd w:val="clear" w:color="auto" w:fill="FFFFFF"/>
          <w:lang w:eastAsia="zh-TW"/>
        </w:rPr>
        <w:t>月</w:t>
      </w:r>
      <w:r w:rsidRPr="00B62DAB">
        <w:rPr>
          <w:shd w:val="clear" w:color="auto" w:fill="FFFFFF"/>
          <w:lang w:eastAsia="zh-TW"/>
        </w:rPr>
        <w:t>20</w:t>
      </w:r>
      <w:r w:rsidRPr="00B62DAB">
        <w:rPr>
          <w:rFonts w:hint="eastAsia"/>
          <w:shd w:val="clear" w:color="auto" w:fill="FFFFFF"/>
          <w:lang w:eastAsia="zh-TW"/>
        </w:rPr>
        <w:t>日，漢高宣佈簽署了一項關於將其在</w:t>
      </w:r>
      <w:r w:rsidRPr="00B62DAB">
        <w:rPr>
          <w:rFonts w:hint="eastAsia"/>
          <w:b/>
          <w:bCs/>
          <w:shd w:val="clear" w:color="auto" w:fill="FFFFFF"/>
          <w:lang w:eastAsia="zh-TW"/>
        </w:rPr>
        <w:t>俄羅斯的業務出售</w:t>
      </w:r>
      <w:r w:rsidRPr="00B62DAB">
        <w:rPr>
          <w:rFonts w:hint="eastAsia"/>
          <w:shd w:val="clear" w:color="auto" w:fill="FFFFFF"/>
          <w:lang w:eastAsia="zh-TW"/>
        </w:rPr>
        <w:t>給當地金融投資者財團的協議。去年</w:t>
      </w:r>
      <w:r>
        <w:rPr>
          <w:rFonts w:hint="eastAsia"/>
          <w:shd w:val="clear" w:color="auto" w:fill="FFFFFF"/>
          <w:lang w:eastAsia="zh-TW"/>
        </w:rPr>
        <w:t>俄烏衝突</w:t>
      </w:r>
      <w:r w:rsidRPr="00B62DAB">
        <w:rPr>
          <w:rFonts w:hint="eastAsia"/>
          <w:shd w:val="clear" w:color="auto" w:fill="FFFFFF"/>
          <w:lang w:eastAsia="zh-TW"/>
        </w:rPr>
        <w:t>後，公司宣佈退出俄羅斯業務。該交易已經完成，出售價格達到</w:t>
      </w:r>
      <w:r w:rsidRPr="00B62DAB">
        <w:rPr>
          <w:shd w:val="clear" w:color="auto" w:fill="FFFFFF"/>
          <w:lang w:eastAsia="zh-TW"/>
        </w:rPr>
        <w:t>540</w:t>
      </w:r>
      <w:r w:rsidRPr="00B62DAB">
        <w:rPr>
          <w:rFonts w:hint="eastAsia"/>
          <w:shd w:val="clear" w:color="auto" w:fill="FFFFFF"/>
          <w:lang w:eastAsia="zh-TW"/>
        </w:rPr>
        <w:t>億盧布（約</w:t>
      </w:r>
      <w:r w:rsidRPr="00B62DAB">
        <w:rPr>
          <w:shd w:val="clear" w:color="auto" w:fill="FFFFFF"/>
          <w:lang w:eastAsia="zh-TW"/>
        </w:rPr>
        <w:t>6</w:t>
      </w:r>
      <w:r w:rsidRPr="00B62DAB">
        <w:rPr>
          <w:rFonts w:hint="eastAsia"/>
          <w:shd w:val="clear" w:color="auto" w:fill="FFFFFF"/>
          <w:lang w:eastAsia="zh-TW"/>
        </w:rPr>
        <w:t>億歐元）。</w:t>
      </w:r>
    </w:p>
    <w:p w14:paraId="40F7ED4A" w14:textId="77777777" w:rsidR="00BF60CD" w:rsidRPr="00B62DAB" w:rsidRDefault="00BF60CD" w:rsidP="00B350BA">
      <w:pPr>
        <w:spacing w:afterLines="50" w:after="120"/>
        <w:rPr>
          <w:rFonts w:cs="Segoe UI"/>
          <w:szCs w:val="22"/>
          <w:lang w:eastAsia="zh-TW"/>
        </w:rPr>
      </w:pPr>
    </w:p>
    <w:p w14:paraId="49527D4D" w14:textId="1281BD0F" w:rsidR="0009628B" w:rsidRPr="00E454C6" w:rsidRDefault="000663A0" w:rsidP="00B350BA">
      <w:pPr>
        <w:spacing w:afterLines="50" w:after="120"/>
        <w:rPr>
          <w:rFonts w:cs="Segoe UI"/>
          <w:b/>
          <w:bCs/>
          <w:sz w:val="28"/>
          <w:szCs w:val="28"/>
          <w:lang w:eastAsia="zh-TW"/>
        </w:rPr>
      </w:pPr>
      <w:bookmarkStart w:id="3" w:name="SNAMD_dc825768bfb2420dbdc0e075b6c733f3"/>
      <w:bookmarkStart w:id="4" w:name="SNERR_085cbfa1dc5245baabab2f6ce609ab4b"/>
      <w:r w:rsidRPr="00E454C6">
        <w:rPr>
          <w:b/>
          <w:sz w:val="28"/>
          <w:szCs w:val="28"/>
          <w:lang w:eastAsia="zh-TW"/>
        </w:rPr>
        <w:t>2023</w:t>
      </w:r>
      <w:r w:rsidRPr="00E454C6">
        <w:rPr>
          <w:rFonts w:hint="eastAsia"/>
          <w:b/>
          <w:sz w:val="28"/>
          <w:szCs w:val="28"/>
          <w:lang w:eastAsia="zh-TW"/>
        </w:rPr>
        <w:t>年上半年各業務部的增長情況</w:t>
      </w:r>
      <w:r w:rsidR="0009628B" w:rsidRPr="00E454C6">
        <w:rPr>
          <w:rFonts w:hint="eastAsia"/>
          <w:color w:val="000000" w:themeColor="text1"/>
          <w:sz w:val="28"/>
          <w:szCs w:val="28"/>
        </w:rPr>
        <w:fldChar w:fldCharType="begin"/>
      </w:r>
      <w:r w:rsidR="0009628B" w:rsidRPr="00E454C6">
        <w:rPr>
          <w:rFonts w:hint="eastAsia"/>
          <w:color w:val="000000" w:themeColor="text1"/>
          <w:sz w:val="28"/>
          <w:szCs w:val="28"/>
          <w:lang w:eastAsia="zh-TW"/>
        </w:rPr>
        <w:instrText xml:space="preserve"> DOCVARIABLE WORDVALUE-7c2eb70d-9d14-4f70-93d9-1f388a1f5be7 \* CHARFORMAT </w:instrText>
      </w:r>
      <w:r w:rsidR="0009628B" w:rsidRPr="00E454C6">
        <w:rPr>
          <w:rFonts w:hint="eastAsia"/>
          <w:color w:val="000000" w:themeColor="text1"/>
          <w:sz w:val="28"/>
          <w:szCs w:val="28"/>
        </w:rPr>
        <w:fldChar w:fldCharType="end"/>
      </w:r>
      <w:bookmarkEnd w:id="3"/>
      <w:bookmarkEnd w:id="4"/>
      <w:r w:rsidR="0009628B" w:rsidRPr="00E454C6">
        <w:rPr>
          <w:rFonts w:hint="eastAsia"/>
          <w:color w:val="000000" w:themeColor="text1"/>
          <w:sz w:val="28"/>
          <w:szCs w:val="28"/>
        </w:rPr>
        <w:fldChar w:fldCharType="begin"/>
      </w:r>
      <w:r w:rsidR="0009628B" w:rsidRPr="00E454C6">
        <w:rPr>
          <w:rFonts w:hint="eastAsia"/>
          <w:color w:val="000000" w:themeColor="text1"/>
          <w:sz w:val="28"/>
          <w:szCs w:val="28"/>
          <w:lang w:eastAsia="zh-TW"/>
        </w:rPr>
        <w:instrText xml:space="preserve"> DOCVARIABLE WORDVALUE-b5592f6a-a403-4cc8-a105-1f388a58258f \* CHARFORMAT </w:instrText>
      </w:r>
      <w:r w:rsidR="0009628B" w:rsidRPr="00E454C6">
        <w:rPr>
          <w:rFonts w:hint="eastAsia"/>
          <w:color w:val="000000" w:themeColor="text1"/>
          <w:sz w:val="28"/>
          <w:szCs w:val="28"/>
        </w:rPr>
        <w:fldChar w:fldCharType="end"/>
      </w:r>
    </w:p>
    <w:p w14:paraId="7C9DCA09" w14:textId="54539C8B" w:rsidR="0009628B" w:rsidRDefault="0009628B" w:rsidP="00B350BA">
      <w:pPr>
        <w:spacing w:afterLines="50" w:after="120"/>
        <w:rPr>
          <w:color w:val="000000" w:themeColor="text1"/>
          <w:lang w:eastAsia="zh-TW"/>
        </w:rPr>
      </w:pPr>
      <w:r w:rsidRPr="00B62DAB">
        <w:rPr>
          <w:rFonts w:hint="eastAsia"/>
          <w:color w:val="000000" w:themeColor="text1"/>
        </w:rPr>
        <w:fldChar w:fldCharType="begin"/>
      </w:r>
      <w:r w:rsidRPr="00B62DAB">
        <w:rPr>
          <w:rFonts w:hint="eastAsia"/>
          <w:color w:val="000000" w:themeColor="text1"/>
          <w:lang w:eastAsia="zh-TW"/>
        </w:rPr>
        <w:instrText xml:space="preserve"> DOCVARIABLE WORDVALUE-7c2eb70d-9d14-4f70-93d9-1f388a1f5be7 \* CHARFORMAT </w:instrText>
      </w:r>
      <w:r w:rsidRPr="00B62DAB">
        <w:rPr>
          <w:rFonts w:hint="eastAsia"/>
          <w:color w:val="000000" w:themeColor="text1"/>
        </w:rPr>
        <w:fldChar w:fldCharType="end"/>
      </w:r>
      <w:r w:rsidRPr="00B62DAB">
        <w:rPr>
          <w:rFonts w:hint="eastAsia"/>
          <w:color w:val="000000" w:themeColor="text1"/>
        </w:rPr>
        <w:fldChar w:fldCharType="begin"/>
      </w:r>
      <w:r w:rsidRPr="00B62DAB">
        <w:rPr>
          <w:rFonts w:hint="eastAsia"/>
          <w:color w:val="000000" w:themeColor="text1"/>
          <w:lang w:eastAsia="zh-TW"/>
        </w:rPr>
        <w:instrText xml:space="preserve"> DOCVARIABLE WORDVALUE-b5592f6a-a403-4cc8-a105-1f388a58258f \* CHARFORMAT </w:instrText>
      </w:r>
      <w:r w:rsidRPr="00B62DAB">
        <w:rPr>
          <w:rFonts w:hint="eastAsia"/>
          <w:color w:val="000000" w:themeColor="text1"/>
        </w:rPr>
        <w:fldChar w:fldCharType="end"/>
      </w:r>
      <w:r w:rsidR="000663A0" w:rsidRPr="00B62DAB">
        <w:rPr>
          <w:lang w:eastAsia="zh-TW"/>
        </w:rPr>
        <w:t>2023</w:t>
      </w:r>
      <w:r w:rsidR="000663A0" w:rsidRPr="00B62DAB">
        <w:rPr>
          <w:rFonts w:hint="eastAsia"/>
          <w:lang w:eastAsia="zh-TW"/>
        </w:rPr>
        <w:t>年上半年，</w:t>
      </w:r>
      <w:r w:rsidR="000663A0" w:rsidRPr="00B62DAB">
        <w:rPr>
          <w:rFonts w:hint="eastAsia"/>
          <w:b/>
          <w:bCs/>
          <w:lang w:eastAsia="zh-TW"/>
        </w:rPr>
        <w:t>粘合劑技術</w:t>
      </w:r>
      <w:r w:rsidR="000663A0" w:rsidRPr="00B62DAB">
        <w:rPr>
          <w:rFonts w:hint="eastAsia"/>
          <w:lang w:eastAsia="zh-TW"/>
        </w:rPr>
        <w:t>業務部的</w:t>
      </w:r>
      <w:r w:rsidR="000663A0" w:rsidRPr="00B62DAB">
        <w:rPr>
          <w:rFonts w:hint="eastAsia"/>
          <w:b/>
          <w:bCs/>
          <w:lang w:eastAsia="zh-TW"/>
        </w:rPr>
        <w:t>銷售額</w:t>
      </w:r>
      <w:r w:rsidR="000663A0" w:rsidRPr="00B62DAB">
        <w:rPr>
          <w:rFonts w:hint="eastAsia"/>
          <w:lang w:eastAsia="zh-TW"/>
        </w:rPr>
        <w:t>名義增長</w:t>
      </w:r>
      <w:r w:rsidR="000663A0" w:rsidRPr="00B62DAB">
        <w:rPr>
          <w:lang w:eastAsia="zh-TW"/>
        </w:rPr>
        <w:t>0.1%</w:t>
      </w:r>
      <w:r w:rsidR="000663A0" w:rsidRPr="00B62DAB">
        <w:rPr>
          <w:rFonts w:hint="eastAsia"/>
          <w:lang w:eastAsia="zh-TW"/>
        </w:rPr>
        <w:t>，達到</w:t>
      </w:r>
      <w:r w:rsidR="000663A0" w:rsidRPr="00B62DAB">
        <w:rPr>
          <w:lang w:eastAsia="zh-TW"/>
        </w:rPr>
        <w:t>54.75</w:t>
      </w:r>
      <w:r w:rsidR="000663A0" w:rsidRPr="00B62DAB">
        <w:rPr>
          <w:rFonts w:hint="eastAsia"/>
          <w:lang w:eastAsia="zh-TW"/>
        </w:rPr>
        <w:t>億歐元（第二季度：</w:t>
      </w:r>
      <w:r w:rsidR="000663A0" w:rsidRPr="00B62DAB">
        <w:rPr>
          <w:lang w:eastAsia="zh-TW"/>
        </w:rPr>
        <w:t>26.83</w:t>
      </w:r>
      <w:r w:rsidR="000663A0" w:rsidRPr="00B62DAB">
        <w:rPr>
          <w:rFonts w:hint="eastAsia"/>
          <w:lang w:eastAsia="zh-TW"/>
        </w:rPr>
        <w:t>億歐元，下降</w:t>
      </w:r>
      <w:r w:rsidR="000663A0" w:rsidRPr="00B62DAB">
        <w:rPr>
          <w:lang w:eastAsia="zh-TW"/>
        </w:rPr>
        <w:t>5.4%</w:t>
      </w:r>
      <w:r w:rsidR="000663A0" w:rsidRPr="00B62DAB">
        <w:rPr>
          <w:rFonts w:hint="eastAsia"/>
          <w:lang w:eastAsia="zh-TW"/>
        </w:rPr>
        <w:t>）。</w:t>
      </w:r>
      <w:r w:rsidR="000663A0" w:rsidRPr="00B62DAB">
        <w:rPr>
          <w:rFonts w:hint="eastAsia"/>
          <w:b/>
          <w:bCs/>
          <w:lang w:eastAsia="zh-TW"/>
        </w:rPr>
        <w:t>有機銷售額</w:t>
      </w:r>
      <w:r w:rsidR="000663A0" w:rsidRPr="00B62DAB">
        <w:rPr>
          <w:rFonts w:hint="eastAsia"/>
          <w:lang w:eastAsia="zh-TW"/>
        </w:rPr>
        <w:t>增長</w:t>
      </w:r>
      <w:r w:rsidR="000663A0" w:rsidRPr="00B62DAB">
        <w:rPr>
          <w:lang w:eastAsia="zh-TW"/>
        </w:rPr>
        <w:t>4.7%</w:t>
      </w:r>
      <w:r w:rsidR="000663A0" w:rsidRPr="00B62DAB">
        <w:rPr>
          <w:rFonts w:hint="eastAsia"/>
          <w:lang w:eastAsia="zh-TW"/>
        </w:rPr>
        <w:t>（第二季度：</w:t>
      </w:r>
      <w:r w:rsidR="000663A0">
        <w:rPr>
          <w:rFonts w:hint="eastAsia"/>
          <w:lang w:eastAsia="zh-TW"/>
        </w:rPr>
        <w:t>增長</w:t>
      </w:r>
      <w:r w:rsidR="000663A0" w:rsidRPr="00B62DAB">
        <w:rPr>
          <w:lang w:eastAsia="zh-TW"/>
        </w:rPr>
        <w:t>2.7%</w:t>
      </w:r>
      <w:r w:rsidR="000663A0" w:rsidRPr="00B62DAB">
        <w:rPr>
          <w:rFonts w:hint="eastAsia"/>
          <w:lang w:eastAsia="zh-TW"/>
        </w:rPr>
        <w:t>）。這一增長是通過兩位數的價格增長幅度實現的，而由於</w:t>
      </w:r>
      <w:r w:rsidR="000663A0">
        <w:rPr>
          <w:rFonts w:hint="eastAsia"/>
          <w:lang w:eastAsia="zh-TW"/>
        </w:rPr>
        <w:t>一些</w:t>
      </w:r>
      <w:r w:rsidR="000663A0" w:rsidRPr="00B62DAB">
        <w:rPr>
          <w:rFonts w:hint="eastAsia"/>
          <w:lang w:eastAsia="zh-TW"/>
        </w:rPr>
        <w:t>相關終端市場的需求疲軟，銷量低於去年同期水平。移動和電子業務領域實現了</w:t>
      </w:r>
      <w:r w:rsidR="000663A0" w:rsidRPr="00B62DAB">
        <w:rPr>
          <w:lang w:eastAsia="zh-TW"/>
        </w:rPr>
        <w:t>10.9%</w:t>
      </w:r>
      <w:r w:rsidR="000663A0" w:rsidRPr="00B62DAB">
        <w:rPr>
          <w:rFonts w:hint="eastAsia"/>
          <w:lang w:eastAsia="zh-TW"/>
        </w:rPr>
        <w:t>的兩位數有機銷售額增長（第二季度：</w:t>
      </w:r>
      <w:r w:rsidR="000663A0">
        <w:rPr>
          <w:rFonts w:hint="eastAsia"/>
          <w:lang w:eastAsia="zh-TW"/>
        </w:rPr>
        <w:t>增長</w:t>
      </w:r>
      <w:r w:rsidR="000663A0" w:rsidRPr="00B62DAB">
        <w:rPr>
          <w:lang w:eastAsia="zh-TW"/>
        </w:rPr>
        <w:t>9.2%</w:t>
      </w:r>
      <w:r w:rsidR="000663A0" w:rsidRPr="00B62DAB">
        <w:rPr>
          <w:rFonts w:hint="eastAsia"/>
          <w:lang w:eastAsia="zh-TW"/>
        </w:rPr>
        <w:t>）。包裝和消費品業務領域的有機銷售額下降</w:t>
      </w:r>
      <w:r w:rsidR="000663A0" w:rsidRPr="00B62DAB">
        <w:rPr>
          <w:lang w:eastAsia="zh-TW"/>
        </w:rPr>
        <w:t>1.5%</w:t>
      </w:r>
      <w:r w:rsidR="000663A0" w:rsidRPr="00B62DAB">
        <w:rPr>
          <w:rFonts w:hint="eastAsia"/>
          <w:lang w:eastAsia="zh-TW"/>
        </w:rPr>
        <w:t>（第二季度：</w:t>
      </w:r>
      <w:r w:rsidR="000663A0">
        <w:rPr>
          <w:rFonts w:hint="eastAsia"/>
          <w:lang w:eastAsia="zh-TW"/>
        </w:rPr>
        <w:t>下降</w:t>
      </w:r>
      <w:r w:rsidR="000663A0" w:rsidRPr="00B62DAB">
        <w:rPr>
          <w:lang w:eastAsia="zh-TW"/>
        </w:rPr>
        <w:t>3.7%</w:t>
      </w:r>
      <w:r w:rsidR="000663A0" w:rsidRPr="00B62DAB">
        <w:rPr>
          <w:rFonts w:hint="eastAsia"/>
          <w:lang w:eastAsia="zh-TW"/>
        </w:rPr>
        <w:t>）。工匠、建築和專業業務領域有機銷售額增長</w:t>
      </w:r>
      <w:r w:rsidR="000663A0" w:rsidRPr="00B62DAB">
        <w:rPr>
          <w:lang w:eastAsia="zh-TW"/>
        </w:rPr>
        <w:t>4.9%</w:t>
      </w:r>
      <w:r w:rsidR="000663A0" w:rsidRPr="00B62DAB">
        <w:rPr>
          <w:rFonts w:hint="eastAsia"/>
          <w:lang w:eastAsia="zh-TW"/>
        </w:rPr>
        <w:t>（第二季度：</w:t>
      </w:r>
      <w:r w:rsidR="000663A0">
        <w:rPr>
          <w:rFonts w:hint="eastAsia"/>
          <w:lang w:eastAsia="zh-TW"/>
        </w:rPr>
        <w:t>增長</w:t>
      </w:r>
      <w:r w:rsidR="000663A0" w:rsidRPr="00B62DAB">
        <w:rPr>
          <w:lang w:eastAsia="zh-TW"/>
        </w:rPr>
        <w:t>2.9%</w:t>
      </w:r>
      <w:r w:rsidR="000663A0" w:rsidRPr="00B62DAB">
        <w:rPr>
          <w:rFonts w:hint="eastAsia"/>
          <w:lang w:eastAsia="zh-TW"/>
        </w:rPr>
        <w:t>）。</w:t>
      </w:r>
      <w:r w:rsidR="000663A0" w:rsidRPr="00B62DAB">
        <w:rPr>
          <w:color w:val="000000" w:themeColor="text1"/>
          <w:lang w:eastAsia="zh-TW"/>
        </w:rPr>
        <w:t>2023</w:t>
      </w:r>
      <w:r w:rsidR="000663A0" w:rsidRPr="00B62DAB">
        <w:rPr>
          <w:rFonts w:hint="eastAsia"/>
          <w:color w:val="000000" w:themeColor="text1"/>
          <w:lang w:eastAsia="zh-TW"/>
        </w:rPr>
        <w:t>年上半年</w:t>
      </w:r>
      <w:r w:rsidR="000663A0" w:rsidRPr="00B62DAB">
        <w:rPr>
          <w:rFonts w:hint="eastAsia"/>
          <w:b/>
          <w:bCs/>
          <w:color w:val="000000" w:themeColor="text1"/>
          <w:lang w:eastAsia="zh-TW"/>
        </w:rPr>
        <w:t>調整後的營業利潤</w:t>
      </w:r>
      <w:r w:rsidR="000663A0" w:rsidRPr="00B62DAB">
        <w:rPr>
          <w:rFonts w:hint="eastAsia"/>
          <w:color w:val="000000" w:themeColor="text1"/>
          <w:lang w:eastAsia="zh-TW"/>
        </w:rPr>
        <w:t>增長</w:t>
      </w:r>
      <w:r w:rsidR="000663A0" w:rsidRPr="00B62DAB">
        <w:rPr>
          <w:color w:val="000000" w:themeColor="text1"/>
          <w:lang w:eastAsia="zh-TW"/>
        </w:rPr>
        <w:t>3.0%</w:t>
      </w:r>
      <w:r w:rsidR="000663A0" w:rsidRPr="00B62DAB">
        <w:rPr>
          <w:rFonts w:hint="eastAsia"/>
          <w:color w:val="000000" w:themeColor="text1"/>
          <w:lang w:eastAsia="zh-TW"/>
        </w:rPr>
        <w:t>，達到</w:t>
      </w:r>
      <w:r w:rsidR="000663A0" w:rsidRPr="00B62DAB">
        <w:rPr>
          <w:color w:val="000000" w:themeColor="text1"/>
          <w:lang w:eastAsia="zh-TW"/>
        </w:rPr>
        <w:t>7.66</w:t>
      </w:r>
      <w:r w:rsidR="000663A0" w:rsidRPr="00B62DAB">
        <w:rPr>
          <w:rFonts w:hint="eastAsia"/>
          <w:color w:val="000000" w:themeColor="text1"/>
          <w:lang w:eastAsia="zh-TW"/>
        </w:rPr>
        <w:t>億歐元，去年同期為</w:t>
      </w:r>
      <w:r w:rsidR="000663A0" w:rsidRPr="00B62DAB">
        <w:rPr>
          <w:color w:val="000000" w:themeColor="text1"/>
          <w:lang w:eastAsia="zh-TW"/>
        </w:rPr>
        <w:t>7.43</w:t>
      </w:r>
      <w:r w:rsidR="000663A0" w:rsidRPr="00B62DAB">
        <w:rPr>
          <w:rFonts w:hint="eastAsia"/>
          <w:color w:val="000000" w:themeColor="text1"/>
          <w:lang w:eastAsia="zh-TW"/>
        </w:rPr>
        <w:t>億歐元。</w:t>
      </w:r>
      <w:r w:rsidR="000663A0" w:rsidRPr="00B62DAB">
        <w:rPr>
          <w:rFonts w:hint="eastAsia"/>
          <w:b/>
          <w:color w:val="000000" w:themeColor="text1"/>
          <w:lang w:eastAsia="zh-TW"/>
        </w:rPr>
        <w:t>調整後的銷售回報率</w:t>
      </w:r>
      <w:r w:rsidR="000663A0">
        <w:rPr>
          <w:rFonts w:hint="eastAsia"/>
          <w:bCs/>
          <w:color w:val="000000" w:themeColor="text1"/>
          <w:lang w:eastAsia="zh-TW"/>
        </w:rPr>
        <w:t>從去年同期的</w:t>
      </w:r>
      <w:r w:rsidR="000663A0">
        <w:rPr>
          <w:bCs/>
          <w:color w:val="000000" w:themeColor="text1"/>
          <w:lang w:eastAsia="zh-TW"/>
        </w:rPr>
        <w:t>13.6%</w:t>
      </w:r>
      <w:r w:rsidR="000663A0">
        <w:rPr>
          <w:rFonts w:hint="eastAsia"/>
          <w:bCs/>
          <w:color w:val="000000" w:themeColor="text1"/>
          <w:lang w:eastAsia="zh-TW"/>
        </w:rPr>
        <w:t>增長</w:t>
      </w:r>
      <w:r w:rsidR="000663A0" w:rsidRPr="00B62DAB">
        <w:rPr>
          <w:rFonts w:hint="eastAsia"/>
          <w:color w:val="000000" w:themeColor="text1"/>
          <w:lang w:eastAsia="zh-TW"/>
        </w:rPr>
        <w:t>到</w:t>
      </w:r>
      <w:r w:rsidR="000663A0" w:rsidRPr="00B62DAB">
        <w:rPr>
          <w:color w:val="000000" w:themeColor="text1"/>
          <w:lang w:eastAsia="zh-TW"/>
        </w:rPr>
        <w:t>14.0%</w:t>
      </w:r>
      <w:r w:rsidR="000663A0" w:rsidRPr="00B62DAB">
        <w:rPr>
          <w:rFonts w:hint="eastAsia"/>
          <w:color w:val="000000" w:themeColor="text1"/>
          <w:lang w:eastAsia="zh-TW"/>
        </w:rPr>
        <w:t>。這</w:t>
      </w:r>
      <w:r w:rsidR="000663A0">
        <w:rPr>
          <w:rFonts w:hint="eastAsia"/>
          <w:color w:val="000000" w:themeColor="text1"/>
          <w:lang w:eastAsia="zh-TW"/>
        </w:rPr>
        <w:t>一增長</w:t>
      </w:r>
      <w:r w:rsidR="000663A0" w:rsidRPr="00B62DAB">
        <w:rPr>
          <w:rFonts w:hint="eastAsia"/>
          <w:color w:val="000000" w:themeColor="text1"/>
          <w:lang w:eastAsia="zh-TW"/>
        </w:rPr>
        <w:t>尤其受到價格上漲的積極影響。</w:t>
      </w:r>
    </w:p>
    <w:p w14:paraId="5E11FAF0" w14:textId="77777777" w:rsidR="00E454C6" w:rsidRPr="00B62DAB" w:rsidRDefault="00E454C6" w:rsidP="00B350BA">
      <w:pPr>
        <w:spacing w:afterLines="50" w:after="120"/>
        <w:rPr>
          <w:rFonts w:cs="Segoe UI"/>
          <w:b/>
          <w:szCs w:val="22"/>
          <w:lang w:eastAsia="zh-TW"/>
        </w:rPr>
      </w:pPr>
    </w:p>
    <w:p w14:paraId="22B00408" w14:textId="5AB375D2" w:rsidR="0009628B" w:rsidRDefault="000663A0" w:rsidP="00B350BA">
      <w:pPr>
        <w:spacing w:afterLines="50" w:after="120"/>
        <w:rPr>
          <w:rFonts w:cs="Segoe UI"/>
          <w:szCs w:val="22"/>
          <w:lang w:eastAsia="zh-TW"/>
        </w:rPr>
      </w:pPr>
      <w:bookmarkStart w:id="5" w:name="_Hlk78300139"/>
      <w:r w:rsidRPr="00B62DAB">
        <w:rPr>
          <w:rFonts w:cs="Segoe UI"/>
          <w:szCs w:val="22"/>
          <w:lang w:eastAsia="zh-TW"/>
        </w:rPr>
        <w:t>2023</w:t>
      </w:r>
      <w:r w:rsidRPr="00B62DAB">
        <w:rPr>
          <w:rFonts w:cs="Segoe UI" w:hint="eastAsia"/>
          <w:szCs w:val="22"/>
          <w:lang w:eastAsia="zh-TW"/>
        </w:rPr>
        <w:t>年上半年，</w:t>
      </w:r>
      <w:r w:rsidRPr="00B62DAB">
        <w:rPr>
          <w:rFonts w:cs="Segoe UI" w:hint="eastAsia"/>
          <w:b/>
          <w:szCs w:val="22"/>
          <w:lang w:eastAsia="zh-TW"/>
        </w:rPr>
        <w:t>消費品牌</w:t>
      </w:r>
      <w:r w:rsidRPr="00B62DAB">
        <w:rPr>
          <w:rFonts w:cs="Segoe UI" w:hint="eastAsia"/>
          <w:szCs w:val="22"/>
          <w:lang w:eastAsia="zh-TW"/>
        </w:rPr>
        <w:t>業務部的</w:t>
      </w:r>
      <w:r w:rsidRPr="00B62DAB">
        <w:rPr>
          <w:rFonts w:cs="Segoe UI" w:hint="eastAsia"/>
          <w:b/>
          <w:szCs w:val="22"/>
          <w:lang w:eastAsia="zh-TW"/>
        </w:rPr>
        <w:t>銷售額</w:t>
      </w:r>
      <w:r w:rsidRPr="00B62DAB">
        <w:rPr>
          <w:rFonts w:cs="Segoe UI" w:hint="eastAsia"/>
          <w:szCs w:val="22"/>
          <w:lang w:eastAsia="zh-TW"/>
        </w:rPr>
        <w:t>為</w:t>
      </w:r>
      <w:r w:rsidRPr="00B62DAB">
        <w:rPr>
          <w:rFonts w:cs="Segoe UI"/>
          <w:szCs w:val="22"/>
          <w:lang w:eastAsia="zh-TW"/>
        </w:rPr>
        <w:t>53.65</w:t>
      </w:r>
      <w:r w:rsidRPr="00B62DAB">
        <w:rPr>
          <w:rFonts w:cs="Segoe UI" w:hint="eastAsia"/>
          <w:szCs w:val="22"/>
          <w:lang w:eastAsia="zh-TW"/>
        </w:rPr>
        <w:t>億歐元（第二季度：</w:t>
      </w:r>
      <w:r w:rsidRPr="00B62DAB">
        <w:rPr>
          <w:rFonts w:cs="Segoe UI"/>
          <w:szCs w:val="22"/>
          <w:lang w:eastAsia="zh-TW"/>
        </w:rPr>
        <w:t>25.94</w:t>
      </w:r>
      <w:r w:rsidRPr="00B62DAB">
        <w:rPr>
          <w:rFonts w:cs="Segoe UI" w:hint="eastAsia"/>
          <w:szCs w:val="22"/>
          <w:lang w:eastAsia="zh-TW"/>
        </w:rPr>
        <w:t>億歐元）。</w:t>
      </w:r>
      <w:r>
        <w:rPr>
          <w:rFonts w:cs="Segoe UI" w:hint="eastAsia"/>
          <w:szCs w:val="22"/>
          <w:lang w:eastAsia="zh-TW"/>
        </w:rPr>
        <w:t>相應的，</w:t>
      </w:r>
      <w:r w:rsidRPr="00B62DAB">
        <w:rPr>
          <w:rFonts w:cs="Segoe UI" w:hint="eastAsia"/>
          <w:szCs w:val="22"/>
          <w:lang w:eastAsia="zh-TW"/>
        </w:rPr>
        <w:t>名義增長</w:t>
      </w:r>
      <w:r w:rsidRPr="00B62DAB">
        <w:rPr>
          <w:rFonts w:cs="Segoe UI"/>
          <w:szCs w:val="22"/>
          <w:lang w:eastAsia="zh-TW"/>
        </w:rPr>
        <w:t>0.6%</w:t>
      </w:r>
      <w:r w:rsidRPr="00B62DAB">
        <w:rPr>
          <w:rFonts w:cs="Segoe UI" w:hint="eastAsia"/>
          <w:szCs w:val="22"/>
          <w:lang w:eastAsia="zh-TW"/>
        </w:rPr>
        <w:t>（第二季度：下降</w:t>
      </w:r>
      <w:r w:rsidRPr="00B62DAB">
        <w:rPr>
          <w:rFonts w:cs="Segoe UI"/>
          <w:szCs w:val="22"/>
          <w:lang w:eastAsia="zh-TW"/>
        </w:rPr>
        <w:t>5.7%</w:t>
      </w:r>
      <w:r w:rsidRPr="00B62DAB">
        <w:rPr>
          <w:rFonts w:cs="Segoe UI" w:hint="eastAsia"/>
          <w:szCs w:val="22"/>
          <w:lang w:eastAsia="zh-TW"/>
        </w:rPr>
        <w:t>）。</w:t>
      </w:r>
      <w:r w:rsidRPr="00B62DAB">
        <w:rPr>
          <w:rFonts w:cs="Segoe UI" w:hint="eastAsia"/>
          <w:b/>
          <w:szCs w:val="22"/>
          <w:lang w:eastAsia="zh-TW"/>
        </w:rPr>
        <w:t>有機</w:t>
      </w:r>
      <w:r w:rsidRPr="00B62DAB">
        <w:rPr>
          <w:rFonts w:cs="Segoe UI" w:hint="eastAsia"/>
          <w:szCs w:val="22"/>
          <w:lang w:eastAsia="zh-TW"/>
        </w:rPr>
        <w:t>銷售額受價格驅動增長</w:t>
      </w:r>
      <w:r w:rsidRPr="00B62DAB">
        <w:rPr>
          <w:rFonts w:cs="Segoe UI"/>
          <w:szCs w:val="22"/>
          <w:lang w:eastAsia="zh-TW"/>
        </w:rPr>
        <w:t>5.7%</w:t>
      </w:r>
      <w:r w:rsidRPr="00B62DAB">
        <w:rPr>
          <w:rFonts w:cs="Segoe UI" w:hint="eastAsia"/>
          <w:szCs w:val="22"/>
          <w:lang w:eastAsia="zh-TW"/>
        </w:rPr>
        <w:t>（第二季度：</w:t>
      </w:r>
      <w:r>
        <w:rPr>
          <w:rFonts w:cs="Segoe UI" w:hint="eastAsia"/>
          <w:szCs w:val="22"/>
          <w:lang w:eastAsia="zh-TW"/>
        </w:rPr>
        <w:t>增長</w:t>
      </w:r>
      <w:r w:rsidRPr="00B62DAB">
        <w:rPr>
          <w:rFonts w:cs="Segoe UI"/>
          <w:szCs w:val="22"/>
          <w:lang w:eastAsia="zh-TW"/>
        </w:rPr>
        <w:t>4.5%</w:t>
      </w:r>
      <w:r w:rsidRPr="00B62DAB">
        <w:rPr>
          <w:rFonts w:cs="Segoe UI" w:hint="eastAsia"/>
          <w:szCs w:val="22"/>
          <w:lang w:eastAsia="zh-TW"/>
        </w:rPr>
        <w:t>）。相比之下，銷量有所下降，部分原因是由於正在進行的產品組合優化措施。洗滌劑及家用護理業務領域實現非常強勁的有機銷售額增長，達到</w:t>
      </w:r>
      <w:r w:rsidRPr="00B62DAB">
        <w:rPr>
          <w:rFonts w:cs="Segoe UI"/>
          <w:szCs w:val="22"/>
          <w:lang w:eastAsia="zh-TW"/>
        </w:rPr>
        <w:t>5.3%</w:t>
      </w:r>
      <w:r w:rsidRPr="00B62DAB">
        <w:rPr>
          <w:rFonts w:cs="Segoe UI" w:hint="eastAsia"/>
          <w:szCs w:val="22"/>
          <w:lang w:eastAsia="zh-TW"/>
        </w:rPr>
        <w:t>（第二季度：</w:t>
      </w:r>
      <w:r>
        <w:rPr>
          <w:rFonts w:hint="eastAsia"/>
          <w:lang w:eastAsia="zh-TW"/>
        </w:rPr>
        <w:t>增長</w:t>
      </w:r>
      <w:r w:rsidRPr="00B62DAB">
        <w:rPr>
          <w:rFonts w:cs="Segoe UI"/>
          <w:szCs w:val="22"/>
          <w:lang w:eastAsia="zh-TW"/>
        </w:rPr>
        <w:t>4.4%</w:t>
      </w:r>
      <w:r w:rsidRPr="00B62DAB">
        <w:rPr>
          <w:rFonts w:cs="Segoe UI" w:hint="eastAsia"/>
          <w:szCs w:val="22"/>
          <w:lang w:eastAsia="zh-TW"/>
        </w:rPr>
        <w:t>）。美髮業務在</w:t>
      </w:r>
      <w:r w:rsidRPr="00B62DAB">
        <w:rPr>
          <w:rFonts w:cs="Segoe UI"/>
          <w:szCs w:val="22"/>
          <w:lang w:eastAsia="zh-TW"/>
        </w:rPr>
        <w:t>2023</w:t>
      </w:r>
      <w:r w:rsidRPr="00B62DAB">
        <w:rPr>
          <w:rFonts w:cs="Segoe UI" w:hint="eastAsia"/>
          <w:szCs w:val="22"/>
          <w:lang w:eastAsia="zh-TW"/>
        </w:rPr>
        <w:t>年上半年實現了</w:t>
      </w:r>
      <w:r w:rsidRPr="00B62DAB">
        <w:rPr>
          <w:rFonts w:cs="Segoe UI"/>
          <w:szCs w:val="22"/>
          <w:lang w:eastAsia="zh-TW"/>
        </w:rPr>
        <w:t>7.9%</w:t>
      </w:r>
      <w:r w:rsidRPr="00B62DAB">
        <w:rPr>
          <w:rFonts w:cs="Segoe UI" w:hint="eastAsia"/>
          <w:szCs w:val="22"/>
          <w:lang w:eastAsia="zh-TW"/>
        </w:rPr>
        <w:t>的整體有機銷售額增長（第二季度：</w:t>
      </w:r>
      <w:r>
        <w:rPr>
          <w:rFonts w:hint="eastAsia"/>
          <w:lang w:eastAsia="zh-TW"/>
        </w:rPr>
        <w:t>增長</w:t>
      </w:r>
      <w:r w:rsidRPr="00B62DAB">
        <w:rPr>
          <w:rFonts w:cs="Segoe UI"/>
          <w:szCs w:val="22"/>
          <w:lang w:eastAsia="zh-TW"/>
        </w:rPr>
        <w:t>6.1%</w:t>
      </w:r>
      <w:r w:rsidRPr="00B62DAB">
        <w:rPr>
          <w:rFonts w:cs="Segoe UI" w:hint="eastAsia"/>
          <w:szCs w:val="22"/>
          <w:lang w:eastAsia="zh-TW"/>
        </w:rPr>
        <w:t>）。其他消費品業務在今年上半年的銷售額增長持平（</w:t>
      </w:r>
      <w:r w:rsidRPr="00B62DAB">
        <w:rPr>
          <w:rFonts w:cs="Segoe UI"/>
          <w:szCs w:val="22"/>
          <w:lang w:eastAsia="zh-TW"/>
        </w:rPr>
        <w:t>0.0%</w:t>
      </w:r>
      <w:r w:rsidRPr="00B62DAB">
        <w:rPr>
          <w:rFonts w:cs="Segoe UI" w:hint="eastAsia"/>
          <w:szCs w:val="22"/>
          <w:lang w:eastAsia="zh-TW"/>
        </w:rPr>
        <w:t>，第二季度：下降</w:t>
      </w:r>
      <w:r w:rsidRPr="00B62DAB">
        <w:rPr>
          <w:rFonts w:cs="Segoe UI"/>
          <w:szCs w:val="22"/>
          <w:lang w:eastAsia="zh-TW"/>
        </w:rPr>
        <w:t>1.4%</w:t>
      </w:r>
      <w:r w:rsidRPr="00B62DAB">
        <w:rPr>
          <w:rFonts w:cs="Segoe UI" w:hint="eastAsia"/>
          <w:szCs w:val="22"/>
          <w:lang w:eastAsia="zh-TW"/>
        </w:rPr>
        <w:t>）。</w:t>
      </w:r>
      <w:r w:rsidRPr="00B62DAB">
        <w:rPr>
          <w:rFonts w:cs="Segoe UI" w:hint="eastAsia"/>
          <w:b/>
          <w:szCs w:val="22"/>
          <w:lang w:eastAsia="zh-TW"/>
        </w:rPr>
        <w:t>調整後的營業利潤</w:t>
      </w:r>
      <w:r w:rsidRPr="00B62DAB">
        <w:rPr>
          <w:rFonts w:cs="Segoe UI" w:hint="eastAsia"/>
          <w:szCs w:val="22"/>
          <w:lang w:eastAsia="zh-TW"/>
        </w:rPr>
        <w:t>為</w:t>
      </w:r>
      <w:r w:rsidRPr="00B62DAB">
        <w:rPr>
          <w:rFonts w:cs="Segoe UI"/>
          <w:szCs w:val="22"/>
          <w:lang w:eastAsia="zh-TW"/>
        </w:rPr>
        <w:t>5.59</w:t>
      </w:r>
      <w:r w:rsidRPr="00B62DAB">
        <w:rPr>
          <w:rFonts w:cs="Segoe UI" w:hint="eastAsia"/>
          <w:szCs w:val="22"/>
          <w:lang w:eastAsia="zh-TW"/>
        </w:rPr>
        <w:t>億歐元，比去年同期增長</w:t>
      </w:r>
      <w:r w:rsidRPr="00B62DAB">
        <w:rPr>
          <w:rFonts w:cs="Segoe UI"/>
          <w:szCs w:val="22"/>
          <w:lang w:eastAsia="zh-TW"/>
        </w:rPr>
        <w:t>15.9%</w:t>
      </w:r>
      <w:r w:rsidRPr="00B62DAB">
        <w:rPr>
          <w:rFonts w:cs="Segoe UI" w:hint="eastAsia"/>
          <w:szCs w:val="22"/>
          <w:lang w:eastAsia="zh-TW"/>
        </w:rPr>
        <w:t>。這一增長得益於為進一步彌補居高不下的直接材料價格而</w:t>
      </w:r>
      <w:r>
        <w:rPr>
          <w:rFonts w:cs="Segoe UI" w:hint="eastAsia"/>
          <w:szCs w:val="22"/>
          <w:lang w:eastAsia="zh-TW"/>
        </w:rPr>
        <w:t>進行</w:t>
      </w:r>
      <w:r w:rsidRPr="00B62DAB">
        <w:rPr>
          <w:rFonts w:cs="Segoe UI" w:hint="eastAsia"/>
          <w:szCs w:val="22"/>
          <w:lang w:eastAsia="zh-TW"/>
        </w:rPr>
        <w:t>的銷售價格調整</w:t>
      </w:r>
      <w:r>
        <w:rPr>
          <w:rFonts w:cs="Segoe UI" w:hint="eastAsia"/>
          <w:szCs w:val="22"/>
          <w:lang w:eastAsia="zh-TW"/>
        </w:rPr>
        <w:t>、</w:t>
      </w:r>
      <w:r w:rsidRPr="00B62DAB">
        <w:rPr>
          <w:rFonts w:cs="Segoe UI" w:hint="eastAsia"/>
          <w:szCs w:val="22"/>
          <w:lang w:eastAsia="zh-TW"/>
        </w:rPr>
        <w:t>新消費品牌業務部中消費品業務整合帶來的</w:t>
      </w:r>
      <w:r>
        <w:rPr>
          <w:rFonts w:cs="Segoe UI" w:hint="eastAsia"/>
          <w:szCs w:val="22"/>
          <w:lang w:eastAsia="zh-TW"/>
        </w:rPr>
        <w:t>成本</w:t>
      </w:r>
      <w:r w:rsidRPr="00B62DAB">
        <w:rPr>
          <w:rFonts w:cs="Segoe UI" w:hint="eastAsia"/>
          <w:szCs w:val="22"/>
          <w:lang w:eastAsia="zh-TW"/>
        </w:rPr>
        <w:t>節省，以及產品組合優化措施。</w:t>
      </w:r>
      <w:r w:rsidRPr="00B62DAB">
        <w:rPr>
          <w:rFonts w:cs="Segoe UI" w:hint="eastAsia"/>
          <w:b/>
          <w:szCs w:val="22"/>
          <w:lang w:eastAsia="zh-TW"/>
        </w:rPr>
        <w:t>調整後的銷售回報率</w:t>
      </w:r>
      <w:r w:rsidRPr="00B62DAB">
        <w:rPr>
          <w:rFonts w:cs="Segoe UI" w:hint="eastAsia"/>
          <w:szCs w:val="22"/>
          <w:lang w:eastAsia="zh-TW"/>
        </w:rPr>
        <w:t>增至</w:t>
      </w:r>
      <w:r w:rsidRPr="00B62DAB">
        <w:rPr>
          <w:rFonts w:cs="Segoe UI"/>
          <w:szCs w:val="22"/>
          <w:lang w:eastAsia="zh-TW"/>
        </w:rPr>
        <w:t>10.4%</w:t>
      </w:r>
      <w:r w:rsidRPr="00B62DAB">
        <w:rPr>
          <w:rFonts w:cs="Segoe UI" w:hint="eastAsia"/>
          <w:szCs w:val="22"/>
          <w:lang w:eastAsia="zh-TW"/>
        </w:rPr>
        <w:t>。</w:t>
      </w:r>
    </w:p>
    <w:p w14:paraId="0C90CD3F" w14:textId="77777777" w:rsidR="00BF60CD" w:rsidRDefault="00BF60CD" w:rsidP="00B350BA">
      <w:pPr>
        <w:spacing w:afterLines="50" w:after="120"/>
        <w:rPr>
          <w:rFonts w:cs="Segoe UI"/>
          <w:szCs w:val="22"/>
          <w:lang w:eastAsia="zh-TW"/>
        </w:rPr>
      </w:pPr>
    </w:p>
    <w:bookmarkEnd w:id="5"/>
    <w:p w14:paraId="72561A36" w14:textId="59DBA686" w:rsidR="0009628B" w:rsidRPr="00E454C6" w:rsidRDefault="000663A0" w:rsidP="00B350BA">
      <w:pPr>
        <w:spacing w:afterLines="50" w:after="120"/>
        <w:rPr>
          <w:rFonts w:cs="Segoe UI"/>
          <w:sz w:val="28"/>
          <w:szCs w:val="28"/>
          <w:lang w:eastAsia="zh-TW"/>
        </w:rPr>
      </w:pPr>
      <w:r w:rsidRPr="00E454C6">
        <w:rPr>
          <w:rFonts w:hint="eastAsia"/>
          <w:b/>
          <w:sz w:val="28"/>
          <w:szCs w:val="28"/>
          <w:lang w:eastAsia="zh-TW"/>
        </w:rPr>
        <w:t>持續推動增長議程的實施</w:t>
      </w:r>
    </w:p>
    <w:p w14:paraId="4C0F9CDF" w14:textId="42A736CF" w:rsidR="0009628B" w:rsidRDefault="000663A0" w:rsidP="00B350BA">
      <w:pPr>
        <w:autoSpaceDE w:val="0"/>
        <w:autoSpaceDN w:val="0"/>
        <w:adjustRightInd w:val="0"/>
        <w:spacing w:afterLines="50" w:after="120"/>
        <w:rPr>
          <w:lang w:eastAsia="zh-TW"/>
        </w:rPr>
      </w:pPr>
      <w:bookmarkStart w:id="6" w:name="_Hlk109204398"/>
      <w:r w:rsidRPr="00B62DAB">
        <w:rPr>
          <w:lang w:eastAsia="zh-TW"/>
        </w:rPr>
        <w:t>2023</w:t>
      </w:r>
      <w:r w:rsidRPr="00B62DAB">
        <w:rPr>
          <w:rFonts w:hint="eastAsia"/>
          <w:lang w:eastAsia="zh-TW"/>
        </w:rPr>
        <w:t>年上半年，漢高繼續堅持不懈地推進其目標性增長議程中的戰略重點，並在所有業務領域都取得了良好進展。</w:t>
      </w:r>
    </w:p>
    <w:p w14:paraId="5DA25E41" w14:textId="77777777" w:rsidR="00E454C6" w:rsidRPr="00B62DAB" w:rsidRDefault="00E454C6" w:rsidP="00B350BA">
      <w:pPr>
        <w:autoSpaceDE w:val="0"/>
        <w:autoSpaceDN w:val="0"/>
        <w:adjustRightInd w:val="0"/>
        <w:spacing w:afterLines="50" w:after="120"/>
        <w:rPr>
          <w:rFonts w:cs="Segoe UI"/>
          <w:szCs w:val="22"/>
          <w:lang w:eastAsia="zh-TW"/>
        </w:rPr>
      </w:pPr>
    </w:p>
    <w:bookmarkEnd w:id="6"/>
    <w:p w14:paraId="4A6C130A" w14:textId="639DF7B0" w:rsidR="0009628B" w:rsidRDefault="000663A0" w:rsidP="00B350BA">
      <w:pPr>
        <w:autoSpaceDE w:val="0"/>
        <w:autoSpaceDN w:val="0"/>
        <w:adjustRightInd w:val="0"/>
        <w:spacing w:afterLines="50" w:after="120"/>
        <w:rPr>
          <w:lang w:eastAsia="zh-TW"/>
        </w:rPr>
      </w:pPr>
      <w:r w:rsidRPr="00B62DAB">
        <w:rPr>
          <w:lang w:eastAsia="zh-TW"/>
        </w:rPr>
        <w:t>2023</w:t>
      </w:r>
      <w:r w:rsidRPr="00B62DAB">
        <w:rPr>
          <w:rFonts w:hint="eastAsia"/>
          <w:lang w:eastAsia="zh-TW"/>
        </w:rPr>
        <w:t>年上半年，將原洗滌劑及家用護理業務和化妝品</w:t>
      </w:r>
      <w:r w:rsidRPr="00B62DAB">
        <w:rPr>
          <w:lang w:eastAsia="zh-TW"/>
        </w:rPr>
        <w:t>/</w:t>
      </w:r>
      <w:r w:rsidRPr="00B62DAB">
        <w:rPr>
          <w:rFonts w:hint="eastAsia"/>
          <w:lang w:eastAsia="zh-TW"/>
        </w:rPr>
        <w:t>美容用品業務</w:t>
      </w:r>
      <w:r w:rsidRPr="00B62DAB">
        <w:rPr>
          <w:rFonts w:hint="eastAsia"/>
          <w:b/>
          <w:bCs/>
          <w:lang w:eastAsia="zh-TW"/>
        </w:rPr>
        <w:t>合併</w:t>
      </w:r>
      <w:r w:rsidRPr="00B62DAB">
        <w:rPr>
          <w:rFonts w:hint="eastAsia"/>
          <w:lang w:eastAsia="zh-TW"/>
        </w:rPr>
        <w:t>為</w:t>
      </w:r>
      <w:r w:rsidRPr="00B62DAB">
        <w:rPr>
          <w:rFonts w:hint="eastAsia"/>
          <w:b/>
          <w:bCs/>
          <w:lang w:eastAsia="zh-TW"/>
        </w:rPr>
        <w:t>消費品牌</w:t>
      </w:r>
      <w:r w:rsidRPr="00B62DAB">
        <w:rPr>
          <w:rFonts w:hint="eastAsia"/>
          <w:lang w:eastAsia="zh-TW"/>
        </w:rPr>
        <w:t>業務部的工作比原計劃推進得更快。在此過程中，漢高實現了進一步的成本節省</w:t>
      </w:r>
      <w:r>
        <w:rPr>
          <w:rFonts w:hint="eastAsia"/>
          <w:lang w:eastAsia="zh-TW"/>
        </w:rPr>
        <w:t>——</w:t>
      </w:r>
      <w:r w:rsidRPr="00B62DAB">
        <w:rPr>
          <w:rFonts w:hint="eastAsia"/>
          <w:lang w:eastAsia="zh-TW"/>
        </w:rPr>
        <w:t>總體而言，公司的目標是到</w:t>
      </w:r>
      <w:r w:rsidRPr="00B62DAB">
        <w:rPr>
          <w:lang w:eastAsia="zh-TW"/>
        </w:rPr>
        <w:t>2026</w:t>
      </w:r>
      <w:r w:rsidRPr="00B62DAB">
        <w:rPr>
          <w:rFonts w:hint="eastAsia"/>
          <w:lang w:eastAsia="zh-TW"/>
        </w:rPr>
        <w:t>年底實現至少</w:t>
      </w:r>
      <w:r w:rsidRPr="00B62DAB">
        <w:rPr>
          <w:lang w:eastAsia="zh-TW"/>
        </w:rPr>
        <w:t>4</w:t>
      </w:r>
      <w:r w:rsidRPr="00B62DAB">
        <w:rPr>
          <w:rFonts w:hint="eastAsia"/>
          <w:lang w:eastAsia="zh-TW"/>
        </w:rPr>
        <w:t>億歐元的淨成本節省（再投資前）。漢高還進一步聚焦於其消費品牌</w:t>
      </w:r>
      <w:r>
        <w:rPr>
          <w:rFonts w:hint="eastAsia"/>
          <w:lang w:eastAsia="zh-TW"/>
        </w:rPr>
        <w:t>產品</w:t>
      </w:r>
      <w:r w:rsidRPr="00B62DAB">
        <w:rPr>
          <w:rFonts w:hint="eastAsia"/>
          <w:lang w:eastAsia="zh-TW"/>
        </w:rPr>
        <w:t>組合。在此過程中，自宣佈消費品業務合併以來，總銷售額約為</w:t>
      </w:r>
      <w:r w:rsidRPr="00B62DAB">
        <w:rPr>
          <w:lang w:eastAsia="zh-TW"/>
        </w:rPr>
        <w:t>5</w:t>
      </w:r>
      <w:r w:rsidRPr="00B62DAB">
        <w:rPr>
          <w:rFonts w:hint="eastAsia"/>
          <w:lang w:eastAsia="zh-TW"/>
        </w:rPr>
        <w:t>億歐元的品牌和業務已被剝離或終止。與此同時，漢高在新西蘭收購了洗滌劑及家用護理品牌</w:t>
      </w:r>
      <w:r w:rsidRPr="00B62DAB">
        <w:rPr>
          <w:lang w:eastAsia="zh-TW"/>
        </w:rPr>
        <w:t>Earthwise</w:t>
      </w:r>
      <w:r w:rsidRPr="00B62DAB">
        <w:rPr>
          <w:rFonts w:hint="eastAsia"/>
          <w:lang w:eastAsia="zh-TW"/>
        </w:rPr>
        <w:t>，強化了其產品組合。漢高去年收購的資生堂亞太地區專業美髮業務的整合工作進展順利，業績良好。</w:t>
      </w:r>
    </w:p>
    <w:p w14:paraId="0F8D6199" w14:textId="77777777" w:rsidR="00E454C6" w:rsidRPr="00B62DAB" w:rsidRDefault="00E454C6" w:rsidP="00B350BA">
      <w:pPr>
        <w:autoSpaceDE w:val="0"/>
        <w:autoSpaceDN w:val="0"/>
        <w:adjustRightInd w:val="0"/>
        <w:spacing w:afterLines="50" w:after="120"/>
        <w:rPr>
          <w:rFonts w:cs="Segoe UI"/>
          <w:szCs w:val="22"/>
          <w:lang w:eastAsia="zh-TW"/>
        </w:rPr>
      </w:pPr>
    </w:p>
    <w:p w14:paraId="580B2ABA" w14:textId="61C06853" w:rsidR="0009628B" w:rsidRDefault="000663A0" w:rsidP="00B350BA">
      <w:pPr>
        <w:autoSpaceDE w:val="0"/>
        <w:autoSpaceDN w:val="0"/>
        <w:adjustRightInd w:val="0"/>
        <w:spacing w:afterLines="50" w:after="120"/>
        <w:rPr>
          <w:lang w:eastAsia="zh-TW"/>
        </w:rPr>
      </w:pPr>
      <w:r w:rsidRPr="00B62DAB">
        <w:rPr>
          <w:rFonts w:hint="eastAsia"/>
          <w:lang w:eastAsia="zh-TW"/>
        </w:rPr>
        <w:t>整合工作的第二階段於今年年初啟動，重點是優化供應鏈</w:t>
      </w:r>
      <w:r>
        <w:rPr>
          <w:rFonts w:hint="eastAsia"/>
          <w:lang w:eastAsia="zh-TW"/>
        </w:rPr>
        <w:t>。其中一些初步舉措</w:t>
      </w:r>
      <w:r w:rsidRPr="00B62DAB">
        <w:rPr>
          <w:rFonts w:hint="eastAsia"/>
          <w:lang w:eastAsia="zh-TW"/>
        </w:rPr>
        <w:t>已經</w:t>
      </w:r>
      <w:r>
        <w:rPr>
          <w:rFonts w:hint="eastAsia"/>
          <w:lang w:eastAsia="zh-TW"/>
        </w:rPr>
        <w:t>得以</w:t>
      </w:r>
      <w:r w:rsidRPr="00B62DAB">
        <w:rPr>
          <w:rFonts w:hint="eastAsia"/>
          <w:lang w:eastAsia="zh-TW"/>
        </w:rPr>
        <w:t>實施</w:t>
      </w:r>
      <w:r>
        <w:rPr>
          <w:rFonts w:hint="eastAsia"/>
          <w:lang w:eastAsia="zh-TW"/>
        </w:rPr>
        <w:t>，</w:t>
      </w:r>
      <w:r w:rsidRPr="00B62DAB">
        <w:rPr>
          <w:rFonts w:hint="eastAsia"/>
          <w:lang w:eastAsia="zh-TW"/>
        </w:rPr>
        <w:t>包括整合歐洲美髮及身體護理業務的生產網絡。</w:t>
      </w:r>
      <w:proofErr w:type="gramStart"/>
      <w:r w:rsidRPr="00B62DAB">
        <w:rPr>
          <w:rFonts w:hint="eastAsia"/>
          <w:lang w:eastAsia="zh-TW"/>
        </w:rPr>
        <w:t>此外，</w:t>
      </w:r>
      <w:proofErr w:type="gramEnd"/>
      <w:r w:rsidRPr="00B62DAB">
        <w:rPr>
          <w:rFonts w:hint="eastAsia"/>
          <w:lang w:eastAsia="zh-TW"/>
        </w:rPr>
        <w:t>第一批國家還引入了所謂的</w:t>
      </w:r>
      <w:r w:rsidRPr="00B62DAB">
        <w:rPr>
          <w:lang w:eastAsia="zh-TW"/>
        </w:rPr>
        <w:t>1-1-1</w:t>
      </w:r>
      <w:r w:rsidRPr="00B62DAB">
        <w:rPr>
          <w:rFonts w:hint="eastAsia"/>
          <w:lang w:eastAsia="zh-TW"/>
        </w:rPr>
        <w:t>原則</w:t>
      </w:r>
      <w:r>
        <w:rPr>
          <w:rFonts w:hint="eastAsia"/>
          <w:lang w:eastAsia="zh-TW"/>
        </w:rPr>
        <w:t>。在</w:t>
      </w:r>
      <w:r w:rsidRPr="00B62DAB">
        <w:rPr>
          <w:rFonts w:hint="eastAsia"/>
          <w:lang w:eastAsia="zh-TW"/>
        </w:rPr>
        <w:t>“</w:t>
      </w:r>
      <w:r>
        <w:rPr>
          <w:rFonts w:hint="eastAsia"/>
          <w:lang w:eastAsia="zh-TW"/>
        </w:rPr>
        <w:t>一個客戶只有一個對接窗口</w:t>
      </w:r>
      <w:r w:rsidRPr="00B62DAB">
        <w:rPr>
          <w:rFonts w:hint="eastAsia"/>
          <w:lang w:eastAsia="zh-TW"/>
        </w:rPr>
        <w:t>”的原則</w:t>
      </w:r>
      <w:r>
        <w:rPr>
          <w:rFonts w:hint="eastAsia"/>
          <w:lang w:eastAsia="zh-TW"/>
        </w:rPr>
        <w:t>下</w:t>
      </w:r>
      <w:r w:rsidRPr="00B62DAB">
        <w:rPr>
          <w:rFonts w:hint="eastAsia"/>
          <w:lang w:eastAsia="zh-TW"/>
        </w:rPr>
        <w:t>，以優化的物流能力推動商業整合</w:t>
      </w:r>
      <w:r>
        <w:rPr>
          <w:rFonts w:hint="eastAsia"/>
          <w:lang w:eastAsia="zh-TW"/>
        </w:rPr>
        <w:t>。</w:t>
      </w:r>
      <w:r w:rsidRPr="00B62DAB">
        <w:rPr>
          <w:rFonts w:hint="eastAsia"/>
          <w:lang w:eastAsia="zh-TW"/>
        </w:rPr>
        <w:t>這意味著：一份訂單、一次交貨、一張發票。</w:t>
      </w:r>
    </w:p>
    <w:p w14:paraId="0AF01C8D" w14:textId="77777777" w:rsidR="00E454C6" w:rsidRPr="00B62DAB" w:rsidRDefault="00E454C6" w:rsidP="00B350BA">
      <w:pPr>
        <w:autoSpaceDE w:val="0"/>
        <w:autoSpaceDN w:val="0"/>
        <w:adjustRightInd w:val="0"/>
        <w:spacing w:afterLines="50" w:after="120"/>
        <w:rPr>
          <w:rFonts w:cs="Segoe UI"/>
          <w:szCs w:val="22"/>
          <w:lang w:eastAsia="zh-TW"/>
        </w:rPr>
      </w:pPr>
    </w:p>
    <w:p w14:paraId="502B4D62" w14:textId="52927E63" w:rsidR="0009628B" w:rsidRDefault="000663A0" w:rsidP="00B350BA">
      <w:pPr>
        <w:autoSpaceDE w:val="0"/>
        <w:autoSpaceDN w:val="0"/>
        <w:adjustRightInd w:val="0"/>
        <w:spacing w:afterLines="50" w:after="120"/>
        <w:rPr>
          <w:lang w:eastAsia="zh-TW"/>
        </w:rPr>
      </w:pPr>
      <w:r w:rsidRPr="00B62DAB">
        <w:rPr>
          <w:rFonts w:hint="eastAsia"/>
          <w:lang w:eastAsia="zh-TW"/>
        </w:rPr>
        <w:t>在</w:t>
      </w:r>
      <w:r w:rsidRPr="00B62DAB">
        <w:rPr>
          <w:rFonts w:hint="eastAsia"/>
          <w:b/>
          <w:bCs/>
          <w:lang w:eastAsia="zh-TW"/>
        </w:rPr>
        <w:t>粘合劑技術</w:t>
      </w:r>
      <w:r w:rsidRPr="00B62DAB">
        <w:rPr>
          <w:rFonts w:hint="eastAsia"/>
          <w:lang w:eastAsia="zh-TW"/>
        </w:rPr>
        <w:t>業務部，漢高於</w:t>
      </w:r>
      <w:r w:rsidRPr="00B62DAB">
        <w:rPr>
          <w:lang w:eastAsia="zh-TW"/>
        </w:rPr>
        <w:t>2023</w:t>
      </w:r>
      <w:r w:rsidRPr="00B62DAB">
        <w:rPr>
          <w:rFonts w:hint="eastAsia"/>
          <w:lang w:eastAsia="zh-TW"/>
        </w:rPr>
        <w:t>年上半年建立了優化的</w:t>
      </w:r>
      <w:r w:rsidRPr="00B62DAB">
        <w:rPr>
          <w:rFonts w:hint="eastAsia"/>
          <w:b/>
          <w:bCs/>
          <w:lang w:eastAsia="zh-TW"/>
        </w:rPr>
        <w:t>組織架構</w:t>
      </w:r>
      <w:r w:rsidRPr="00B62DAB">
        <w:rPr>
          <w:rFonts w:hint="eastAsia"/>
          <w:lang w:eastAsia="zh-TW"/>
        </w:rPr>
        <w:t>。這使得該業務部能夠在移動和電子、包裝和消費品以及工匠、建築和專業三大業務領域更有效地利用規模和能力優勢，同時確保貼近客戶和市場。</w:t>
      </w:r>
    </w:p>
    <w:p w14:paraId="3C2F9849" w14:textId="77777777" w:rsidR="00E454C6" w:rsidRPr="00B62DAB" w:rsidRDefault="00E454C6" w:rsidP="00B350BA">
      <w:pPr>
        <w:autoSpaceDE w:val="0"/>
        <w:autoSpaceDN w:val="0"/>
        <w:adjustRightInd w:val="0"/>
        <w:spacing w:afterLines="50" w:after="120"/>
        <w:rPr>
          <w:rFonts w:cs="Segoe UI"/>
          <w:szCs w:val="22"/>
          <w:lang w:eastAsia="zh-TW"/>
        </w:rPr>
      </w:pPr>
    </w:p>
    <w:p w14:paraId="7750ADDD" w14:textId="2EE8CC55" w:rsidR="0009628B" w:rsidRDefault="000663A0" w:rsidP="00B350BA">
      <w:pPr>
        <w:autoSpaceDE w:val="0"/>
        <w:autoSpaceDN w:val="0"/>
        <w:adjustRightInd w:val="0"/>
        <w:spacing w:afterLines="50" w:after="120"/>
        <w:rPr>
          <w:lang w:eastAsia="zh-TW"/>
        </w:rPr>
      </w:pPr>
      <w:bookmarkStart w:id="7" w:name="_Hlk109382178"/>
      <w:r w:rsidRPr="00B62DAB">
        <w:rPr>
          <w:rFonts w:hint="eastAsia"/>
          <w:lang w:eastAsia="zh-TW"/>
        </w:rPr>
        <w:t>為了進一步增強</w:t>
      </w:r>
      <w:r w:rsidRPr="00B62DAB">
        <w:rPr>
          <w:rFonts w:hint="eastAsia"/>
          <w:b/>
          <w:bCs/>
          <w:lang w:eastAsia="zh-TW"/>
        </w:rPr>
        <w:t>競爭力</w:t>
      </w:r>
      <w:r w:rsidRPr="00B62DAB">
        <w:rPr>
          <w:rFonts w:hint="eastAsia"/>
          <w:lang w:eastAsia="zh-TW"/>
        </w:rPr>
        <w:t>，漢高專注於在有吸引力的業務領域進行有力的</w:t>
      </w:r>
      <w:r w:rsidRPr="00B62DAB">
        <w:rPr>
          <w:rFonts w:hint="eastAsia"/>
          <w:b/>
          <w:bCs/>
          <w:lang w:eastAsia="zh-TW"/>
        </w:rPr>
        <w:t>創新</w:t>
      </w:r>
      <w:r w:rsidRPr="00B62DAB">
        <w:rPr>
          <w:rFonts w:hint="eastAsia"/>
          <w:lang w:eastAsia="zh-TW"/>
        </w:rPr>
        <w:t>。這再次促進了兩個業務部</w:t>
      </w:r>
      <w:r>
        <w:rPr>
          <w:rFonts w:hint="eastAsia"/>
          <w:lang w:eastAsia="zh-TW"/>
        </w:rPr>
        <w:t>門</w:t>
      </w:r>
      <w:r w:rsidRPr="00B62DAB">
        <w:rPr>
          <w:rFonts w:hint="eastAsia"/>
          <w:lang w:eastAsia="zh-TW"/>
        </w:rPr>
        <w:t>在</w:t>
      </w:r>
      <w:r w:rsidRPr="00B62DAB">
        <w:rPr>
          <w:lang w:eastAsia="zh-TW"/>
        </w:rPr>
        <w:t>2023</w:t>
      </w:r>
      <w:r w:rsidRPr="00B62DAB">
        <w:rPr>
          <w:rFonts w:hint="eastAsia"/>
          <w:lang w:eastAsia="zh-TW"/>
        </w:rPr>
        <w:t>年上半年的增長。以粘合劑技術業務部為例，</w:t>
      </w:r>
      <w:proofErr w:type="gramStart"/>
      <w:r w:rsidRPr="00B62DAB">
        <w:rPr>
          <w:rFonts w:hint="eastAsia"/>
          <w:lang w:eastAsia="zh-TW"/>
        </w:rPr>
        <w:t>漢高用於</w:t>
      </w:r>
      <w:proofErr w:type="gramEnd"/>
      <w:r w:rsidRPr="00B62DAB">
        <w:rPr>
          <w:rFonts w:hint="eastAsia"/>
          <w:lang w:eastAsia="zh-TW"/>
        </w:rPr>
        <w:t>電動汽車生產的創新解決方案在今年上半年的有機銷售額與去年同期相比增長了約</w:t>
      </w:r>
      <w:r w:rsidRPr="00B62DAB">
        <w:rPr>
          <w:lang w:eastAsia="zh-TW"/>
        </w:rPr>
        <w:t>70%</w:t>
      </w:r>
      <w:r w:rsidRPr="00B62DAB">
        <w:rPr>
          <w:rFonts w:hint="eastAsia"/>
          <w:lang w:eastAsia="zh-TW"/>
        </w:rPr>
        <w:t>。在消費品牌業務部，</w:t>
      </w:r>
      <w:proofErr w:type="gramStart"/>
      <w:r w:rsidRPr="00B62DAB">
        <w:rPr>
          <w:rFonts w:hint="eastAsia"/>
          <w:lang w:eastAsia="zh-TW"/>
        </w:rPr>
        <w:t>寶瑩品牌</w:t>
      </w:r>
      <w:proofErr w:type="gramEnd"/>
      <w:r w:rsidRPr="00B62DAB">
        <w:rPr>
          <w:rFonts w:hint="eastAsia"/>
          <w:lang w:eastAsia="zh-TW"/>
        </w:rPr>
        <w:t>實現了兩位數的有機銷售額增長，這得益於在</w:t>
      </w:r>
      <w:r w:rsidRPr="00B62DAB">
        <w:rPr>
          <w:lang w:eastAsia="zh-TW"/>
        </w:rPr>
        <w:t>30</w:t>
      </w:r>
      <w:r w:rsidRPr="00B62DAB">
        <w:rPr>
          <w:rFonts w:hint="eastAsia"/>
          <w:lang w:eastAsia="zh-TW"/>
        </w:rPr>
        <w:t>個國家重新推出獨特的新酶技術。</w:t>
      </w:r>
    </w:p>
    <w:p w14:paraId="45742A90" w14:textId="77777777" w:rsidR="00E454C6" w:rsidRPr="00B62DAB" w:rsidRDefault="00E454C6" w:rsidP="00B350BA">
      <w:pPr>
        <w:autoSpaceDE w:val="0"/>
        <w:autoSpaceDN w:val="0"/>
        <w:adjustRightInd w:val="0"/>
        <w:spacing w:afterLines="50" w:after="120"/>
        <w:rPr>
          <w:rFonts w:cs="Segoe UI"/>
          <w:szCs w:val="22"/>
          <w:lang w:eastAsia="zh-TW"/>
        </w:rPr>
      </w:pPr>
    </w:p>
    <w:bookmarkEnd w:id="7"/>
    <w:p w14:paraId="13829041" w14:textId="2FA61792" w:rsidR="0009628B" w:rsidRDefault="000663A0" w:rsidP="00B350BA">
      <w:pPr>
        <w:spacing w:afterLines="50" w:after="120"/>
        <w:rPr>
          <w:lang w:eastAsia="zh-TW"/>
        </w:rPr>
      </w:pPr>
      <w:r w:rsidRPr="00B62DAB">
        <w:rPr>
          <w:rFonts w:hint="eastAsia"/>
          <w:lang w:eastAsia="zh-TW"/>
        </w:rPr>
        <w:t>漢高在</w:t>
      </w:r>
      <w:r>
        <w:rPr>
          <w:rFonts w:hint="eastAsia"/>
          <w:b/>
          <w:bCs/>
          <w:lang w:eastAsia="zh-TW"/>
        </w:rPr>
        <w:t>永續發展</w:t>
      </w:r>
      <w:r w:rsidRPr="00B62DAB">
        <w:rPr>
          <w:rFonts w:hint="eastAsia"/>
          <w:lang w:eastAsia="zh-TW"/>
        </w:rPr>
        <w:t>領域也取得了進一步</w:t>
      </w:r>
      <w:r>
        <w:rPr>
          <w:rFonts w:hint="eastAsia"/>
          <w:lang w:eastAsia="zh-TW"/>
        </w:rPr>
        <w:t>的</w:t>
      </w:r>
      <w:r w:rsidRPr="00B62DAB">
        <w:rPr>
          <w:rFonts w:hint="eastAsia"/>
          <w:lang w:eastAsia="zh-TW"/>
        </w:rPr>
        <w:t>進展。例如，</w:t>
      </w:r>
      <w:r>
        <w:rPr>
          <w:rFonts w:hint="eastAsia"/>
          <w:lang w:eastAsia="zh-TW"/>
        </w:rPr>
        <w:t>以</w:t>
      </w:r>
      <w:r w:rsidRPr="00B62DAB">
        <w:rPr>
          <w:rFonts w:hint="eastAsia"/>
          <w:lang w:eastAsia="zh-TW"/>
        </w:rPr>
        <w:t>到</w:t>
      </w:r>
      <w:r w:rsidRPr="00B62DAB">
        <w:rPr>
          <w:lang w:eastAsia="zh-TW"/>
        </w:rPr>
        <w:t>2030</w:t>
      </w:r>
      <w:r w:rsidRPr="00B62DAB">
        <w:rPr>
          <w:rFonts w:hint="eastAsia"/>
          <w:lang w:eastAsia="zh-TW"/>
        </w:rPr>
        <w:t>年實現生產</w:t>
      </w:r>
      <w:r>
        <w:rPr>
          <w:rFonts w:hint="eastAsia"/>
          <w:lang w:eastAsia="zh-TW"/>
        </w:rPr>
        <w:t>基地</w:t>
      </w:r>
      <w:r w:rsidRPr="00B62DAB">
        <w:rPr>
          <w:rFonts w:hint="eastAsia"/>
          <w:lang w:eastAsia="zh-TW"/>
        </w:rPr>
        <w:t>碳足跡</w:t>
      </w:r>
      <w:r>
        <w:rPr>
          <w:rFonts w:hint="eastAsia"/>
          <w:lang w:eastAsia="zh-TW"/>
        </w:rPr>
        <w:t>的</w:t>
      </w:r>
      <w:r w:rsidRPr="00B62DAB">
        <w:rPr>
          <w:rFonts w:hint="eastAsia"/>
          <w:lang w:eastAsia="zh-TW"/>
        </w:rPr>
        <w:t>氣候</w:t>
      </w:r>
      <w:r>
        <w:rPr>
          <w:rFonts w:hint="eastAsia"/>
          <w:lang w:eastAsia="zh-TW"/>
        </w:rPr>
        <w:t>正效益為目標</w:t>
      </w:r>
      <w:r w:rsidRPr="00B62DAB">
        <w:rPr>
          <w:rFonts w:hint="eastAsia"/>
          <w:lang w:eastAsia="zh-TW"/>
        </w:rPr>
        <w:t>，</w:t>
      </w:r>
      <w:proofErr w:type="gramStart"/>
      <w:r w:rsidRPr="00B62DAB">
        <w:rPr>
          <w:rFonts w:hint="eastAsia"/>
          <w:lang w:eastAsia="zh-TW"/>
        </w:rPr>
        <w:t>漢高在</w:t>
      </w:r>
      <w:proofErr w:type="gramEnd"/>
      <w:r w:rsidRPr="00B62DAB">
        <w:rPr>
          <w:lang w:eastAsia="zh-TW"/>
        </w:rPr>
        <w:t>2023</w:t>
      </w:r>
      <w:r w:rsidRPr="00B62DAB">
        <w:rPr>
          <w:rFonts w:hint="eastAsia"/>
          <w:lang w:eastAsia="zh-TW"/>
        </w:rPr>
        <w:t>年上半年又</w:t>
      </w:r>
      <w:r>
        <w:rPr>
          <w:rFonts w:hint="eastAsia"/>
          <w:lang w:eastAsia="zh-TW"/>
        </w:rPr>
        <w:t>在</w:t>
      </w:r>
      <w:r w:rsidRPr="00B62DAB">
        <w:rPr>
          <w:rFonts w:hint="eastAsia"/>
          <w:lang w:eastAsia="zh-TW"/>
        </w:rPr>
        <w:t>另外十個生產</w:t>
      </w:r>
      <w:r>
        <w:rPr>
          <w:rFonts w:hint="eastAsia"/>
          <w:lang w:eastAsia="zh-TW"/>
        </w:rPr>
        <w:t>基地</w:t>
      </w:r>
      <w:proofErr w:type="gramStart"/>
      <w:r>
        <w:rPr>
          <w:rFonts w:hint="eastAsia"/>
          <w:lang w:eastAsia="zh-TW"/>
        </w:rPr>
        <w:t>實現了</w:t>
      </w:r>
      <w:r w:rsidRPr="00B62DAB">
        <w:rPr>
          <w:rFonts w:hint="eastAsia"/>
          <w:lang w:eastAsia="zh-TW"/>
        </w:rPr>
        <w:t>碳中和</w:t>
      </w:r>
      <w:proofErr w:type="gramEnd"/>
      <w:r w:rsidRPr="00B62DAB">
        <w:rPr>
          <w:rFonts w:hint="eastAsia"/>
          <w:lang w:eastAsia="zh-TW"/>
        </w:rPr>
        <w:t>生產模式。漢高還繼續推進</w:t>
      </w:r>
      <w:r>
        <w:rPr>
          <w:rFonts w:hint="eastAsia"/>
          <w:b/>
          <w:bCs/>
          <w:lang w:eastAsia="zh-TW"/>
        </w:rPr>
        <w:t>數位化</w:t>
      </w:r>
      <w:r w:rsidRPr="00B62DAB">
        <w:rPr>
          <w:rFonts w:hint="eastAsia"/>
          <w:lang w:eastAsia="zh-TW"/>
        </w:rPr>
        <w:t>領域的重要舉措。在這方面，人工智能的應用正發揮著越來越重要的作用。</w:t>
      </w:r>
    </w:p>
    <w:p w14:paraId="6E45ACCF" w14:textId="4A8F3965" w:rsidR="000663A0" w:rsidRDefault="000663A0" w:rsidP="00B350BA">
      <w:pPr>
        <w:spacing w:afterLines="50" w:after="120"/>
        <w:rPr>
          <w:rFonts w:eastAsia="PMingLiU"/>
          <w:lang w:eastAsia="zh-TW"/>
        </w:rPr>
      </w:pPr>
      <w:bookmarkStart w:id="8" w:name="_Hlk109211145"/>
    </w:p>
    <w:p w14:paraId="02037AD0" w14:textId="77777777" w:rsidR="000663A0" w:rsidRPr="00B62DAB" w:rsidRDefault="000663A0" w:rsidP="00B350BA">
      <w:pPr>
        <w:spacing w:afterLines="50" w:after="120"/>
        <w:rPr>
          <w:rFonts w:cs="Segoe UI"/>
          <w:szCs w:val="22"/>
          <w:lang w:eastAsia="zh-CN"/>
        </w:rPr>
      </w:pPr>
      <w:r w:rsidRPr="00B62DAB">
        <w:rPr>
          <w:rFonts w:hint="eastAsia"/>
          <w:lang w:eastAsia="zh-TW"/>
        </w:rPr>
        <w:t>“總體而言，儘管經濟環境</w:t>
      </w:r>
      <w:r>
        <w:rPr>
          <w:rFonts w:hint="eastAsia"/>
          <w:lang w:eastAsia="zh-TW"/>
        </w:rPr>
        <w:t>依舊</w:t>
      </w:r>
      <w:r w:rsidRPr="00B62DAB">
        <w:rPr>
          <w:rFonts w:hint="eastAsia"/>
          <w:lang w:eastAsia="zh-TW"/>
        </w:rPr>
        <w:t>困難，但我們在上半年取得了成功的業績</w:t>
      </w:r>
      <w:r>
        <w:rPr>
          <w:rFonts w:hint="eastAsia"/>
          <w:lang w:eastAsia="zh-TW"/>
        </w:rPr>
        <w:t>表現</w:t>
      </w:r>
      <w:r w:rsidRPr="00B62DAB">
        <w:rPr>
          <w:rFonts w:hint="eastAsia"/>
          <w:lang w:eastAsia="zh-TW"/>
        </w:rPr>
        <w:t>，並在實施我們的戰略議程方面取得了良好進展，對此我們深感自豪。</w:t>
      </w:r>
      <w:r>
        <w:rPr>
          <w:rFonts w:hint="eastAsia"/>
          <w:lang w:eastAsia="zh-TW"/>
        </w:rPr>
        <w:t>”</w:t>
      </w:r>
      <w:r w:rsidRPr="00EB6B21">
        <w:rPr>
          <w:lang w:eastAsia="zh-TW"/>
        </w:rPr>
        <w:t xml:space="preserve"> </w:t>
      </w:r>
      <w:r w:rsidRPr="00B62DAB">
        <w:rPr>
          <w:rFonts w:hint="eastAsia"/>
          <w:lang w:eastAsia="zh-TW"/>
        </w:rPr>
        <w:t>卡斯</w:t>
      </w:r>
      <w:proofErr w:type="gramStart"/>
      <w:r w:rsidRPr="00B62DAB">
        <w:rPr>
          <w:rFonts w:hint="eastAsia"/>
          <w:lang w:eastAsia="zh-TW"/>
        </w:rPr>
        <w:t>滕·</w:t>
      </w:r>
      <w:proofErr w:type="gramEnd"/>
      <w:r w:rsidRPr="00B62DAB">
        <w:rPr>
          <w:rFonts w:hint="eastAsia"/>
          <w:lang w:eastAsia="zh-TW"/>
        </w:rPr>
        <w:t>諾貝爾表示</w:t>
      </w:r>
      <w:r>
        <w:rPr>
          <w:rFonts w:hint="eastAsia"/>
          <w:lang w:eastAsia="zh-TW"/>
        </w:rPr>
        <w:t>，“</w:t>
      </w:r>
      <w:r w:rsidRPr="00B62DAB">
        <w:rPr>
          <w:rFonts w:hint="eastAsia"/>
          <w:lang w:eastAsia="zh-TW"/>
        </w:rPr>
        <w:t>我們對成功塑造漢高的未來充滿信心。我們是一支積極進取的團隊，擁有強大的企業文化和明確的發展戰略。在粘合劑技術業務領域，我們成為了全球領導者，為許多重要行業提供創新解決方案，並明確關注移動性、連</w:t>
      </w:r>
      <w:r>
        <w:rPr>
          <w:rFonts w:hint="eastAsia"/>
          <w:lang w:eastAsia="zh-TW"/>
        </w:rPr>
        <w:t>通</w:t>
      </w:r>
      <w:r w:rsidRPr="00B62DAB">
        <w:rPr>
          <w:rFonts w:hint="eastAsia"/>
          <w:lang w:eastAsia="zh-TW"/>
        </w:rPr>
        <w:t>性和</w:t>
      </w:r>
      <w:r>
        <w:rPr>
          <w:rFonts w:hint="eastAsia"/>
          <w:lang w:eastAsia="zh-TW"/>
        </w:rPr>
        <w:t>永續發展</w:t>
      </w:r>
      <w:r w:rsidRPr="00B62DAB">
        <w:rPr>
          <w:rFonts w:hint="eastAsia"/>
          <w:lang w:eastAsia="zh-TW"/>
        </w:rPr>
        <w:t>等未來趨勢。憑藉新成立的消費品牌業務部，我們為消費品業務的進一步盈利增長奠定了基礎。”</w:t>
      </w:r>
    </w:p>
    <w:bookmarkEnd w:id="8"/>
    <w:p w14:paraId="34B4BF99" w14:textId="77777777" w:rsidR="00F445CA" w:rsidRDefault="00F445CA">
      <w:pPr>
        <w:spacing w:line="240" w:lineRule="auto"/>
        <w:jc w:val="left"/>
        <w:rPr>
          <w:rStyle w:val="AboutandContactHeadline"/>
          <w:lang w:eastAsia="zh-CN"/>
        </w:rPr>
      </w:pPr>
      <w:r>
        <w:rPr>
          <w:rStyle w:val="AboutandContactHeadline"/>
          <w:lang w:eastAsia="zh-CN"/>
        </w:rPr>
        <w:br w:type="page"/>
      </w:r>
    </w:p>
    <w:p w14:paraId="11B0F1C1" w14:textId="4232F371" w:rsidR="00EB6B21" w:rsidRPr="00123FEF" w:rsidRDefault="000663A0" w:rsidP="00EB6B21">
      <w:pPr>
        <w:spacing w:after="160" w:line="259" w:lineRule="auto"/>
        <w:rPr>
          <w:rFonts w:cs="Segoe UI"/>
          <w:u w:val="single"/>
          <w:lang w:eastAsia="zh-CN"/>
        </w:rPr>
      </w:pPr>
      <w:r w:rsidRPr="00596CED">
        <w:rPr>
          <w:rStyle w:val="AboutandContactHeadline"/>
          <w:rFonts w:hint="eastAsia"/>
          <w:lang w:eastAsia="zh-TW"/>
        </w:rPr>
        <w:lastRenderedPageBreak/>
        <w:t>關於漢高</w:t>
      </w:r>
    </w:p>
    <w:p w14:paraId="4C372206" w14:textId="7E06BCA7" w:rsidR="00EB6B21" w:rsidRPr="00596CED" w:rsidRDefault="000663A0" w:rsidP="00EB6B21">
      <w:pPr>
        <w:rPr>
          <w:rStyle w:val="AboutandContactBody"/>
          <w:lang w:eastAsia="zh-CN"/>
        </w:rPr>
      </w:pPr>
      <w:proofErr w:type="gramStart"/>
      <w:r w:rsidRPr="00596CED">
        <w:rPr>
          <w:rStyle w:val="AboutandContactBody"/>
          <w:rFonts w:hint="eastAsia"/>
          <w:lang w:eastAsia="zh-TW"/>
        </w:rPr>
        <w:t>漢高憑藉</w:t>
      </w:r>
      <w:proofErr w:type="gramEnd"/>
      <w:r w:rsidRPr="00596CED">
        <w:rPr>
          <w:rStyle w:val="AboutandContactBody"/>
          <w:rFonts w:hint="eastAsia"/>
          <w:lang w:eastAsia="zh-TW"/>
        </w:rPr>
        <w:t>其品牌、創新和技術，在全球工業和消費品領域中擁有領先的市場地位。</w:t>
      </w:r>
      <w:proofErr w:type="gramStart"/>
      <w:r w:rsidRPr="00596CED">
        <w:rPr>
          <w:rStyle w:val="AboutandContactBody"/>
          <w:rFonts w:hint="eastAsia"/>
          <w:lang w:eastAsia="zh-TW"/>
        </w:rPr>
        <w:t>漢高粘</w:t>
      </w:r>
      <w:proofErr w:type="gramEnd"/>
      <w:r w:rsidRPr="00596CED">
        <w:rPr>
          <w:rStyle w:val="AboutandContactBody"/>
          <w:rFonts w:hint="eastAsia"/>
          <w:lang w:eastAsia="zh-TW"/>
        </w:rPr>
        <w:t>合劑技術業務部是全球粘合劑、密封劑和功能性塗層市場的領導者。</w:t>
      </w:r>
      <w:proofErr w:type="gramStart"/>
      <w:r w:rsidRPr="00596CED">
        <w:rPr>
          <w:rStyle w:val="AboutandContactBody"/>
          <w:rFonts w:hint="eastAsia"/>
          <w:lang w:eastAsia="zh-TW"/>
        </w:rPr>
        <w:t>漢高消費</w:t>
      </w:r>
      <w:proofErr w:type="gramEnd"/>
      <w:r w:rsidRPr="00596CED">
        <w:rPr>
          <w:rStyle w:val="AboutandContactBody"/>
          <w:rFonts w:hint="eastAsia"/>
          <w:lang w:eastAsia="zh-TW"/>
        </w:rPr>
        <w:t>品牌在各國市場和眾多應用領域中具有領先地位，在頭髮護理、洗滌劑及家用護理領域尤為突出。樂泰（</w:t>
      </w:r>
      <w:r w:rsidRPr="00596CED">
        <w:rPr>
          <w:rStyle w:val="AboutandContactBody"/>
          <w:lang w:eastAsia="zh-TW"/>
        </w:rPr>
        <w:t>Loctite</w:t>
      </w:r>
      <w:r w:rsidRPr="00596CED">
        <w:rPr>
          <w:rStyle w:val="AboutandContactBody"/>
          <w:rFonts w:hint="eastAsia"/>
          <w:lang w:eastAsia="zh-TW"/>
        </w:rPr>
        <w:t>）、</w:t>
      </w:r>
      <w:proofErr w:type="gramStart"/>
      <w:r w:rsidRPr="00596CED">
        <w:rPr>
          <w:rStyle w:val="AboutandContactBody"/>
          <w:rFonts w:hint="eastAsia"/>
          <w:lang w:eastAsia="zh-TW"/>
        </w:rPr>
        <w:t>寶瑩（</w:t>
      </w:r>
      <w:proofErr w:type="gramEnd"/>
      <w:r w:rsidRPr="00596CED">
        <w:rPr>
          <w:rStyle w:val="AboutandContactBody"/>
          <w:lang w:eastAsia="zh-TW"/>
        </w:rPr>
        <w:t xml:space="preserve"> Persil</w:t>
      </w:r>
      <w:r w:rsidRPr="00596CED">
        <w:rPr>
          <w:rStyle w:val="AboutandContactBody"/>
          <w:rFonts w:hint="eastAsia"/>
          <w:lang w:eastAsia="zh-TW"/>
        </w:rPr>
        <w:t>）和施華</w:t>
      </w:r>
      <w:proofErr w:type="gramStart"/>
      <w:r w:rsidRPr="00596CED">
        <w:rPr>
          <w:rStyle w:val="AboutandContactBody"/>
          <w:rFonts w:hint="eastAsia"/>
          <w:lang w:eastAsia="zh-TW"/>
        </w:rPr>
        <w:t>蔻</w:t>
      </w:r>
      <w:proofErr w:type="gramEnd"/>
      <w:r w:rsidRPr="00596CED">
        <w:rPr>
          <w:rStyle w:val="AboutandContactBody"/>
          <w:rFonts w:hint="eastAsia"/>
          <w:lang w:eastAsia="zh-TW"/>
        </w:rPr>
        <w:t>（</w:t>
      </w:r>
      <w:r w:rsidRPr="00596CED">
        <w:rPr>
          <w:rStyle w:val="AboutandContactBody"/>
          <w:lang w:eastAsia="zh-TW"/>
        </w:rPr>
        <w:t>Schwarzkopf</w:t>
      </w:r>
      <w:r w:rsidRPr="00596CED">
        <w:rPr>
          <w:rStyle w:val="AboutandContactBody"/>
          <w:rFonts w:hint="eastAsia"/>
          <w:lang w:eastAsia="zh-TW"/>
        </w:rPr>
        <w:t>）是公司的三大核心品牌。</w:t>
      </w:r>
      <w:r w:rsidRPr="00596CED">
        <w:rPr>
          <w:rStyle w:val="AboutandContactBody"/>
          <w:lang w:eastAsia="zh-TW"/>
        </w:rPr>
        <w:t>2022</w:t>
      </w:r>
      <w:r w:rsidRPr="00596CED">
        <w:rPr>
          <w:rStyle w:val="AboutandContactBody"/>
          <w:rFonts w:hint="eastAsia"/>
          <w:lang w:eastAsia="zh-TW"/>
        </w:rPr>
        <w:t>財年，漢高實現銷售額逾</w:t>
      </w:r>
      <w:r w:rsidRPr="00596CED">
        <w:rPr>
          <w:rStyle w:val="AboutandContactBody"/>
          <w:lang w:eastAsia="zh-TW"/>
        </w:rPr>
        <w:t>220</w:t>
      </w:r>
      <w:r w:rsidRPr="00596CED">
        <w:rPr>
          <w:rStyle w:val="AboutandContactBody"/>
          <w:rFonts w:hint="eastAsia"/>
          <w:lang w:eastAsia="zh-TW"/>
        </w:rPr>
        <w:t>億歐元，調整後營業利潤達</w:t>
      </w:r>
      <w:r w:rsidRPr="00596CED">
        <w:rPr>
          <w:rStyle w:val="AboutandContactBody"/>
          <w:lang w:eastAsia="zh-TW"/>
        </w:rPr>
        <w:t>23</w:t>
      </w:r>
      <w:r w:rsidRPr="00596CED">
        <w:rPr>
          <w:rStyle w:val="AboutandContactBody"/>
          <w:rFonts w:hint="eastAsia"/>
          <w:lang w:eastAsia="zh-TW"/>
        </w:rPr>
        <w:t>億歐元左右。漢高的優先股已列入德國</w:t>
      </w:r>
      <w:r w:rsidRPr="00596CED">
        <w:rPr>
          <w:rStyle w:val="AboutandContactBody"/>
          <w:lang w:eastAsia="zh-TW"/>
        </w:rPr>
        <w:t>DAX</w:t>
      </w:r>
      <w:r w:rsidRPr="00596CED">
        <w:rPr>
          <w:rStyle w:val="AboutandContactBody"/>
          <w:rFonts w:hint="eastAsia"/>
          <w:lang w:eastAsia="zh-TW"/>
        </w:rPr>
        <w:t>指數。</w:t>
      </w:r>
      <w:r>
        <w:rPr>
          <w:rStyle w:val="AboutandContactBody"/>
          <w:rFonts w:hint="eastAsia"/>
          <w:lang w:eastAsia="zh-TW"/>
        </w:rPr>
        <w:t>永續發展</w:t>
      </w:r>
      <w:r w:rsidRPr="00596CED">
        <w:rPr>
          <w:rStyle w:val="AboutandContactBody"/>
          <w:rFonts w:hint="eastAsia"/>
          <w:lang w:eastAsia="zh-TW"/>
        </w:rPr>
        <w:t>在漢高有著悠久的傳統，公司確立有明晰的</w:t>
      </w:r>
      <w:r>
        <w:rPr>
          <w:rStyle w:val="AboutandContactBody"/>
          <w:rFonts w:hint="eastAsia"/>
          <w:lang w:eastAsia="zh-TW"/>
        </w:rPr>
        <w:t>永續發展</w:t>
      </w:r>
      <w:r w:rsidRPr="00596CED">
        <w:rPr>
          <w:rStyle w:val="AboutandContactBody"/>
          <w:rFonts w:hint="eastAsia"/>
          <w:lang w:eastAsia="zh-TW"/>
        </w:rPr>
        <w:t>戰略和具體目標。漢高成立於</w:t>
      </w:r>
      <w:r w:rsidRPr="00596CED">
        <w:rPr>
          <w:rStyle w:val="AboutandContactBody"/>
          <w:lang w:eastAsia="zh-TW"/>
        </w:rPr>
        <w:t>1876</w:t>
      </w:r>
      <w:r w:rsidRPr="00596CED">
        <w:rPr>
          <w:rStyle w:val="AboutandContactBody"/>
          <w:rFonts w:hint="eastAsia"/>
          <w:lang w:eastAsia="zh-TW"/>
        </w:rPr>
        <w:t>年，如今，漢高在全球範圍內約有</w:t>
      </w:r>
      <w:r w:rsidRPr="00596CED">
        <w:rPr>
          <w:rStyle w:val="AboutandContactBody"/>
          <w:lang w:eastAsia="zh-TW"/>
        </w:rPr>
        <w:t>5</w:t>
      </w:r>
      <w:r w:rsidRPr="00596CED">
        <w:rPr>
          <w:rStyle w:val="AboutandContactBody"/>
          <w:rFonts w:hint="eastAsia"/>
          <w:lang w:eastAsia="zh-TW"/>
        </w:rPr>
        <w:t>萬名員工，在強大的企業文化、</w:t>
      </w:r>
      <w:proofErr w:type="gramStart"/>
      <w:r w:rsidRPr="00596CED">
        <w:rPr>
          <w:rStyle w:val="AboutandContactBody"/>
          <w:rFonts w:hint="eastAsia"/>
          <w:lang w:eastAsia="zh-TW"/>
        </w:rPr>
        <w:t>共同的價值觀與企業目標“</w:t>
      </w:r>
      <w:proofErr w:type="gramEnd"/>
      <w:r w:rsidRPr="00596CED">
        <w:rPr>
          <w:rStyle w:val="AboutandContactBody"/>
          <w:lang w:eastAsia="zh-TW"/>
        </w:rPr>
        <w:t>Pioneers at heart for the good of generations</w:t>
      </w:r>
      <w:r w:rsidRPr="00596CED">
        <w:rPr>
          <w:rStyle w:val="AboutandContactBody"/>
          <w:rFonts w:hint="eastAsia"/>
          <w:lang w:eastAsia="zh-TW"/>
        </w:rPr>
        <w:t>”的引領下，融合為一支多元化的團隊。更多資訊，敬請訪問</w:t>
      </w:r>
      <w:r w:rsidRPr="00596CED">
        <w:rPr>
          <w:rStyle w:val="AboutandContactBody"/>
          <w:lang w:eastAsia="zh-TW"/>
        </w:rPr>
        <w:t xml:space="preserve"> </w:t>
      </w:r>
      <w:hyperlink r:id="rId12" w:history="1">
        <w:r w:rsidRPr="00596CED">
          <w:rPr>
            <w:rStyle w:val="a7"/>
            <w:lang w:eastAsia="zh-TW"/>
          </w:rPr>
          <w:t>www.henkel.com</w:t>
        </w:r>
      </w:hyperlink>
      <w:r w:rsidR="00EB6B21" w:rsidRPr="00596CED">
        <w:rPr>
          <w:rStyle w:val="AboutandContactBody"/>
          <w:lang w:eastAsia="zh-CN"/>
        </w:rPr>
        <w:t xml:space="preserve"> </w:t>
      </w:r>
    </w:p>
    <w:p w14:paraId="7A2120C2" w14:textId="77777777" w:rsidR="00EB6B21" w:rsidRPr="00596CED" w:rsidRDefault="00EB6B21" w:rsidP="00EB6B21">
      <w:pPr>
        <w:rPr>
          <w:rFonts w:cs="等线 Light"/>
          <w:bCs/>
          <w:sz w:val="14"/>
          <w:szCs w:val="14"/>
          <w:lang w:eastAsia="zh-CN"/>
        </w:rPr>
      </w:pPr>
    </w:p>
    <w:p w14:paraId="63F2B7D9" w14:textId="0D7CD7E8" w:rsidR="00EB6B21" w:rsidRPr="00795FB8" w:rsidRDefault="000663A0" w:rsidP="00EB6B21">
      <w:pPr>
        <w:pStyle w:val="He01Flietext"/>
        <w:rPr>
          <w:sz w:val="16"/>
          <w:szCs w:val="16"/>
          <w:lang w:eastAsia="zh-CN"/>
        </w:rPr>
      </w:pPr>
      <w:r w:rsidRPr="00795FB8">
        <w:rPr>
          <w:rFonts w:ascii="微软雅黑" w:eastAsia="微软雅黑" w:hAnsi="微软雅黑" w:cs="微软雅黑" w:hint="eastAsia"/>
          <w:sz w:val="16"/>
          <w:lang w:eastAsia="zh-TW"/>
        </w:rPr>
        <w:t>本文件所含提及未來業務發展、財務業績及其他</w:t>
      </w:r>
      <w:proofErr w:type="gramStart"/>
      <w:r w:rsidRPr="00795FB8">
        <w:rPr>
          <w:rFonts w:ascii="微软雅黑" w:eastAsia="微软雅黑" w:hAnsi="微软雅黑" w:cs="微软雅黑" w:hint="eastAsia"/>
          <w:sz w:val="16"/>
          <w:lang w:eastAsia="zh-TW"/>
        </w:rPr>
        <w:t>與漢高未來</w:t>
      </w:r>
      <w:proofErr w:type="gramEnd"/>
      <w:r w:rsidRPr="00795FB8">
        <w:rPr>
          <w:rFonts w:ascii="微软雅黑" w:eastAsia="微软雅黑" w:hAnsi="微软雅黑" w:cs="微软雅黑" w:hint="eastAsia"/>
          <w:sz w:val="16"/>
          <w:lang w:eastAsia="zh-TW"/>
        </w:rPr>
        <w:t>相關的事件或發展的聲明，由此構成前瞻性聲明。前瞻性表述的特點是使用諸如期望、打算、計劃、預測、假設、相信、預計、預期、預見和類似的表述。這些表述乃漢高股份及兩合公司管理層基於現有的預測和假設。該等表述在任何情況下都不應該被理解成保證該等預期的準確無誤。漢高股份及兩合公司及其關聯公司實際實現的未來業績和結果取決於一系列的風險和不確定性，因此可能與前瞻性表述有明顯差別</w:t>
      </w:r>
      <w:r w:rsidRPr="00795FB8">
        <w:rPr>
          <w:rFonts w:ascii="微软雅黑" w:eastAsia="微软雅黑" w:hAnsi="微软雅黑" w:cs="微软雅黑" w:hint="eastAsia"/>
          <w:sz w:val="16"/>
          <w:szCs w:val="16"/>
          <w:lang w:val="en-US" w:eastAsia="zh-TW"/>
        </w:rPr>
        <w:t>（包括正面和負面差異）</w:t>
      </w:r>
      <w:r w:rsidRPr="00795FB8">
        <w:rPr>
          <w:rFonts w:ascii="微软雅黑" w:eastAsia="微软雅黑" w:hAnsi="微软雅黑" w:cs="微软雅黑" w:hint="eastAsia"/>
          <w:sz w:val="16"/>
          <w:lang w:eastAsia="zh-TW"/>
        </w:rPr>
        <w:t>。很多因素，例如未來的經濟環境和競爭者行為以及市場上其他參與者的行為，</w:t>
      </w:r>
      <w:proofErr w:type="gramStart"/>
      <w:r w:rsidRPr="00795FB8">
        <w:rPr>
          <w:rFonts w:ascii="微软雅黑" w:eastAsia="微软雅黑" w:hAnsi="微软雅黑" w:cs="微软雅黑" w:hint="eastAsia"/>
          <w:sz w:val="16"/>
          <w:lang w:eastAsia="zh-TW"/>
        </w:rPr>
        <w:t>均在漢高</w:t>
      </w:r>
      <w:proofErr w:type="gramEnd"/>
      <w:r w:rsidRPr="00795FB8">
        <w:rPr>
          <w:rFonts w:ascii="微软雅黑" w:eastAsia="微软雅黑" w:hAnsi="微软雅黑" w:cs="微软雅黑" w:hint="eastAsia"/>
          <w:sz w:val="16"/>
          <w:lang w:eastAsia="zh-TW"/>
        </w:rPr>
        <w:t>的控制之外，無法準確預計。漢高不計劃也不承諾更新前瞻性表述。</w:t>
      </w:r>
      <w:r w:rsidR="00EB6B21" w:rsidRPr="00795FB8">
        <w:rPr>
          <w:sz w:val="16"/>
          <w:lang w:eastAsia="zh-CN"/>
        </w:rPr>
        <w:t xml:space="preserve"> </w:t>
      </w:r>
    </w:p>
    <w:p w14:paraId="7183E5F5" w14:textId="16A4FF0F" w:rsidR="00EB6B21" w:rsidRPr="00795FB8" w:rsidRDefault="000663A0" w:rsidP="00EB6B21">
      <w:pPr>
        <w:pStyle w:val="He01Flietext"/>
        <w:rPr>
          <w:sz w:val="16"/>
          <w:szCs w:val="16"/>
          <w:lang w:eastAsia="zh-CN"/>
        </w:rPr>
      </w:pPr>
      <w:r w:rsidRPr="00795FB8">
        <w:rPr>
          <w:rFonts w:ascii="微软雅黑" w:eastAsia="微软雅黑" w:hAnsi="微软雅黑" w:cs="微软雅黑" w:hint="eastAsia"/>
          <w:sz w:val="16"/>
          <w:lang w:eastAsia="zh-TW"/>
        </w:rPr>
        <w:t>本文件在適用的財務報告框架中未明確界定的補充性財務計量指標，這些指標是或可能是替代性財務表現計量（非公認會計原則）。這些補充財務計量指標是根據綜合財務報表中適用的財務報告框架提出的，不應被孤立看待，也不應被視為漢高淨資產、財務狀況或運營結果的替代計量指標。其他公司對於報告或描述類似項目的替代性財務計量指標，可能使用不同的計算方法。</w:t>
      </w:r>
    </w:p>
    <w:p w14:paraId="6C19D7F2" w14:textId="6C60BDCD" w:rsidR="00EB6B21" w:rsidRPr="00596CED" w:rsidRDefault="000663A0" w:rsidP="00EB6B21">
      <w:pPr>
        <w:pStyle w:val="He01Flietext"/>
        <w:rPr>
          <w:sz w:val="16"/>
          <w:szCs w:val="16"/>
          <w:lang w:eastAsia="zh-CN"/>
        </w:rPr>
      </w:pPr>
      <w:r w:rsidRPr="00795FB8">
        <w:rPr>
          <w:rFonts w:ascii="微软雅黑" w:eastAsia="微软雅黑" w:hAnsi="微软雅黑" w:cs="微软雅黑" w:hint="eastAsia"/>
          <w:sz w:val="16"/>
          <w:lang w:val="en-US" w:eastAsia="zh-TW"/>
        </w:rPr>
        <w:t>本文件僅供參考，並不構成任何對證券的投資建議、出售要約或購買要約。</w:t>
      </w:r>
    </w:p>
    <w:p w14:paraId="7D698A80" w14:textId="288C6A4E" w:rsidR="0001450F" w:rsidRDefault="0001450F" w:rsidP="00EB6B21">
      <w:pPr>
        <w:rPr>
          <w:rStyle w:val="AboutandContactBody"/>
          <w:rFonts w:asciiTheme="majorHAnsi" w:hAnsiTheme="majorHAnsi" w:cs="Calibri Light"/>
          <w:color w:val="0000FF"/>
          <w:szCs w:val="18"/>
          <w:u w:val="single"/>
          <w:lang w:val="fr-FR" w:eastAsia="zh-CN"/>
        </w:rPr>
      </w:pPr>
    </w:p>
    <w:p w14:paraId="6EB8B1A7" w14:textId="77777777" w:rsidR="00F445CA" w:rsidRDefault="00F445CA" w:rsidP="00EB6B21">
      <w:pPr>
        <w:rPr>
          <w:rStyle w:val="AboutandContactBody"/>
          <w:rFonts w:asciiTheme="majorHAnsi" w:hAnsiTheme="majorHAnsi" w:cs="Calibri Light"/>
          <w:color w:val="0000FF"/>
          <w:szCs w:val="18"/>
          <w:u w:val="single"/>
          <w:lang w:val="fr-FR" w:eastAsia="zh-CN"/>
        </w:rPr>
      </w:pPr>
    </w:p>
    <w:p w14:paraId="16634A09" w14:textId="7977CDF9" w:rsidR="00F445CA" w:rsidRPr="00C63920" w:rsidRDefault="000663A0" w:rsidP="00F445CA">
      <w:pPr>
        <w:spacing w:after="160" w:line="259" w:lineRule="auto"/>
        <w:rPr>
          <w:rFonts w:cs="Segoe UI"/>
          <w:u w:val="single"/>
          <w:lang w:eastAsia="zh-CN"/>
        </w:rPr>
      </w:pPr>
      <w:r w:rsidRPr="00D014F1">
        <w:rPr>
          <w:rFonts w:cs="Arial" w:hint="eastAsia"/>
          <w:b/>
          <w:szCs w:val="18"/>
          <w:lang w:eastAsia="zh-TW"/>
        </w:rPr>
        <w:t>媒體連絡人</w:t>
      </w:r>
    </w:p>
    <w:p w14:paraId="7A1BEF57" w14:textId="074A34FE" w:rsidR="00F445CA" w:rsidRPr="00D014F1" w:rsidRDefault="000663A0" w:rsidP="00F445CA">
      <w:pPr>
        <w:tabs>
          <w:tab w:val="left" w:pos="851"/>
          <w:tab w:val="left" w:pos="4536"/>
          <w:tab w:val="left" w:pos="4962"/>
          <w:tab w:val="left" w:pos="5387"/>
        </w:tabs>
        <w:spacing w:line="360" w:lineRule="auto"/>
        <w:rPr>
          <w:rFonts w:cs="Arial"/>
          <w:b/>
          <w:sz w:val="20"/>
          <w:szCs w:val="18"/>
          <w:lang w:eastAsia="zh-CN"/>
        </w:rPr>
      </w:pPr>
      <w:r w:rsidRPr="00D014F1">
        <w:rPr>
          <w:rFonts w:cs="Arial"/>
          <w:b/>
          <w:sz w:val="20"/>
          <w:szCs w:val="18"/>
          <w:lang w:val="en-CA" w:eastAsia="zh-TW"/>
        </w:rPr>
        <w:t>Liki Qin</w:t>
      </w:r>
      <w:r w:rsidRPr="00D014F1">
        <w:rPr>
          <w:rFonts w:cs="Arial" w:hint="eastAsia"/>
          <w:b/>
          <w:sz w:val="20"/>
          <w:szCs w:val="18"/>
          <w:lang w:val="en-CA" w:eastAsia="zh-TW"/>
        </w:rPr>
        <w:t>秦莉佳</w:t>
      </w:r>
      <w:r w:rsidRPr="00D014F1">
        <w:rPr>
          <w:rFonts w:cs="Arial"/>
          <w:b/>
          <w:sz w:val="20"/>
          <w:szCs w:val="18"/>
          <w:lang w:eastAsia="zh-TW"/>
        </w:rPr>
        <w:tab/>
      </w:r>
    </w:p>
    <w:p w14:paraId="1CB9E607" w14:textId="4536C81E" w:rsidR="00F445CA" w:rsidRPr="00D014F1" w:rsidRDefault="000663A0" w:rsidP="00F445CA">
      <w:pPr>
        <w:tabs>
          <w:tab w:val="left" w:pos="851"/>
          <w:tab w:val="left" w:pos="4536"/>
          <w:tab w:val="left" w:pos="4962"/>
          <w:tab w:val="left" w:pos="5387"/>
        </w:tabs>
        <w:spacing w:line="360" w:lineRule="auto"/>
        <w:rPr>
          <w:rFonts w:cs="Arial"/>
          <w:color w:val="000000"/>
          <w:sz w:val="20"/>
          <w:szCs w:val="18"/>
          <w:lang w:eastAsia="de-DE"/>
        </w:rPr>
      </w:pPr>
      <w:r w:rsidRPr="00D014F1">
        <w:rPr>
          <w:rFonts w:cs="Arial" w:hint="eastAsia"/>
          <w:sz w:val="20"/>
          <w:szCs w:val="18"/>
          <w:lang w:eastAsia="zh-TW"/>
        </w:rPr>
        <w:t>電話</w:t>
      </w:r>
      <w:r w:rsidRPr="00D014F1">
        <w:rPr>
          <w:rFonts w:cs="Arial"/>
          <w:sz w:val="20"/>
          <w:szCs w:val="18"/>
          <w:lang w:eastAsia="zh-TW"/>
        </w:rPr>
        <w:t xml:space="preserve">: </w:t>
      </w:r>
      <w:r w:rsidRPr="00D014F1">
        <w:rPr>
          <w:rFonts w:cs="Arial"/>
          <w:sz w:val="20"/>
          <w:szCs w:val="18"/>
          <w:lang w:val="en-CA" w:eastAsia="zh-TW"/>
        </w:rPr>
        <w:t>+86 21 2891 4386</w:t>
      </w:r>
      <w:r w:rsidRPr="00D014F1">
        <w:rPr>
          <w:rFonts w:cs="Arial"/>
          <w:sz w:val="20"/>
          <w:szCs w:val="18"/>
          <w:lang w:eastAsia="zh-TW"/>
        </w:rPr>
        <w:tab/>
      </w:r>
    </w:p>
    <w:p w14:paraId="22BA531E" w14:textId="15BDBEAB" w:rsidR="00F445CA" w:rsidRPr="00DB6E05" w:rsidRDefault="000663A0" w:rsidP="00F445CA">
      <w:pPr>
        <w:tabs>
          <w:tab w:val="left" w:pos="1080"/>
          <w:tab w:val="left" w:pos="4500"/>
        </w:tabs>
        <w:rPr>
          <w:rStyle w:val="AboutandContactBody"/>
          <w:rFonts w:asciiTheme="majorHAnsi" w:hAnsiTheme="majorHAnsi" w:cstheme="majorHAnsi"/>
          <w:b/>
          <w:szCs w:val="18"/>
          <w:lang w:eastAsia="zh-CN"/>
        </w:rPr>
      </w:pPr>
      <w:r w:rsidRPr="00D014F1">
        <w:rPr>
          <w:rFonts w:cs="Arial" w:hint="eastAsia"/>
          <w:sz w:val="20"/>
          <w:szCs w:val="18"/>
          <w:lang w:eastAsia="zh-TW"/>
        </w:rPr>
        <w:t>郵件</w:t>
      </w:r>
      <w:r w:rsidRPr="00D014F1">
        <w:rPr>
          <w:rFonts w:cs="Arial"/>
          <w:sz w:val="20"/>
          <w:szCs w:val="18"/>
          <w:lang w:eastAsia="zh-TW"/>
        </w:rPr>
        <w:t xml:space="preserve">: </w:t>
      </w:r>
      <w:r w:rsidRPr="00D014F1">
        <w:rPr>
          <w:rFonts w:cs="Arial"/>
          <w:sz w:val="20"/>
          <w:lang w:val="en-CA" w:eastAsia="zh-TW"/>
        </w:rPr>
        <w:t>liki.qin@henkel.com</w:t>
      </w:r>
    </w:p>
    <w:p w14:paraId="727BE73F" w14:textId="77777777" w:rsidR="00F445CA" w:rsidRPr="00F445CA" w:rsidRDefault="00F445CA" w:rsidP="00EB6B21">
      <w:pPr>
        <w:rPr>
          <w:rStyle w:val="AboutandContactBody"/>
          <w:rFonts w:asciiTheme="majorHAnsi" w:hAnsiTheme="majorHAnsi" w:cs="Calibri Light"/>
          <w:color w:val="0000FF"/>
          <w:szCs w:val="18"/>
          <w:u w:val="single"/>
          <w:lang w:eastAsia="zh-CN"/>
        </w:rPr>
      </w:pPr>
    </w:p>
    <w:sectPr w:rsidR="00F445CA" w:rsidRPr="00F445CA" w:rsidSect="00F445CA">
      <w:headerReference w:type="even" r:id="rId13"/>
      <w:footerReference w:type="default" r:id="rId14"/>
      <w:headerReference w:type="first" r:id="rId15"/>
      <w:footerReference w:type="first" r:id="rId16"/>
      <w:pgSz w:w="11907" w:h="16840" w:code="9"/>
      <w:pgMar w:top="1944" w:right="1411" w:bottom="1843"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D5D95" w14:textId="77777777" w:rsidR="000C57A1" w:rsidRDefault="000C57A1">
      <w:r>
        <w:separator/>
      </w:r>
    </w:p>
  </w:endnote>
  <w:endnote w:type="continuationSeparator" w:id="0">
    <w:p w14:paraId="5C75AFC0" w14:textId="77777777" w:rsidR="000C57A1" w:rsidRDefault="000C57A1">
      <w:r>
        <w:continuationSeparator/>
      </w:r>
    </w:p>
  </w:endnote>
  <w:endnote w:type="continuationNotice" w:id="1">
    <w:p w14:paraId="33E58BFA" w14:textId="77777777" w:rsidR="000C57A1" w:rsidRDefault="000C57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pitch w:val="variable"/>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742E" w14:textId="4CA80DDC" w:rsidR="001B05CA" w:rsidRDefault="00112A28" w:rsidP="00112A28">
    <w:pPr>
      <w:pStyle w:val="a4"/>
      <w:tabs>
        <w:tab w:val="clear" w:pos="7083"/>
        <w:tab w:val="clear" w:pos="8640"/>
        <w:tab w:val="right" w:pos="9071"/>
      </w:tabs>
      <w:jc w:val="both"/>
    </w:pPr>
    <w:r w:rsidRPr="00BF6E82">
      <w:t>Henkel AG &amp; Co. KGaA</w:t>
    </w:r>
    <w:r w:rsidR="003276D5">
      <w:tab/>
      <w:t>Page</w:t>
    </w:r>
    <w:r w:rsidR="003276D5" w:rsidRPr="00BF6E82">
      <w:t xml:space="preserve"> </w:t>
    </w:r>
    <w:r w:rsidR="003276D5" w:rsidRPr="00BF6E82">
      <w:fldChar w:fldCharType="begin"/>
    </w:r>
    <w:r w:rsidR="003276D5" w:rsidRPr="00BF6E82">
      <w:instrText xml:space="preserve"> PAGE  \* Arabic  \* MERGEFORMAT </w:instrText>
    </w:r>
    <w:r w:rsidR="003276D5" w:rsidRPr="00BF6E82">
      <w:fldChar w:fldCharType="separate"/>
    </w:r>
    <w:r w:rsidR="00930BF4">
      <w:t>6</w:t>
    </w:r>
    <w:r w:rsidR="003276D5" w:rsidRPr="00BF6E82">
      <w:fldChar w:fldCharType="end"/>
    </w:r>
    <w:r w:rsidR="003276D5" w:rsidRPr="00BF6E82">
      <w:t>/</w:t>
    </w:r>
    <w:r w:rsidR="000663A0">
      <w:fldChar w:fldCharType="begin"/>
    </w:r>
    <w:r w:rsidR="000663A0">
      <w:instrText xml:space="preserve"> NUMPAGES  \* Arabic  \* MERGEFORMAT </w:instrText>
    </w:r>
    <w:r w:rsidR="000663A0">
      <w:fldChar w:fldCharType="separate"/>
    </w:r>
    <w:r w:rsidR="00930BF4">
      <w:t>9</w:t>
    </w:r>
    <w:r w:rsidR="000663A0">
      <w:fldChar w:fldCharType="end"/>
    </w:r>
  </w:p>
  <w:p w14:paraId="637D10C9" w14:textId="797B4816" w:rsidR="00CF6F33" w:rsidRPr="00112A28" w:rsidRDefault="001B05CA" w:rsidP="00112A28">
    <w:pPr>
      <w:pStyle w:val="a4"/>
      <w:tabs>
        <w:tab w:val="clear" w:pos="7083"/>
        <w:tab w:val="clear" w:pos="8640"/>
        <w:tab w:val="right" w:pos="9071"/>
      </w:tabs>
      <w:jc w:val="both"/>
      <w:rPr>
        <w:lang w:eastAsia="zh-CN"/>
      </w:rPr>
    </w:pPr>
    <w:r>
      <w:rPr>
        <w:rFonts w:hint="eastAsia"/>
        <w:lang w:eastAsia="zh-CN"/>
      </w:rPr>
      <w:t>汉高股份有限及两合公司</w:t>
    </w:r>
    <w:r w:rsidR="00112A28">
      <w:rPr>
        <w:lang w:eastAsia="zh-CN"/>
      </w:rPr>
      <w:tab/>
    </w:r>
    <w:r w:rsidR="003276D5">
      <w:rPr>
        <w:rFonts w:hint="eastAsia"/>
        <w:lang w:eastAsia="zh-CN"/>
      </w:rPr>
      <w:t>页码</w:t>
    </w:r>
    <w:r w:rsidR="003276D5" w:rsidRPr="00992A11">
      <w:fldChar w:fldCharType="begin"/>
    </w:r>
    <w:r w:rsidR="003276D5" w:rsidRPr="00992A11">
      <w:rPr>
        <w:lang w:eastAsia="zh-CN"/>
      </w:rPr>
      <w:instrText xml:space="preserve"> PAGE  \* Arabic  \* MERGEFORMAT </w:instrText>
    </w:r>
    <w:r w:rsidR="003276D5" w:rsidRPr="00992A11">
      <w:fldChar w:fldCharType="separate"/>
    </w:r>
    <w:r w:rsidR="00930BF4">
      <w:rPr>
        <w:lang w:eastAsia="zh-CN"/>
      </w:rPr>
      <w:t>6</w:t>
    </w:r>
    <w:r w:rsidR="003276D5" w:rsidRPr="00992A11">
      <w:fldChar w:fldCharType="end"/>
    </w:r>
    <w:r w:rsidR="003276D5" w:rsidRPr="00992A11">
      <w:rPr>
        <w:lang w:eastAsia="zh-CN"/>
      </w:rPr>
      <w:t>/</w:t>
    </w:r>
    <w:r w:rsidR="003276D5" w:rsidRPr="00992A11">
      <w:fldChar w:fldCharType="begin"/>
    </w:r>
    <w:r w:rsidR="003276D5" w:rsidRPr="00992A11">
      <w:rPr>
        <w:lang w:eastAsia="zh-CN"/>
      </w:rPr>
      <w:instrText xml:space="preserve"> NUMPAGES  \* Arabic  \* MERGEFORMAT </w:instrText>
    </w:r>
    <w:r w:rsidR="003276D5" w:rsidRPr="00992A11">
      <w:fldChar w:fldCharType="separate"/>
    </w:r>
    <w:r w:rsidR="00930BF4">
      <w:rPr>
        <w:lang w:eastAsia="zh-CN"/>
      </w:rPr>
      <w:t>9</w:t>
    </w:r>
    <w:r w:rsidR="003276D5" w:rsidRPr="00992A1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CA475" w14:textId="77777777" w:rsidR="009830C8" w:rsidRDefault="0059722C" w:rsidP="00992A11">
    <w:pPr>
      <w:pStyle w:val="a4"/>
    </w:pPr>
    <w:bookmarkStart w:id="9" w:name="_Hlk505758583"/>
    <w:r w:rsidRPr="00992A11">
      <w:rPr>
        <w:lang w:eastAsia="zh-CN"/>
      </w:rPr>
      <w:drawing>
        <wp:inline distT="0" distB="0" distL="0" distR="0" wp14:anchorId="4BF6D73A" wp14:editId="5BFDA98B">
          <wp:extent cx="5756910" cy="38481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inline>
      </w:drawing>
    </w:r>
    <w:bookmarkEnd w:id="9"/>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701"/>
    </w:tblGrid>
    <w:tr w:rsidR="009830C8" w14:paraId="3C7813AD" w14:textId="77777777" w:rsidTr="00930BF4">
      <w:tc>
        <w:tcPr>
          <w:tcW w:w="6374" w:type="dxa"/>
          <w:tcMar>
            <w:left w:w="0" w:type="dxa"/>
            <w:right w:w="0" w:type="dxa"/>
          </w:tcMar>
        </w:tcPr>
        <w:p w14:paraId="723B3445" w14:textId="77777777" w:rsidR="009830C8" w:rsidRDefault="009830C8" w:rsidP="009830C8">
          <w:pPr>
            <w:autoSpaceDE w:val="0"/>
            <w:autoSpaceDN w:val="0"/>
            <w:adjustRightInd w:val="0"/>
            <w:spacing w:after="60" w:line="240" w:lineRule="auto"/>
            <w:rPr>
              <w:sz w:val="16"/>
              <w:szCs w:val="16"/>
            </w:rPr>
          </w:pPr>
          <w:r w:rsidRPr="00677B12">
            <w:rPr>
              <w:sz w:val="16"/>
              <w:szCs w:val="16"/>
            </w:rPr>
            <w:t>* Adjusted for one-time expenses and income, and for restructuring expenses.</w:t>
          </w:r>
        </w:p>
        <w:p w14:paraId="367E5556" w14:textId="330DB5D9" w:rsidR="009830C8" w:rsidRDefault="009830C8" w:rsidP="009830C8">
          <w:pPr>
            <w:pStyle w:val="a4"/>
            <w:jc w:val="left"/>
            <w:rPr>
              <w:lang w:eastAsia="zh-CN"/>
            </w:rPr>
          </w:pPr>
          <w:r w:rsidRPr="001B05CA">
            <w:rPr>
              <w:rFonts w:hint="eastAsia"/>
              <w:sz w:val="16"/>
              <w:szCs w:val="16"/>
              <w:lang w:eastAsia="zh-CN"/>
            </w:rPr>
            <w:t xml:space="preserve">* </w:t>
          </w:r>
          <w:r w:rsidRPr="001B05CA">
            <w:rPr>
              <w:rFonts w:hint="eastAsia"/>
              <w:sz w:val="16"/>
              <w:szCs w:val="16"/>
              <w:lang w:eastAsia="zh-CN"/>
            </w:rPr>
            <w:t>对一次性费用和收入以及重组费用进行了调整。</w:t>
          </w:r>
        </w:p>
      </w:tc>
      <w:tc>
        <w:tcPr>
          <w:tcW w:w="2701" w:type="dxa"/>
          <w:tcMar>
            <w:left w:w="0" w:type="dxa"/>
            <w:right w:w="0" w:type="dxa"/>
          </w:tcMar>
          <w:vAlign w:val="center"/>
        </w:tcPr>
        <w:p w14:paraId="66D27986" w14:textId="0E4BAE2B" w:rsidR="009830C8" w:rsidRDefault="009830C8" w:rsidP="009830C8">
          <w:pPr>
            <w:pStyle w:val="a4"/>
          </w:pPr>
          <w:r>
            <w:t>Page</w:t>
          </w:r>
          <w:r w:rsidRPr="00992A11">
            <w:t xml:space="preserve"> </w:t>
          </w:r>
          <w:r w:rsidRPr="00992A11">
            <w:fldChar w:fldCharType="begin"/>
          </w:r>
          <w:r w:rsidRPr="00992A11">
            <w:instrText xml:space="preserve"> PAGE  \* Arabic  \* MERGEFORMAT </w:instrText>
          </w:r>
          <w:r w:rsidRPr="00992A11">
            <w:fldChar w:fldCharType="separate"/>
          </w:r>
          <w:r w:rsidR="00930BF4">
            <w:t>1</w:t>
          </w:r>
          <w:r w:rsidRPr="00992A11">
            <w:fldChar w:fldCharType="end"/>
          </w:r>
          <w:r w:rsidRPr="00992A11">
            <w:t>/</w:t>
          </w:r>
          <w:r w:rsidR="000663A0">
            <w:fldChar w:fldCharType="begin"/>
          </w:r>
          <w:r w:rsidR="000663A0">
            <w:instrText xml:space="preserve"> NUMPAGES  \* Arabic  \* MERGEFORMAT </w:instrText>
          </w:r>
          <w:r w:rsidR="000663A0">
            <w:fldChar w:fldCharType="separate"/>
          </w:r>
          <w:r w:rsidR="00930BF4">
            <w:t>9</w:t>
          </w:r>
          <w:r w:rsidR="000663A0">
            <w:fldChar w:fldCharType="end"/>
          </w:r>
        </w:p>
        <w:p w14:paraId="279C911F" w14:textId="735AF74E" w:rsidR="009830C8" w:rsidRDefault="009830C8" w:rsidP="009830C8">
          <w:pPr>
            <w:pStyle w:val="a4"/>
          </w:pPr>
          <w:r>
            <w:rPr>
              <w:rFonts w:hint="eastAsia"/>
              <w:lang w:eastAsia="zh-CN"/>
            </w:rPr>
            <w:t>页码</w:t>
          </w:r>
          <w:r w:rsidRPr="00992A11">
            <w:fldChar w:fldCharType="begin"/>
          </w:r>
          <w:r w:rsidRPr="00992A11">
            <w:instrText xml:space="preserve"> PAGE  \* Arabic  \* MERGEFORMAT </w:instrText>
          </w:r>
          <w:r w:rsidRPr="00992A11">
            <w:fldChar w:fldCharType="separate"/>
          </w:r>
          <w:r w:rsidR="00930BF4">
            <w:t>1</w:t>
          </w:r>
          <w:r w:rsidRPr="00992A11">
            <w:fldChar w:fldCharType="end"/>
          </w:r>
          <w:r w:rsidRPr="00992A11">
            <w:t>/</w:t>
          </w:r>
          <w:r w:rsidR="000663A0">
            <w:fldChar w:fldCharType="begin"/>
          </w:r>
          <w:r w:rsidR="000663A0">
            <w:instrText xml:space="preserve"> NUMPAGES  \* Arabic  \* MERGEFORMAT </w:instrText>
          </w:r>
          <w:r w:rsidR="000663A0">
            <w:fldChar w:fldCharType="separate"/>
          </w:r>
          <w:r w:rsidR="00930BF4">
            <w:t>9</w:t>
          </w:r>
          <w:r w:rsidR="000663A0">
            <w:fldChar w:fldCharType="end"/>
          </w:r>
        </w:p>
      </w:tc>
    </w:tr>
  </w:tbl>
  <w:p w14:paraId="7A8912FD" w14:textId="77777777" w:rsidR="009830C8" w:rsidRPr="00930BF4" w:rsidRDefault="009830C8" w:rsidP="00930BF4">
    <w:pPr>
      <w:pStyle w:val="a4"/>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AEE84" w14:textId="77777777" w:rsidR="000C57A1" w:rsidRDefault="000C57A1">
      <w:r>
        <w:separator/>
      </w:r>
    </w:p>
  </w:footnote>
  <w:footnote w:type="continuationSeparator" w:id="0">
    <w:p w14:paraId="6CB4818B" w14:textId="77777777" w:rsidR="000C57A1" w:rsidRDefault="000C57A1">
      <w:r>
        <w:continuationSeparator/>
      </w:r>
    </w:p>
  </w:footnote>
  <w:footnote w:type="continuationNotice" w:id="1">
    <w:p w14:paraId="52FAAA29" w14:textId="77777777" w:rsidR="000C57A1" w:rsidRDefault="000C57A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a3"/>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F26F2" w14:textId="23C96F0D" w:rsidR="00FE6DE5" w:rsidRDefault="0059722C" w:rsidP="00E67937">
    <w:pPr>
      <w:pStyle w:val="a3"/>
      <w:ind w:right="85"/>
      <w:contextualSpacing/>
    </w:pPr>
    <w:r w:rsidRPr="00EB46D9">
      <w:rPr>
        <w:noProof/>
        <w:lang w:eastAsia="zh-CN"/>
      </w:rPr>
      <w:drawing>
        <wp:anchor distT="0" distB="0" distL="114300" distR="114300" simplePos="0" relativeHeight="251659264" behindDoc="0" locked="0" layoutInCell="1" allowOverlap="1" wp14:anchorId="7FE073E5" wp14:editId="39B22C60">
          <wp:simplePos x="0" y="0"/>
          <wp:positionH relativeFrom="column">
            <wp:posOffset>4969254</wp:posOffset>
          </wp:positionH>
          <wp:positionV relativeFrom="paragraph">
            <wp:posOffset>-260742</wp:posOffset>
          </wp:positionV>
          <wp:extent cx="1051560" cy="603250"/>
          <wp:effectExtent l="0" t="0" r="0" b="635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cstate="print">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lang w:eastAsia="zh-CN"/>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0746B920" id="Gruppieren 2"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E67937">
      <w:rPr>
        <w:lang w:eastAsia="zh-CN"/>
      </w:rPr>
      <w:t xml:space="preserve">   </w:t>
    </w:r>
    <w:r w:rsidR="00E67937">
      <w:rPr>
        <w:rFonts w:hint="eastAsia"/>
        <w:lang w:eastAsia="zh-CN"/>
      </w:rPr>
      <w:t xml:space="preserve"> </w:t>
    </w:r>
    <w:r w:rsidR="00E67937">
      <w:rPr>
        <w:lang w:eastAsia="zh-CN"/>
      </w:rPr>
      <w:t xml:space="preserve">  </w:t>
    </w:r>
    <w:proofErr w:type="spellStart"/>
    <w:r w:rsidR="00FE6DE5" w:rsidRPr="00FE6DE5">
      <w:rPr>
        <w:rFonts w:hint="eastAsia"/>
      </w:rPr>
      <w:t>新闻稿</w:t>
    </w:r>
    <w:proofErr w:type="spellEnd"/>
  </w:p>
  <w:p w14:paraId="26DFA155" w14:textId="77777777" w:rsidR="004A047C" w:rsidRPr="004A047C" w:rsidRDefault="004A047C" w:rsidP="004A047C">
    <w:pPr>
      <w:pStyle w:val="a3"/>
      <w:spacing w:before="0"/>
      <w:contextualSpacing/>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DBCE1744"/>
    <w:lvl w:ilvl="0" w:tplc="35FC6D76">
      <w:start w:val="1"/>
      <w:numFmt w:val="bullet"/>
      <w:pStyle w:val="He01FlietextAufzhlung1Ebene"/>
      <w:lvlText w:val=""/>
      <w:lvlJc w:val="left"/>
      <w:pPr>
        <w:ind w:left="360" w:hanging="360"/>
      </w:pPr>
      <w:rPr>
        <w:rFonts w:ascii="Wingdings" w:hAnsi="Wingdings" w:hint="default"/>
        <w:color w:val="D7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40AFE"/>
    <w:multiLevelType w:val="hybridMultilevel"/>
    <w:tmpl w:val="8442514E"/>
    <w:lvl w:ilvl="0" w:tplc="494C7AEE">
      <w:start w:val="1"/>
      <w:numFmt w:val="bullet"/>
      <w:pStyle w:val="He01FlietextAufzhlung2Ebene"/>
      <w:lvlText w:val="–"/>
      <w:lvlJc w:val="left"/>
      <w:pPr>
        <w:ind w:left="700" w:hanging="360"/>
      </w:pPr>
      <w:rPr>
        <w:rFonts w:ascii="Segoe UI" w:hAnsi="Segoe UI" w:hint="default"/>
        <w:color w:val="D7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4" w15:restartNumberingAfterBreak="0">
    <w:nsid w:val="17BB1CD1"/>
    <w:multiLevelType w:val="hybridMultilevel"/>
    <w:tmpl w:val="773827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E0783"/>
    <w:multiLevelType w:val="hybridMultilevel"/>
    <w:tmpl w:val="A90E12F8"/>
    <w:lvl w:ilvl="0" w:tplc="36002C28">
      <w:start w:val="1"/>
      <w:numFmt w:val="bullet"/>
      <w:lvlText w:val=""/>
      <w:lvlJc w:val="left"/>
      <w:pPr>
        <w:ind w:left="720" w:hanging="360"/>
      </w:pPr>
      <w:rPr>
        <w:rFonts w:ascii="Wingdings" w:hAnsi="Wingdings" w:hint="default"/>
        <w:color w:val="E1000F"/>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15:restartNumberingAfterBreak="0">
    <w:nsid w:val="540C1A7D"/>
    <w:multiLevelType w:val="hybridMultilevel"/>
    <w:tmpl w:val="11E02DF8"/>
    <w:lvl w:ilvl="0" w:tplc="FFFFFFFF">
      <w:start w:val="1"/>
      <w:numFmt w:val="bullet"/>
      <w:lvlText w:val=""/>
      <w:lvlJc w:val="left"/>
      <w:pPr>
        <w:ind w:left="720" w:hanging="360"/>
      </w:pPr>
      <w:rPr>
        <w:rFonts w:ascii="Wingdings" w:hAnsi="Wingdings" w:hint="default"/>
      </w:rPr>
    </w:lvl>
    <w:lvl w:ilvl="1" w:tplc="3F8A0828">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332690">
    <w:abstractNumId w:val="2"/>
  </w:num>
  <w:num w:numId="2" w16cid:durableId="410737939">
    <w:abstractNumId w:val="1"/>
  </w:num>
  <w:num w:numId="3" w16cid:durableId="1297839150">
    <w:abstractNumId w:val="12"/>
  </w:num>
  <w:num w:numId="4" w16cid:durableId="62221390">
    <w:abstractNumId w:val="8"/>
  </w:num>
  <w:num w:numId="5" w16cid:durableId="2056005372">
    <w:abstractNumId w:val="6"/>
  </w:num>
  <w:num w:numId="6" w16cid:durableId="1113286875">
    <w:abstractNumId w:val="10"/>
  </w:num>
  <w:num w:numId="7" w16cid:durableId="1961380594">
    <w:abstractNumId w:val="7"/>
  </w:num>
  <w:num w:numId="8" w16cid:durableId="1148546462">
    <w:abstractNumId w:val="0"/>
  </w:num>
  <w:num w:numId="9" w16cid:durableId="1163203982">
    <w:abstractNumId w:val="11"/>
  </w:num>
  <w:num w:numId="10" w16cid:durableId="609823308">
    <w:abstractNumId w:val="3"/>
  </w:num>
  <w:num w:numId="11" w16cid:durableId="1414353667">
    <w:abstractNumId w:val="5"/>
  </w:num>
  <w:num w:numId="12" w16cid:durableId="132869000">
    <w:abstractNumId w:val="4"/>
  </w:num>
  <w:num w:numId="13" w16cid:durableId="15555073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3451C"/>
    <w:rsid w:val="00000360"/>
    <w:rsid w:val="00000839"/>
    <w:rsid w:val="000016AF"/>
    <w:rsid w:val="00002AA4"/>
    <w:rsid w:val="00002DED"/>
    <w:rsid w:val="00005267"/>
    <w:rsid w:val="00005654"/>
    <w:rsid w:val="00006346"/>
    <w:rsid w:val="00006663"/>
    <w:rsid w:val="000069EB"/>
    <w:rsid w:val="00006A45"/>
    <w:rsid w:val="00007718"/>
    <w:rsid w:val="00007ACA"/>
    <w:rsid w:val="0001002C"/>
    <w:rsid w:val="000109CE"/>
    <w:rsid w:val="00011965"/>
    <w:rsid w:val="0001330B"/>
    <w:rsid w:val="0001450F"/>
    <w:rsid w:val="00016137"/>
    <w:rsid w:val="00021C67"/>
    <w:rsid w:val="00023871"/>
    <w:rsid w:val="000248A2"/>
    <w:rsid w:val="00027A10"/>
    <w:rsid w:val="000301F0"/>
    <w:rsid w:val="00030557"/>
    <w:rsid w:val="0003067C"/>
    <w:rsid w:val="000306D6"/>
    <w:rsid w:val="00030701"/>
    <w:rsid w:val="00030F51"/>
    <w:rsid w:val="00032298"/>
    <w:rsid w:val="000343EB"/>
    <w:rsid w:val="00035623"/>
    <w:rsid w:val="00035A84"/>
    <w:rsid w:val="00040212"/>
    <w:rsid w:val="00040218"/>
    <w:rsid w:val="000402B6"/>
    <w:rsid w:val="00040CC9"/>
    <w:rsid w:val="00042329"/>
    <w:rsid w:val="00042475"/>
    <w:rsid w:val="000425ED"/>
    <w:rsid w:val="00044E68"/>
    <w:rsid w:val="000478FA"/>
    <w:rsid w:val="000505FE"/>
    <w:rsid w:val="000510FC"/>
    <w:rsid w:val="00051E86"/>
    <w:rsid w:val="00053A77"/>
    <w:rsid w:val="000547A6"/>
    <w:rsid w:val="00054AFE"/>
    <w:rsid w:val="000575F9"/>
    <w:rsid w:val="00057BC1"/>
    <w:rsid w:val="000618FC"/>
    <w:rsid w:val="0006396D"/>
    <w:rsid w:val="000649E2"/>
    <w:rsid w:val="00064CCE"/>
    <w:rsid w:val="000652E9"/>
    <w:rsid w:val="000663A0"/>
    <w:rsid w:val="000665F3"/>
    <w:rsid w:val="00067071"/>
    <w:rsid w:val="00067F67"/>
    <w:rsid w:val="00070757"/>
    <w:rsid w:val="00070B4E"/>
    <w:rsid w:val="00074C4A"/>
    <w:rsid w:val="000751A7"/>
    <w:rsid w:val="00077AF9"/>
    <w:rsid w:val="00080D10"/>
    <w:rsid w:val="00081241"/>
    <w:rsid w:val="000813FB"/>
    <w:rsid w:val="00081EF8"/>
    <w:rsid w:val="0008357F"/>
    <w:rsid w:val="0008406B"/>
    <w:rsid w:val="00085A92"/>
    <w:rsid w:val="00085ABA"/>
    <w:rsid w:val="00090686"/>
    <w:rsid w:val="00091B67"/>
    <w:rsid w:val="000925EE"/>
    <w:rsid w:val="000937E1"/>
    <w:rsid w:val="00093A76"/>
    <w:rsid w:val="0009628B"/>
    <w:rsid w:val="00096AD4"/>
    <w:rsid w:val="000A1BF9"/>
    <w:rsid w:val="000A3FAD"/>
    <w:rsid w:val="000A47BE"/>
    <w:rsid w:val="000A60E3"/>
    <w:rsid w:val="000B005C"/>
    <w:rsid w:val="000B0A62"/>
    <w:rsid w:val="000B2E86"/>
    <w:rsid w:val="000B39FC"/>
    <w:rsid w:val="000B4D0A"/>
    <w:rsid w:val="000B55CE"/>
    <w:rsid w:val="000B5657"/>
    <w:rsid w:val="000B5D2F"/>
    <w:rsid w:val="000B6244"/>
    <w:rsid w:val="000B695A"/>
    <w:rsid w:val="000B72A8"/>
    <w:rsid w:val="000C09DB"/>
    <w:rsid w:val="000C11EE"/>
    <w:rsid w:val="000C210A"/>
    <w:rsid w:val="000C27E5"/>
    <w:rsid w:val="000C386C"/>
    <w:rsid w:val="000C56DD"/>
    <w:rsid w:val="000C57A1"/>
    <w:rsid w:val="000C7C41"/>
    <w:rsid w:val="000D052E"/>
    <w:rsid w:val="000D10D2"/>
    <w:rsid w:val="000D1672"/>
    <w:rsid w:val="000D178A"/>
    <w:rsid w:val="000D6C67"/>
    <w:rsid w:val="000E0FB6"/>
    <w:rsid w:val="000E1B84"/>
    <w:rsid w:val="000E2F62"/>
    <w:rsid w:val="000E318F"/>
    <w:rsid w:val="000E38ED"/>
    <w:rsid w:val="000E4668"/>
    <w:rsid w:val="000E7F24"/>
    <w:rsid w:val="000F03BE"/>
    <w:rsid w:val="000F1757"/>
    <w:rsid w:val="000F225B"/>
    <w:rsid w:val="000F22C4"/>
    <w:rsid w:val="000F39EA"/>
    <w:rsid w:val="000F48E9"/>
    <w:rsid w:val="000F7F60"/>
    <w:rsid w:val="000F7FAF"/>
    <w:rsid w:val="00100CE9"/>
    <w:rsid w:val="0010226B"/>
    <w:rsid w:val="001027F2"/>
    <w:rsid w:val="0010465B"/>
    <w:rsid w:val="00105975"/>
    <w:rsid w:val="00105C2E"/>
    <w:rsid w:val="0010673F"/>
    <w:rsid w:val="00107F44"/>
    <w:rsid w:val="0011116D"/>
    <w:rsid w:val="00111C0C"/>
    <w:rsid w:val="00111F4D"/>
    <w:rsid w:val="00112A28"/>
    <w:rsid w:val="00115230"/>
    <w:rsid w:val="00115B5F"/>
    <w:rsid w:val="001162B4"/>
    <w:rsid w:val="001210D4"/>
    <w:rsid w:val="00122CBC"/>
    <w:rsid w:val="00124903"/>
    <w:rsid w:val="00124EA9"/>
    <w:rsid w:val="00126C65"/>
    <w:rsid w:val="00126D4A"/>
    <w:rsid w:val="00127F6F"/>
    <w:rsid w:val="001318EB"/>
    <w:rsid w:val="00131AFE"/>
    <w:rsid w:val="00132A8B"/>
    <w:rsid w:val="00132DA9"/>
    <w:rsid w:val="0013305B"/>
    <w:rsid w:val="0013318B"/>
    <w:rsid w:val="00133B99"/>
    <w:rsid w:val="0013569C"/>
    <w:rsid w:val="001443BD"/>
    <w:rsid w:val="0014449A"/>
    <w:rsid w:val="00144A87"/>
    <w:rsid w:val="00146193"/>
    <w:rsid w:val="00146222"/>
    <w:rsid w:val="00146988"/>
    <w:rsid w:val="00147431"/>
    <w:rsid w:val="0015206B"/>
    <w:rsid w:val="00153409"/>
    <w:rsid w:val="0015340B"/>
    <w:rsid w:val="001577E9"/>
    <w:rsid w:val="0016124B"/>
    <w:rsid w:val="0016138C"/>
    <w:rsid w:val="00161C1B"/>
    <w:rsid w:val="00161FC1"/>
    <w:rsid w:val="00162D60"/>
    <w:rsid w:val="001640D5"/>
    <w:rsid w:val="001659FB"/>
    <w:rsid w:val="001660C5"/>
    <w:rsid w:val="001669CF"/>
    <w:rsid w:val="0017153B"/>
    <w:rsid w:val="00171F93"/>
    <w:rsid w:val="00172C99"/>
    <w:rsid w:val="00172DB2"/>
    <w:rsid w:val="001731CE"/>
    <w:rsid w:val="00175C72"/>
    <w:rsid w:val="0017764D"/>
    <w:rsid w:val="00181B06"/>
    <w:rsid w:val="00182C40"/>
    <w:rsid w:val="0018501C"/>
    <w:rsid w:val="00185167"/>
    <w:rsid w:val="001852F7"/>
    <w:rsid w:val="00186228"/>
    <w:rsid w:val="001862F7"/>
    <w:rsid w:val="001869C4"/>
    <w:rsid w:val="001869DB"/>
    <w:rsid w:val="001869F6"/>
    <w:rsid w:val="00186A75"/>
    <w:rsid w:val="00190A13"/>
    <w:rsid w:val="00191198"/>
    <w:rsid w:val="0019635E"/>
    <w:rsid w:val="00196956"/>
    <w:rsid w:val="00197E9B"/>
    <w:rsid w:val="001A382F"/>
    <w:rsid w:val="001A3D77"/>
    <w:rsid w:val="001A4417"/>
    <w:rsid w:val="001A62F7"/>
    <w:rsid w:val="001A71DA"/>
    <w:rsid w:val="001A7D44"/>
    <w:rsid w:val="001B05CA"/>
    <w:rsid w:val="001B1523"/>
    <w:rsid w:val="001B594A"/>
    <w:rsid w:val="001B5B6F"/>
    <w:rsid w:val="001B771D"/>
    <w:rsid w:val="001B7C20"/>
    <w:rsid w:val="001C0B32"/>
    <w:rsid w:val="001C158C"/>
    <w:rsid w:val="001C2D66"/>
    <w:rsid w:val="001C36F7"/>
    <w:rsid w:val="001C4530"/>
    <w:rsid w:val="001C4BE1"/>
    <w:rsid w:val="001D5E07"/>
    <w:rsid w:val="001D63E7"/>
    <w:rsid w:val="001D6FBE"/>
    <w:rsid w:val="001D7ADF"/>
    <w:rsid w:val="001E0F71"/>
    <w:rsid w:val="001E1CF5"/>
    <w:rsid w:val="001E201D"/>
    <w:rsid w:val="001E21F7"/>
    <w:rsid w:val="001E2B9B"/>
    <w:rsid w:val="001E3D73"/>
    <w:rsid w:val="001E4CCB"/>
    <w:rsid w:val="001E668B"/>
    <w:rsid w:val="001E683F"/>
    <w:rsid w:val="001E6D05"/>
    <w:rsid w:val="001E7114"/>
    <w:rsid w:val="001E73E8"/>
    <w:rsid w:val="001E7C28"/>
    <w:rsid w:val="001F13BA"/>
    <w:rsid w:val="001F1BDF"/>
    <w:rsid w:val="001F2CD0"/>
    <w:rsid w:val="001F35F8"/>
    <w:rsid w:val="001F4DBD"/>
    <w:rsid w:val="001F52E0"/>
    <w:rsid w:val="001F590C"/>
    <w:rsid w:val="001F7110"/>
    <w:rsid w:val="001F7E96"/>
    <w:rsid w:val="002005F5"/>
    <w:rsid w:val="002008C1"/>
    <w:rsid w:val="00202284"/>
    <w:rsid w:val="002028B5"/>
    <w:rsid w:val="00203DD3"/>
    <w:rsid w:val="00203E12"/>
    <w:rsid w:val="0020528D"/>
    <w:rsid w:val="0020543B"/>
    <w:rsid w:val="00205A66"/>
    <w:rsid w:val="002063CF"/>
    <w:rsid w:val="00206613"/>
    <w:rsid w:val="0021158F"/>
    <w:rsid w:val="00212488"/>
    <w:rsid w:val="002129A6"/>
    <w:rsid w:val="00216CAE"/>
    <w:rsid w:val="00220628"/>
    <w:rsid w:val="002208CB"/>
    <w:rsid w:val="002226D0"/>
    <w:rsid w:val="00222DDC"/>
    <w:rsid w:val="0022308F"/>
    <w:rsid w:val="002260C7"/>
    <w:rsid w:val="00226640"/>
    <w:rsid w:val="0022670F"/>
    <w:rsid w:val="002302E1"/>
    <w:rsid w:val="002304D2"/>
    <w:rsid w:val="00233D04"/>
    <w:rsid w:val="002346CC"/>
    <w:rsid w:val="00234ABD"/>
    <w:rsid w:val="00235C3A"/>
    <w:rsid w:val="002361CE"/>
    <w:rsid w:val="00236491"/>
    <w:rsid w:val="00236C3B"/>
    <w:rsid w:val="00236E2A"/>
    <w:rsid w:val="00237F62"/>
    <w:rsid w:val="002423C5"/>
    <w:rsid w:val="002436D0"/>
    <w:rsid w:val="00243CEA"/>
    <w:rsid w:val="002455A1"/>
    <w:rsid w:val="0024586A"/>
    <w:rsid w:val="00245D18"/>
    <w:rsid w:val="00247C1E"/>
    <w:rsid w:val="002502E1"/>
    <w:rsid w:val="002518A2"/>
    <w:rsid w:val="002528B3"/>
    <w:rsid w:val="00253ED9"/>
    <w:rsid w:val="002547FD"/>
    <w:rsid w:val="00256174"/>
    <w:rsid w:val="00256F0C"/>
    <w:rsid w:val="00257E57"/>
    <w:rsid w:val="00262084"/>
    <w:rsid w:val="00262A91"/>
    <w:rsid w:val="00262C05"/>
    <w:rsid w:val="002634FC"/>
    <w:rsid w:val="00264A77"/>
    <w:rsid w:val="00267470"/>
    <w:rsid w:val="00270878"/>
    <w:rsid w:val="00270D83"/>
    <w:rsid w:val="002715AF"/>
    <w:rsid w:val="00274491"/>
    <w:rsid w:val="00275425"/>
    <w:rsid w:val="00276B8D"/>
    <w:rsid w:val="00277A1F"/>
    <w:rsid w:val="002803C4"/>
    <w:rsid w:val="00281D14"/>
    <w:rsid w:val="00282C13"/>
    <w:rsid w:val="002833D8"/>
    <w:rsid w:val="00283ECC"/>
    <w:rsid w:val="00284BFB"/>
    <w:rsid w:val="00285FD5"/>
    <w:rsid w:val="00286134"/>
    <w:rsid w:val="00286BF6"/>
    <w:rsid w:val="00286D11"/>
    <w:rsid w:val="0028701A"/>
    <w:rsid w:val="00295D74"/>
    <w:rsid w:val="002A0DF7"/>
    <w:rsid w:val="002A1168"/>
    <w:rsid w:val="002A2975"/>
    <w:rsid w:val="002A460D"/>
    <w:rsid w:val="002A5EE9"/>
    <w:rsid w:val="002A60E0"/>
    <w:rsid w:val="002A7FC7"/>
    <w:rsid w:val="002B04F8"/>
    <w:rsid w:val="002B359D"/>
    <w:rsid w:val="002B3CE3"/>
    <w:rsid w:val="002B4111"/>
    <w:rsid w:val="002B687A"/>
    <w:rsid w:val="002C11B5"/>
    <w:rsid w:val="002C1344"/>
    <w:rsid w:val="002C13CE"/>
    <w:rsid w:val="002C1FEB"/>
    <w:rsid w:val="002C252E"/>
    <w:rsid w:val="002C459B"/>
    <w:rsid w:val="002C4E37"/>
    <w:rsid w:val="002C54F5"/>
    <w:rsid w:val="002C6773"/>
    <w:rsid w:val="002D0E4F"/>
    <w:rsid w:val="002D1752"/>
    <w:rsid w:val="002D269A"/>
    <w:rsid w:val="002D292F"/>
    <w:rsid w:val="002D2A3D"/>
    <w:rsid w:val="002D2C34"/>
    <w:rsid w:val="002D43BB"/>
    <w:rsid w:val="002D5302"/>
    <w:rsid w:val="002D54A9"/>
    <w:rsid w:val="002D5D1D"/>
    <w:rsid w:val="002D6EFD"/>
    <w:rsid w:val="002D74CF"/>
    <w:rsid w:val="002E0B17"/>
    <w:rsid w:val="002E2268"/>
    <w:rsid w:val="002E2551"/>
    <w:rsid w:val="002E26B4"/>
    <w:rsid w:val="002E4FFB"/>
    <w:rsid w:val="002E788F"/>
    <w:rsid w:val="002E7DED"/>
    <w:rsid w:val="002F1024"/>
    <w:rsid w:val="002F5997"/>
    <w:rsid w:val="002F74EB"/>
    <w:rsid w:val="002F7E11"/>
    <w:rsid w:val="00302CF9"/>
    <w:rsid w:val="00304087"/>
    <w:rsid w:val="003057B1"/>
    <w:rsid w:val="00305E30"/>
    <w:rsid w:val="003062AD"/>
    <w:rsid w:val="00310ACD"/>
    <w:rsid w:val="00312834"/>
    <w:rsid w:val="0031379F"/>
    <w:rsid w:val="00315190"/>
    <w:rsid w:val="0031621E"/>
    <w:rsid w:val="00316A16"/>
    <w:rsid w:val="00320568"/>
    <w:rsid w:val="00320A26"/>
    <w:rsid w:val="00321174"/>
    <w:rsid w:val="00321344"/>
    <w:rsid w:val="003223E6"/>
    <w:rsid w:val="00325064"/>
    <w:rsid w:val="00325EC9"/>
    <w:rsid w:val="00325EEF"/>
    <w:rsid w:val="003276D5"/>
    <w:rsid w:val="00327A94"/>
    <w:rsid w:val="00332C7C"/>
    <w:rsid w:val="0033451C"/>
    <w:rsid w:val="00334CB3"/>
    <w:rsid w:val="00335DC7"/>
    <w:rsid w:val="00336854"/>
    <w:rsid w:val="0033769B"/>
    <w:rsid w:val="0034015C"/>
    <w:rsid w:val="003425B2"/>
    <w:rsid w:val="003442F4"/>
    <w:rsid w:val="003458F5"/>
    <w:rsid w:val="00345C66"/>
    <w:rsid w:val="0034797F"/>
    <w:rsid w:val="00350685"/>
    <w:rsid w:val="003508DB"/>
    <w:rsid w:val="00350CB4"/>
    <w:rsid w:val="00351DF1"/>
    <w:rsid w:val="00353705"/>
    <w:rsid w:val="00354DEA"/>
    <w:rsid w:val="003562E8"/>
    <w:rsid w:val="00360922"/>
    <w:rsid w:val="00362057"/>
    <w:rsid w:val="00362F56"/>
    <w:rsid w:val="0036357D"/>
    <w:rsid w:val="00363A2B"/>
    <w:rsid w:val="003649BC"/>
    <w:rsid w:val="00364F7E"/>
    <w:rsid w:val="00365E44"/>
    <w:rsid w:val="003662B1"/>
    <w:rsid w:val="003669AC"/>
    <w:rsid w:val="00367AA1"/>
    <w:rsid w:val="00370A5B"/>
    <w:rsid w:val="00370CF7"/>
    <w:rsid w:val="00370FC9"/>
    <w:rsid w:val="0037101B"/>
    <w:rsid w:val="00372E36"/>
    <w:rsid w:val="00375736"/>
    <w:rsid w:val="00375F7D"/>
    <w:rsid w:val="00376EE9"/>
    <w:rsid w:val="00376FFC"/>
    <w:rsid w:val="00377CBB"/>
    <w:rsid w:val="003811A5"/>
    <w:rsid w:val="00381BDA"/>
    <w:rsid w:val="00382112"/>
    <w:rsid w:val="00384F62"/>
    <w:rsid w:val="00385355"/>
    <w:rsid w:val="00385438"/>
    <w:rsid w:val="003858E5"/>
    <w:rsid w:val="003877B6"/>
    <w:rsid w:val="0039036A"/>
    <w:rsid w:val="00391118"/>
    <w:rsid w:val="00391539"/>
    <w:rsid w:val="00391A5F"/>
    <w:rsid w:val="00393887"/>
    <w:rsid w:val="00394C6B"/>
    <w:rsid w:val="003957E0"/>
    <w:rsid w:val="00397EE6"/>
    <w:rsid w:val="003A066C"/>
    <w:rsid w:val="003A3FD5"/>
    <w:rsid w:val="003A4E2E"/>
    <w:rsid w:val="003A4E62"/>
    <w:rsid w:val="003A5A6A"/>
    <w:rsid w:val="003B0EC7"/>
    <w:rsid w:val="003B1069"/>
    <w:rsid w:val="003B1D7A"/>
    <w:rsid w:val="003B24FA"/>
    <w:rsid w:val="003B38CC"/>
    <w:rsid w:val="003B390A"/>
    <w:rsid w:val="003B3C91"/>
    <w:rsid w:val="003B4E3A"/>
    <w:rsid w:val="003B5E62"/>
    <w:rsid w:val="003C03CB"/>
    <w:rsid w:val="003C15DE"/>
    <w:rsid w:val="003C2889"/>
    <w:rsid w:val="003C342D"/>
    <w:rsid w:val="003C4EB2"/>
    <w:rsid w:val="003C52EC"/>
    <w:rsid w:val="003C5BF5"/>
    <w:rsid w:val="003C6D8F"/>
    <w:rsid w:val="003D3968"/>
    <w:rsid w:val="003D42AF"/>
    <w:rsid w:val="003D48E4"/>
    <w:rsid w:val="003D4A14"/>
    <w:rsid w:val="003E0047"/>
    <w:rsid w:val="003E031D"/>
    <w:rsid w:val="003E153C"/>
    <w:rsid w:val="003E4619"/>
    <w:rsid w:val="003F1747"/>
    <w:rsid w:val="003F1AF3"/>
    <w:rsid w:val="003F2688"/>
    <w:rsid w:val="003F2ABC"/>
    <w:rsid w:val="003F3398"/>
    <w:rsid w:val="003F4D8D"/>
    <w:rsid w:val="003F4EE7"/>
    <w:rsid w:val="003F5AD3"/>
    <w:rsid w:val="00401508"/>
    <w:rsid w:val="00401688"/>
    <w:rsid w:val="0040386D"/>
    <w:rsid w:val="00404DD2"/>
    <w:rsid w:val="00405450"/>
    <w:rsid w:val="00412237"/>
    <w:rsid w:val="004137C0"/>
    <w:rsid w:val="004138F3"/>
    <w:rsid w:val="004161F0"/>
    <w:rsid w:val="004174D6"/>
    <w:rsid w:val="00420F61"/>
    <w:rsid w:val="00421F20"/>
    <w:rsid w:val="004220F5"/>
    <w:rsid w:val="00423052"/>
    <w:rsid w:val="00424090"/>
    <w:rsid w:val="004249DA"/>
    <w:rsid w:val="004253ED"/>
    <w:rsid w:val="00425755"/>
    <w:rsid w:val="00427BC8"/>
    <w:rsid w:val="004313E7"/>
    <w:rsid w:val="004339B2"/>
    <w:rsid w:val="00434DCD"/>
    <w:rsid w:val="004375F6"/>
    <w:rsid w:val="00441A3A"/>
    <w:rsid w:val="00444A70"/>
    <w:rsid w:val="0044763B"/>
    <w:rsid w:val="00452696"/>
    <w:rsid w:val="0045600B"/>
    <w:rsid w:val="00456A53"/>
    <w:rsid w:val="004571D1"/>
    <w:rsid w:val="004614F7"/>
    <w:rsid w:val="0046262B"/>
    <w:rsid w:val="0046266D"/>
    <w:rsid w:val="004629B3"/>
    <w:rsid w:val="0046376E"/>
    <w:rsid w:val="004640B1"/>
    <w:rsid w:val="0046690F"/>
    <w:rsid w:val="00466B0F"/>
    <w:rsid w:val="00470E3B"/>
    <w:rsid w:val="00472FEC"/>
    <w:rsid w:val="004736A3"/>
    <w:rsid w:val="0047563F"/>
    <w:rsid w:val="00475CDA"/>
    <w:rsid w:val="00477F71"/>
    <w:rsid w:val="00482474"/>
    <w:rsid w:val="00483F75"/>
    <w:rsid w:val="004858E1"/>
    <w:rsid w:val="004858FC"/>
    <w:rsid w:val="004864A1"/>
    <w:rsid w:val="00486EE0"/>
    <w:rsid w:val="00490A03"/>
    <w:rsid w:val="00492B0A"/>
    <w:rsid w:val="00493327"/>
    <w:rsid w:val="0049382E"/>
    <w:rsid w:val="004947F2"/>
    <w:rsid w:val="00494DBE"/>
    <w:rsid w:val="0049579A"/>
    <w:rsid w:val="00495CE6"/>
    <w:rsid w:val="004968C3"/>
    <w:rsid w:val="004A047C"/>
    <w:rsid w:val="004A0DDD"/>
    <w:rsid w:val="004A144D"/>
    <w:rsid w:val="004A1D27"/>
    <w:rsid w:val="004A323C"/>
    <w:rsid w:val="004A42F9"/>
    <w:rsid w:val="004B0801"/>
    <w:rsid w:val="004B0AC6"/>
    <w:rsid w:val="004B0DAF"/>
    <w:rsid w:val="004B0F56"/>
    <w:rsid w:val="004B1117"/>
    <w:rsid w:val="004B1A6B"/>
    <w:rsid w:val="004B26B1"/>
    <w:rsid w:val="004B54E8"/>
    <w:rsid w:val="004B7CCC"/>
    <w:rsid w:val="004C0138"/>
    <w:rsid w:val="004C034F"/>
    <w:rsid w:val="004C12E8"/>
    <w:rsid w:val="004C1578"/>
    <w:rsid w:val="004C1871"/>
    <w:rsid w:val="004C18DD"/>
    <w:rsid w:val="004C2B18"/>
    <w:rsid w:val="004C3049"/>
    <w:rsid w:val="004C33BA"/>
    <w:rsid w:val="004C4FEB"/>
    <w:rsid w:val="004C5865"/>
    <w:rsid w:val="004C5AF1"/>
    <w:rsid w:val="004C5CA1"/>
    <w:rsid w:val="004C5EEF"/>
    <w:rsid w:val="004C6B79"/>
    <w:rsid w:val="004C7345"/>
    <w:rsid w:val="004D059B"/>
    <w:rsid w:val="004D0E64"/>
    <w:rsid w:val="004D48A8"/>
    <w:rsid w:val="004D4CB6"/>
    <w:rsid w:val="004D4DCB"/>
    <w:rsid w:val="004D55C4"/>
    <w:rsid w:val="004D5970"/>
    <w:rsid w:val="004D5A57"/>
    <w:rsid w:val="004D607C"/>
    <w:rsid w:val="004E0907"/>
    <w:rsid w:val="004E2650"/>
    <w:rsid w:val="004E3341"/>
    <w:rsid w:val="004E3794"/>
    <w:rsid w:val="004E73CE"/>
    <w:rsid w:val="004E768A"/>
    <w:rsid w:val="004E77CD"/>
    <w:rsid w:val="004F10C1"/>
    <w:rsid w:val="004F25C7"/>
    <w:rsid w:val="004F2CFC"/>
    <w:rsid w:val="004F5AD9"/>
    <w:rsid w:val="004F6D54"/>
    <w:rsid w:val="00501A50"/>
    <w:rsid w:val="00501D3D"/>
    <w:rsid w:val="00501F2F"/>
    <w:rsid w:val="00502E62"/>
    <w:rsid w:val="0050484D"/>
    <w:rsid w:val="00505B81"/>
    <w:rsid w:val="00506B8A"/>
    <w:rsid w:val="00511B95"/>
    <w:rsid w:val="0051248E"/>
    <w:rsid w:val="005126C5"/>
    <w:rsid w:val="00512C04"/>
    <w:rsid w:val="00513973"/>
    <w:rsid w:val="005141E6"/>
    <w:rsid w:val="0052021B"/>
    <w:rsid w:val="0052212B"/>
    <w:rsid w:val="005230C7"/>
    <w:rsid w:val="00524226"/>
    <w:rsid w:val="00524C6B"/>
    <w:rsid w:val="00524E8A"/>
    <w:rsid w:val="00525A94"/>
    <w:rsid w:val="00525F76"/>
    <w:rsid w:val="005266EA"/>
    <w:rsid w:val="0053184C"/>
    <w:rsid w:val="005325A1"/>
    <w:rsid w:val="005337CE"/>
    <w:rsid w:val="00534344"/>
    <w:rsid w:val="00534ADD"/>
    <w:rsid w:val="00534B46"/>
    <w:rsid w:val="00540358"/>
    <w:rsid w:val="005403CB"/>
    <w:rsid w:val="00540CA1"/>
    <w:rsid w:val="00540D47"/>
    <w:rsid w:val="005415B1"/>
    <w:rsid w:val="00541B86"/>
    <w:rsid w:val="00542578"/>
    <w:rsid w:val="005428D7"/>
    <w:rsid w:val="00542D43"/>
    <w:rsid w:val="005463C3"/>
    <w:rsid w:val="00550366"/>
    <w:rsid w:val="005507DE"/>
    <w:rsid w:val="00550864"/>
    <w:rsid w:val="00551D6C"/>
    <w:rsid w:val="005535DF"/>
    <w:rsid w:val="0055571E"/>
    <w:rsid w:val="0055642B"/>
    <w:rsid w:val="00556CDB"/>
    <w:rsid w:val="00556F67"/>
    <w:rsid w:val="0056111A"/>
    <w:rsid w:val="005617FD"/>
    <w:rsid w:val="005652E8"/>
    <w:rsid w:val="00570BC4"/>
    <w:rsid w:val="005718D0"/>
    <w:rsid w:val="00575196"/>
    <w:rsid w:val="00575323"/>
    <w:rsid w:val="005761BA"/>
    <w:rsid w:val="0057667C"/>
    <w:rsid w:val="00576BDA"/>
    <w:rsid w:val="0057707E"/>
    <w:rsid w:val="00577C84"/>
    <w:rsid w:val="0058042D"/>
    <w:rsid w:val="005826DA"/>
    <w:rsid w:val="005833F0"/>
    <w:rsid w:val="00583B3C"/>
    <w:rsid w:val="005850EF"/>
    <w:rsid w:val="00586280"/>
    <w:rsid w:val="00586609"/>
    <w:rsid w:val="005869CE"/>
    <w:rsid w:val="00586CAF"/>
    <w:rsid w:val="005873E9"/>
    <w:rsid w:val="00591180"/>
    <w:rsid w:val="00591B6F"/>
    <w:rsid w:val="00594315"/>
    <w:rsid w:val="00596518"/>
    <w:rsid w:val="0059722C"/>
    <w:rsid w:val="00597D07"/>
    <w:rsid w:val="005A1018"/>
    <w:rsid w:val="005A16E6"/>
    <w:rsid w:val="005A30D7"/>
    <w:rsid w:val="005A3846"/>
    <w:rsid w:val="005A4685"/>
    <w:rsid w:val="005A5444"/>
    <w:rsid w:val="005A63CE"/>
    <w:rsid w:val="005A7E97"/>
    <w:rsid w:val="005B2688"/>
    <w:rsid w:val="005B2CD2"/>
    <w:rsid w:val="005B3CEC"/>
    <w:rsid w:val="005B5778"/>
    <w:rsid w:val="005B6A58"/>
    <w:rsid w:val="005C0076"/>
    <w:rsid w:val="005C12EA"/>
    <w:rsid w:val="005C3170"/>
    <w:rsid w:val="005C35EE"/>
    <w:rsid w:val="005C4A5B"/>
    <w:rsid w:val="005C57F0"/>
    <w:rsid w:val="005C58DB"/>
    <w:rsid w:val="005C7112"/>
    <w:rsid w:val="005D0561"/>
    <w:rsid w:val="005D0AD9"/>
    <w:rsid w:val="005D1A67"/>
    <w:rsid w:val="005D22F6"/>
    <w:rsid w:val="005D5FA0"/>
    <w:rsid w:val="005D68AA"/>
    <w:rsid w:val="005E0C30"/>
    <w:rsid w:val="005E0D58"/>
    <w:rsid w:val="005E11F6"/>
    <w:rsid w:val="005E134A"/>
    <w:rsid w:val="005E3864"/>
    <w:rsid w:val="005E3EAB"/>
    <w:rsid w:val="005E3FBB"/>
    <w:rsid w:val="005E4D22"/>
    <w:rsid w:val="005E69D9"/>
    <w:rsid w:val="005F27F4"/>
    <w:rsid w:val="005F3239"/>
    <w:rsid w:val="005F5915"/>
    <w:rsid w:val="005F6567"/>
    <w:rsid w:val="005F71F8"/>
    <w:rsid w:val="005F7A8A"/>
    <w:rsid w:val="00600A5E"/>
    <w:rsid w:val="00600ACF"/>
    <w:rsid w:val="00601ED3"/>
    <w:rsid w:val="006034EA"/>
    <w:rsid w:val="00603C79"/>
    <w:rsid w:val="00604D69"/>
    <w:rsid w:val="00607094"/>
    <w:rsid w:val="00607256"/>
    <w:rsid w:val="0060790C"/>
    <w:rsid w:val="00610BF6"/>
    <w:rsid w:val="006137EA"/>
    <w:rsid w:val="006144B1"/>
    <w:rsid w:val="00614A57"/>
    <w:rsid w:val="00617595"/>
    <w:rsid w:val="006177FF"/>
    <w:rsid w:val="006218C4"/>
    <w:rsid w:val="006229DB"/>
    <w:rsid w:val="006265FD"/>
    <w:rsid w:val="00631629"/>
    <w:rsid w:val="00631F44"/>
    <w:rsid w:val="00632C18"/>
    <w:rsid w:val="006335F1"/>
    <w:rsid w:val="006345B6"/>
    <w:rsid w:val="00635616"/>
    <w:rsid w:val="00635712"/>
    <w:rsid w:val="006368FF"/>
    <w:rsid w:val="00637394"/>
    <w:rsid w:val="00640DDA"/>
    <w:rsid w:val="0064107F"/>
    <w:rsid w:val="006431B2"/>
    <w:rsid w:val="00643D8A"/>
    <w:rsid w:val="006448F8"/>
    <w:rsid w:val="00645A5C"/>
    <w:rsid w:val="00646C33"/>
    <w:rsid w:val="00651FEA"/>
    <w:rsid w:val="00652229"/>
    <w:rsid w:val="0065262F"/>
    <w:rsid w:val="00652793"/>
    <w:rsid w:val="00656513"/>
    <w:rsid w:val="00660488"/>
    <w:rsid w:val="006614FF"/>
    <w:rsid w:val="0066187E"/>
    <w:rsid w:val="006626CA"/>
    <w:rsid w:val="00663166"/>
    <w:rsid w:val="00663487"/>
    <w:rsid w:val="006655D3"/>
    <w:rsid w:val="00665D65"/>
    <w:rsid w:val="00671877"/>
    <w:rsid w:val="00672382"/>
    <w:rsid w:val="00672A83"/>
    <w:rsid w:val="00676CCD"/>
    <w:rsid w:val="00677016"/>
    <w:rsid w:val="00677B12"/>
    <w:rsid w:val="006811F8"/>
    <w:rsid w:val="00681257"/>
    <w:rsid w:val="00681524"/>
    <w:rsid w:val="00682643"/>
    <w:rsid w:val="00682EB9"/>
    <w:rsid w:val="0068441A"/>
    <w:rsid w:val="00686568"/>
    <w:rsid w:val="006868A3"/>
    <w:rsid w:val="006908AC"/>
    <w:rsid w:val="00690B19"/>
    <w:rsid w:val="00690DA0"/>
    <w:rsid w:val="006959E9"/>
    <w:rsid w:val="00695EBB"/>
    <w:rsid w:val="00697921"/>
    <w:rsid w:val="00697E10"/>
    <w:rsid w:val="006A0A3C"/>
    <w:rsid w:val="006A0C4A"/>
    <w:rsid w:val="006A17C9"/>
    <w:rsid w:val="006A3839"/>
    <w:rsid w:val="006A59E9"/>
    <w:rsid w:val="006A79F0"/>
    <w:rsid w:val="006B0142"/>
    <w:rsid w:val="006B1987"/>
    <w:rsid w:val="006B3442"/>
    <w:rsid w:val="006B47EE"/>
    <w:rsid w:val="006B499F"/>
    <w:rsid w:val="006B5105"/>
    <w:rsid w:val="006B5E98"/>
    <w:rsid w:val="006C0950"/>
    <w:rsid w:val="006C1132"/>
    <w:rsid w:val="006C17B6"/>
    <w:rsid w:val="006C33BE"/>
    <w:rsid w:val="006C5B53"/>
    <w:rsid w:val="006C7E78"/>
    <w:rsid w:val="006C7F64"/>
    <w:rsid w:val="006D098F"/>
    <w:rsid w:val="006D20E3"/>
    <w:rsid w:val="006D3FF3"/>
    <w:rsid w:val="006D4996"/>
    <w:rsid w:val="006D535B"/>
    <w:rsid w:val="006D54AB"/>
    <w:rsid w:val="006D583A"/>
    <w:rsid w:val="006D5FC6"/>
    <w:rsid w:val="006E1D33"/>
    <w:rsid w:val="006E1FA9"/>
    <w:rsid w:val="006E3006"/>
    <w:rsid w:val="006E5032"/>
    <w:rsid w:val="006E5721"/>
    <w:rsid w:val="006E5BDA"/>
    <w:rsid w:val="006F056C"/>
    <w:rsid w:val="006F0FC7"/>
    <w:rsid w:val="006F2E17"/>
    <w:rsid w:val="006F39A9"/>
    <w:rsid w:val="006F3D20"/>
    <w:rsid w:val="006F4119"/>
    <w:rsid w:val="006F53D0"/>
    <w:rsid w:val="006F643F"/>
    <w:rsid w:val="006F670F"/>
    <w:rsid w:val="006F77F3"/>
    <w:rsid w:val="007010EE"/>
    <w:rsid w:val="00701DCE"/>
    <w:rsid w:val="00702921"/>
    <w:rsid w:val="00703272"/>
    <w:rsid w:val="0070733C"/>
    <w:rsid w:val="007073A5"/>
    <w:rsid w:val="00710C5D"/>
    <w:rsid w:val="00710E2A"/>
    <w:rsid w:val="0071348C"/>
    <w:rsid w:val="00714BCC"/>
    <w:rsid w:val="00717220"/>
    <w:rsid w:val="00717273"/>
    <w:rsid w:val="00717662"/>
    <w:rsid w:val="00720FD4"/>
    <w:rsid w:val="007228B5"/>
    <w:rsid w:val="00724AF2"/>
    <w:rsid w:val="00725A2D"/>
    <w:rsid w:val="0073096C"/>
    <w:rsid w:val="0073100D"/>
    <w:rsid w:val="00731115"/>
    <w:rsid w:val="0073126D"/>
    <w:rsid w:val="00732827"/>
    <w:rsid w:val="00733429"/>
    <w:rsid w:val="00733A46"/>
    <w:rsid w:val="00735E2D"/>
    <w:rsid w:val="00740F46"/>
    <w:rsid w:val="007416BC"/>
    <w:rsid w:val="007419C8"/>
    <w:rsid w:val="00742398"/>
    <w:rsid w:val="007432A9"/>
    <w:rsid w:val="0074371C"/>
    <w:rsid w:val="00745104"/>
    <w:rsid w:val="0075049F"/>
    <w:rsid w:val="007507B5"/>
    <w:rsid w:val="0075091D"/>
    <w:rsid w:val="00750D09"/>
    <w:rsid w:val="00750FAD"/>
    <w:rsid w:val="007524A0"/>
    <w:rsid w:val="00753A24"/>
    <w:rsid w:val="0075430D"/>
    <w:rsid w:val="007560B0"/>
    <w:rsid w:val="00767F2F"/>
    <w:rsid w:val="007709ED"/>
    <w:rsid w:val="00772188"/>
    <w:rsid w:val="0077222A"/>
    <w:rsid w:val="00774C85"/>
    <w:rsid w:val="0077567F"/>
    <w:rsid w:val="007813D0"/>
    <w:rsid w:val="007845AC"/>
    <w:rsid w:val="00784F3F"/>
    <w:rsid w:val="00785248"/>
    <w:rsid w:val="00785993"/>
    <w:rsid w:val="007859F0"/>
    <w:rsid w:val="007859F2"/>
    <w:rsid w:val="00785E5A"/>
    <w:rsid w:val="007866E2"/>
    <w:rsid w:val="00786BA3"/>
    <w:rsid w:val="00791B1A"/>
    <w:rsid w:val="0079202F"/>
    <w:rsid w:val="007934C3"/>
    <w:rsid w:val="00793A4C"/>
    <w:rsid w:val="00794903"/>
    <w:rsid w:val="00795AF2"/>
    <w:rsid w:val="00795E4F"/>
    <w:rsid w:val="00795FB8"/>
    <w:rsid w:val="00797060"/>
    <w:rsid w:val="007A09FC"/>
    <w:rsid w:val="007A22C8"/>
    <w:rsid w:val="007A2AAD"/>
    <w:rsid w:val="007A3400"/>
    <w:rsid w:val="007A4021"/>
    <w:rsid w:val="007A4432"/>
    <w:rsid w:val="007A68B3"/>
    <w:rsid w:val="007A784E"/>
    <w:rsid w:val="007A7855"/>
    <w:rsid w:val="007A7E31"/>
    <w:rsid w:val="007B0B16"/>
    <w:rsid w:val="007B0B54"/>
    <w:rsid w:val="007B0F1E"/>
    <w:rsid w:val="007B246A"/>
    <w:rsid w:val="007B2DAD"/>
    <w:rsid w:val="007B3805"/>
    <w:rsid w:val="007B4939"/>
    <w:rsid w:val="007B499C"/>
    <w:rsid w:val="007B4D4B"/>
    <w:rsid w:val="007B58C6"/>
    <w:rsid w:val="007C0646"/>
    <w:rsid w:val="007C1E9D"/>
    <w:rsid w:val="007C37C5"/>
    <w:rsid w:val="007C3AE3"/>
    <w:rsid w:val="007C3CC1"/>
    <w:rsid w:val="007C3EDD"/>
    <w:rsid w:val="007C40CA"/>
    <w:rsid w:val="007D0000"/>
    <w:rsid w:val="007D2A02"/>
    <w:rsid w:val="007D62A4"/>
    <w:rsid w:val="007D6CEB"/>
    <w:rsid w:val="007E1736"/>
    <w:rsid w:val="007E2079"/>
    <w:rsid w:val="007E2887"/>
    <w:rsid w:val="007E296E"/>
    <w:rsid w:val="007E32C0"/>
    <w:rsid w:val="007E4090"/>
    <w:rsid w:val="007E6EA1"/>
    <w:rsid w:val="007E7E69"/>
    <w:rsid w:val="007E7F63"/>
    <w:rsid w:val="007F023C"/>
    <w:rsid w:val="007F0F63"/>
    <w:rsid w:val="007F1EEE"/>
    <w:rsid w:val="007F2261"/>
    <w:rsid w:val="007F2B1E"/>
    <w:rsid w:val="007F4590"/>
    <w:rsid w:val="007F62B4"/>
    <w:rsid w:val="007F6461"/>
    <w:rsid w:val="007F6DB8"/>
    <w:rsid w:val="007F7DF9"/>
    <w:rsid w:val="008006F0"/>
    <w:rsid w:val="0080115F"/>
    <w:rsid w:val="00801517"/>
    <w:rsid w:val="00801BDE"/>
    <w:rsid w:val="0080563E"/>
    <w:rsid w:val="008100E4"/>
    <w:rsid w:val="00813492"/>
    <w:rsid w:val="00817895"/>
    <w:rsid w:val="00817AE8"/>
    <w:rsid w:val="00817DE8"/>
    <w:rsid w:val="00821CD7"/>
    <w:rsid w:val="008229F5"/>
    <w:rsid w:val="00825395"/>
    <w:rsid w:val="0082699A"/>
    <w:rsid w:val="00827F2A"/>
    <w:rsid w:val="00832633"/>
    <w:rsid w:val="008329B2"/>
    <w:rsid w:val="00833CEB"/>
    <w:rsid w:val="0083710E"/>
    <w:rsid w:val="008372D2"/>
    <w:rsid w:val="008377BC"/>
    <w:rsid w:val="008412FE"/>
    <w:rsid w:val="00844C17"/>
    <w:rsid w:val="0084512F"/>
    <w:rsid w:val="00846017"/>
    <w:rsid w:val="00847726"/>
    <w:rsid w:val="00851593"/>
    <w:rsid w:val="00851CB1"/>
    <w:rsid w:val="00851EA1"/>
    <w:rsid w:val="00852511"/>
    <w:rsid w:val="00852F56"/>
    <w:rsid w:val="0085429D"/>
    <w:rsid w:val="008553E5"/>
    <w:rsid w:val="00855CA4"/>
    <w:rsid w:val="00856D7D"/>
    <w:rsid w:val="0085729F"/>
    <w:rsid w:val="00857408"/>
    <w:rsid w:val="008578A9"/>
    <w:rsid w:val="0086072A"/>
    <w:rsid w:val="0086088F"/>
    <w:rsid w:val="008614F1"/>
    <w:rsid w:val="008616D2"/>
    <w:rsid w:val="00861DEE"/>
    <w:rsid w:val="0086241E"/>
    <w:rsid w:val="008625C6"/>
    <w:rsid w:val="008639B3"/>
    <w:rsid w:val="00863C1A"/>
    <w:rsid w:val="00864169"/>
    <w:rsid w:val="0086470F"/>
    <w:rsid w:val="00864D86"/>
    <w:rsid w:val="00865882"/>
    <w:rsid w:val="00866CDD"/>
    <w:rsid w:val="008712FE"/>
    <w:rsid w:val="0087142D"/>
    <w:rsid w:val="00872928"/>
    <w:rsid w:val="00873416"/>
    <w:rsid w:val="00873956"/>
    <w:rsid w:val="00877800"/>
    <w:rsid w:val="00880E72"/>
    <w:rsid w:val="00880F87"/>
    <w:rsid w:val="008821DB"/>
    <w:rsid w:val="008825EE"/>
    <w:rsid w:val="008827AC"/>
    <w:rsid w:val="00883B3B"/>
    <w:rsid w:val="00883CC0"/>
    <w:rsid w:val="008842CA"/>
    <w:rsid w:val="00884A30"/>
    <w:rsid w:val="0088596E"/>
    <w:rsid w:val="00886C08"/>
    <w:rsid w:val="00886C54"/>
    <w:rsid w:val="008870ED"/>
    <w:rsid w:val="008877FC"/>
    <w:rsid w:val="00891A61"/>
    <w:rsid w:val="00891B1A"/>
    <w:rsid w:val="00893244"/>
    <w:rsid w:val="00893C31"/>
    <w:rsid w:val="00896AE5"/>
    <w:rsid w:val="0089796A"/>
    <w:rsid w:val="008A2375"/>
    <w:rsid w:val="008A2D8E"/>
    <w:rsid w:val="008A40F7"/>
    <w:rsid w:val="008A48B1"/>
    <w:rsid w:val="008A54B6"/>
    <w:rsid w:val="008B072B"/>
    <w:rsid w:val="008B119F"/>
    <w:rsid w:val="008B251E"/>
    <w:rsid w:val="008B73F3"/>
    <w:rsid w:val="008C02E6"/>
    <w:rsid w:val="008C5181"/>
    <w:rsid w:val="008C5401"/>
    <w:rsid w:val="008C6041"/>
    <w:rsid w:val="008C6257"/>
    <w:rsid w:val="008C74E3"/>
    <w:rsid w:val="008D6264"/>
    <w:rsid w:val="008D693B"/>
    <w:rsid w:val="008D76C5"/>
    <w:rsid w:val="008D7C03"/>
    <w:rsid w:val="008E0A04"/>
    <w:rsid w:val="008E0AFA"/>
    <w:rsid w:val="008E5D13"/>
    <w:rsid w:val="008E709A"/>
    <w:rsid w:val="008E72C0"/>
    <w:rsid w:val="008E75D3"/>
    <w:rsid w:val="008E7BE6"/>
    <w:rsid w:val="008F02C0"/>
    <w:rsid w:val="008F02E9"/>
    <w:rsid w:val="008F0CE4"/>
    <w:rsid w:val="008F1154"/>
    <w:rsid w:val="008F125E"/>
    <w:rsid w:val="008F1C0E"/>
    <w:rsid w:val="008F2B54"/>
    <w:rsid w:val="008F4C1E"/>
    <w:rsid w:val="008F4D2F"/>
    <w:rsid w:val="008F510A"/>
    <w:rsid w:val="008F60C7"/>
    <w:rsid w:val="008F66C9"/>
    <w:rsid w:val="00900235"/>
    <w:rsid w:val="00900440"/>
    <w:rsid w:val="00900745"/>
    <w:rsid w:val="0090219E"/>
    <w:rsid w:val="009038F5"/>
    <w:rsid w:val="00906292"/>
    <w:rsid w:val="00906C23"/>
    <w:rsid w:val="009110EF"/>
    <w:rsid w:val="009111C4"/>
    <w:rsid w:val="009129D2"/>
    <w:rsid w:val="009131D7"/>
    <w:rsid w:val="0091387F"/>
    <w:rsid w:val="00914B5B"/>
    <w:rsid w:val="00917162"/>
    <w:rsid w:val="009172B9"/>
    <w:rsid w:val="009178AA"/>
    <w:rsid w:val="00917E21"/>
    <w:rsid w:val="00921203"/>
    <w:rsid w:val="00921F99"/>
    <w:rsid w:val="00923D29"/>
    <w:rsid w:val="009242C4"/>
    <w:rsid w:val="00924484"/>
    <w:rsid w:val="009251CC"/>
    <w:rsid w:val="00925E5C"/>
    <w:rsid w:val="0092714E"/>
    <w:rsid w:val="00930BF4"/>
    <w:rsid w:val="009324F0"/>
    <w:rsid w:val="0094024E"/>
    <w:rsid w:val="00942002"/>
    <w:rsid w:val="00942359"/>
    <w:rsid w:val="00943626"/>
    <w:rsid w:val="00944828"/>
    <w:rsid w:val="00944A6B"/>
    <w:rsid w:val="00945BE7"/>
    <w:rsid w:val="00945C90"/>
    <w:rsid w:val="00947885"/>
    <w:rsid w:val="00947BC2"/>
    <w:rsid w:val="009504AB"/>
    <w:rsid w:val="0095097D"/>
    <w:rsid w:val="00950ED1"/>
    <w:rsid w:val="00951212"/>
    <w:rsid w:val="00952168"/>
    <w:rsid w:val="009527FE"/>
    <w:rsid w:val="009529B2"/>
    <w:rsid w:val="009535A6"/>
    <w:rsid w:val="009544C4"/>
    <w:rsid w:val="00957184"/>
    <w:rsid w:val="00960539"/>
    <w:rsid w:val="0096143C"/>
    <w:rsid w:val="00962BA6"/>
    <w:rsid w:val="009636D3"/>
    <w:rsid w:val="00963F42"/>
    <w:rsid w:val="009652C7"/>
    <w:rsid w:val="00971FD4"/>
    <w:rsid w:val="009739A0"/>
    <w:rsid w:val="00974150"/>
    <w:rsid w:val="00974715"/>
    <w:rsid w:val="00974EE4"/>
    <w:rsid w:val="00974F84"/>
    <w:rsid w:val="00976216"/>
    <w:rsid w:val="009767C7"/>
    <w:rsid w:val="00976B7D"/>
    <w:rsid w:val="009830C8"/>
    <w:rsid w:val="00983C3D"/>
    <w:rsid w:val="0098579A"/>
    <w:rsid w:val="00990CCD"/>
    <w:rsid w:val="00991475"/>
    <w:rsid w:val="009918DD"/>
    <w:rsid w:val="0099195A"/>
    <w:rsid w:val="00992A11"/>
    <w:rsid w:val="00992B85"/>
    <w:rsid w:val="009935EE"/>
    <w:rsid w:val="00994681"/>
    <w:rsid w:val="0099486A"/>
    <w:rsid w:val="0099549D"/>
    <w:rsid w:val="0099600B"/>
    <w:rsid w:val="00996052"/>
    <w:rsid w:val="00996AC3"/>
    <w:rsid w:val="00996AD2"/>
    <w:rsid w:val="009A032B"/>
    <w:rsid w:val="009A0E26"/>
    <w:rsid w:val="009A16EC"/>
    <w:rsid w:val="009A22C2"/>
    <w:rsid w:val="009A6DA3"/>
    <w:rsid w:val="009B0819"/>
    <w:rsid w:val="009B1FE3"/>
    <w:rsid w:val="009B29B7"/>
    <w:rsid w:val="009B29DC"/>
    <w:rsid w:val="009B3199"/>
    <w:rsid w:val="009B3B37"/>
    <w:rsid w:val="009B43B5"/>
    <w:rsid w:val="009B59D6"/>
    <w:rsid w:val="009B6E98"/>
    <w:rsid w:val="009B7D1F"/>
    <w:rsid w:val="009C032B"/>
    <w:rsid w:val="009C088E"/>
    <w:rsid w:val="009C18A8"/>
    <w:rsid w:val="009C1BE1"/>
    <w:rsid w:val="009C1D4D"/>
    <w:rsid w:val="009C1E32"/>
    <w:rsid w:val="009C3FFB"/>
    <w:rsid w:val="009C4D35"/>
    <w:rsid w:val="009C5549"/>
    <w:rsid w:val="009D1522"/>
    <w:rsid w:val="009D3AA9"/>
    <w:rsid w:val="009D3AE8"/>
    <w:rsid w:val="009D5DB5"/>
    <w:rsid w:val="009D685C"/>
    <w:rsid w:val="009D7252"/>
    <w:rsid w:val="009D7CC0"/>
    <w:rsid w:val="009E3A90"/>
    <w:rsid w:val="009E53BC"/>
    <w:rsid w:val="009E5EB4"/>
    <w:rsid w:val="009E6C17"/>
    <w:rsid w:val="009E7A25"/>
    <w:rsid w:val="009E7E14"/>
    <w:rsid w:val="009F01FB"/>
    <w:rsid w:val="009F21A7"/>
    <w:rsid w:val="009F23DB"/>
    <w:rsid w:val="009F563C"/>
    <w:rsid w:val="009F610E"/>
    <w:rsid w:val="009F6400"/>
    <w:rsid w:val="00A00AF2"/>
    <w:rsid w:val="00A00F7E"/>
    <w:rsid w:val="00A01569"/>
    <w:rsid w:val="00A01F37"/>
    <w:rsid w:val="00A044D6"/>
    <w:rsid w:val="00A04ADB"/>
    <w:rsid w:val="00A04D86"/>
    <w:rsid w:val="00A04F89"/>
    <w:rsid w:val="00A05A57"/>
    <w:rsid w:val="00A05F11"/>
    <w:rsid w:val="00A11E0F"/>
    <w:rsid w:val="00A141E9"/>
    <w:rsid w:val="00A14280"/>
    <w:rsid w:val="00A15D78"/>
    <w:rsid w:val="00A15F34"/>
    <w:rsid w:val="00A160F8"/>
    <w:rsid w:val="00A16638"/>
    <w:rsid w:val="00A216E5"/>
    <w:rsid w:val="00A22886"/>
    <w:rsid w:val="00A26744"/>
    <w:rsid w:val="00A26CB6"/>
    <w:rsid w:val="00A306C3"/>
    <w:rsid w:val="00A30834"/>
    <w:rsid w:val="00A31D8F"/>
    <w:rsid w:val="00A32F82"/>
    <w:rsid w:val="00A32F8B"/>
    <w:rsid w:val="00A3756F"/>
    <w:rsid w:val="00A37906"/>
    <w:rsid w:val="00A40D14"/>
    <w:rsid w:val="00A41A4C"/>
    <w:rsid w:val="00A42D6F"/>
    <w:rsid w:val="00A4474B"/>
    <w:rsid w:val="00A4549D"/>
    <w:rsid w:val="00A45A62"/>
    <w:rsid w:val="00A4674C"/>
    <w:rsid w:val="00A5018E"/>
    <w:rsid w:val="00A5037D"/>
    <w:rsid w:val="00A508A7"/>
    <w:rsid w:val="00A50A0C"/>
    <w:rsid w:val="00A5268A"/>
    <w:rsid w:val="00A54AC5"/>
    <w:rsid w:val="00A55B76"/>
    <w:rsid w:val="00A55DC3"/>
    <w:rsid w:val="00A56D41"/>
    <w:rsid w:val="00A56DEC"/>
    <w:rsid w:val="00A60529"/>
    <w:rsid w:val="00A61353"/>
    <w:rsid w:val="00A61481"/>
    <w:rsid w:val="00A629D6"/>
    <w:rsid w:val="00A62C66"/>
    <w:rsid w:val="00A632DC"/>
    <w:rsid w:val="00A637C9"/>
    <w:rsid w:val="00A64055"/>
    <w:rsid w:val="00A66636"/>
    <w:rsid w:val="00A66DB1"/>
    <w:rsid w:val="00A67A92"/>
    <w:rsid w:val="00A70DC6"/>
    <w:rsid w:val="00A71A39"/>
    <w:rsid w:val="00A74E67"/>
    <w:rsid w:val="00A74FA3"/>
    <w:rsid w:val="00A770B5"/>
    <w:rsid w:val="00A8130E"/>
    <w:rsid w:val="00A834FD"/>
    <w:rsid w:val="00A83616"/>
    <w:rsid w:val="00A842D5"/>
    <w:rsid w:val="00A85AD0"/>
    <w:rsid w:val="00A86644"/>
    <w:rsid w:val="00A87870"/>
    <w:rsid w:val="00A90492"/>
    <w:rsid w:val="00A91A70"/>
    <w:rsid w:val="00A92740"/>
    <w:rsid w:val="00A9290C"/>
    <w:rsid w:val="00A9415A"/>
    <w:rsid w:val="00A944BB"/>
    <w:rsid w:val="00A95622"/>
    <w:rsid w:val="00A957F6"/>
    <w:rsid w:val="00A97316"/>
    <w:rsid w:val="00A97524"/>
    <w:rsid w:val="00AA0B29"/>
    <w:rsid w:val="00AA0D54"/>
    <w:rsid w:val="00AA1B85"/>
    <w:rsid w:val="00AA3290"/>
    <w:rsid w:val="00AB1CB6"/>
    <w:rsid w:val="00AB1D9A"/>
    <w:rsid w:val="00AB2B21"/>
    <w:rsid w:val="00AB333F"/>
    <w:rsid w:val="00AB47EC"/>
    <w:rsid w:val="00AB5217"/>
    <w:rsid w:val="00AB6761"/>
    <w:rsid w:val="00AC234B"/>
    <w:rsid w:val="00AC3540"/>
    <w:rsid w:val="00AC50FB"/>
    <w:rsid w:val="00AC546B"/>
    <w:rsid w:val="00AC63A8"/>
    <w:rsid w:val="00AD0109"/>
    <w:rsid w:val="00AD0A56"/>
    <w:rsid w:val="00AD0C22"/>
    <w:rsid w:val="00AD0EBA"/>
    <w:rsid w:val="00AD442C"/>
    <w:rsid w:val="00AD44FE"/>
    <w:rsid w:val="00AD5A37"/>
    <w:rsid w:val="00AD6AA1"/>
    <w:rsid w:val="00AD6C45"/>
    <w:rsid w:val="00AE05A4"/>
    <w:rsid w:val="00AE09A6"/>
    <w:rsid w:val="00AE1208"/>
    <w:rsid w:val="00AE25FC"/>
    <w:rsid w:val="00AE3883"/>
    <w:rsid w:val="00AE3B42"/>
    <w:rsid w:val="00AE400C"/>
    <w:rsid w:val="00AE49F1"/>
    <w:rsid w:val="00AE4A1C"/>
    <w:rsid w:val="00AE4B7A"/>
    <w:rsid w:val="00AE5532"/>
    <w:rsid w:val="00AE6879"/>
    <w:rsid w:val="00AE6C77"/>
    <w:rsid w:val="00AE7CC9"/>
    <w:rsid w:val="00AF5B77"/>
    <w:rsid w:val="00AF7875"/>
    <w:rsid w:val="00B05CCA"/>
    <w:rsid w:val="00B06D92"/>
    <w:rsid w:val="00B07125"/>
    <w:rsid w:val="00B10556"/>
    <w:rsid w:val="00B1132A"/>
    <w:rsid w:val="00B12B54"/>
    <w:rsid w:val="00B14271"/>
    <w:rsid w:val="00B14B02"/>
    <w:rsid w:val="00B16230"/>
    <w:rsid w:val="00B16270"/>
    <w:rsid w:val="00B1753B"/>
    <w:rsid w:val="00B216CE"/>
    <w:rsid w:val="00B23C16"/>
    <w:rsid w:val="00B23C52"/>
    <w:rsid w:val="00B2438D"/>
    <w:rsid w:val="00B259E1"/>
    <w:rsid w:val="00B2617F"/>
    <w:rsid w:val="00B2685D"/>
    <w:rsid w:val="00B30351"/>
    <w:rsid w:val="00B32FB2"/>
    <w:rsid w:val="00B33C2A"/>
    <w:rsid w:val="00B350BA"/>
    <w:rsid w:val="00B35967"/>
    <w:rsid w:val="00B422EC"/>
    <w:rsid w:val="00B42305"/>
    <w:rsid w:val="00B44875"/>
    <w:rsid w:val="00B460B5"/>
    <w:rsid w:val="00B47F0A"/>
    <w:rsid w:val="00B50018"/>
    <w:rsid w:val="00B50B6B"/>
    <w:rsid w:val="00B517CD"/>
    <w:rsid w:val="00B54885"/>
    <w:rsid w:val="00B548BE"/>
    <w:rsid w:val="00B550DE"/>
    <w:rsid w:val="00B5534E"/>
    <w:rsid w:val="00B5562D"/>
    <w:rsid w:val="00B5628D"/>
    <w:rsid w:val="00B57B58"/>
    <w:rsid w:val="00B620B3"/>
    <w:rsid w:val="00B62DAB"/>
    <w:rsid w:val="00B634AB"/>
    <w:rsid w:val="00B63624"/>
    <w:rsid w:val="00B675CD"/>
    <w:rsid w:val="00B714EF"/>
    <w:rsid w:val="00B715CF"/>
    <w:rsid w:val="00B726D4"/>
    <w:rsid w:val="00B73A1C"/>
    <w:rsid w:val="00B748CA"/>
    <w:rsid w:val="00B75032"/>
    <w:rsid w:val="00B75A31"/>
    <w:rsid w:val="00B77B3C"/>
    <w:rsid w:val="00B80896"/>
    <w:rsid w:val="00B8214F"/>
    <w:rsid w:val="00B8230F"/>
    <w:rsid w:val="00B82B43"/>
    <w:rsid w:val="00B82B48"/>
    <w:rsid w:val="00B84AE3"/>
    <w:rsid w:val="00B85133"/>
    <w:rsid w:val="00B86A4F"/>
    <w:rsid w:val="00B879EB"/>
    <w:rsid w:val="00B921F8"/>
    <w:rsid w:val="00B93035"/>
    <w:rsid w:val="00B958E8"/>
    <w:rsid w:val="00B97CBC"/>
    <w:rsid w:val="00B97E4A"/>
    <w:rsid w:val="00BA09B2"/>
    <w:rsid w:val="00BA0F35"/>
    <w:rsid w:val="00BA1B56"/>
    <w:rsid w:val="00BA1EEC"/>
    <w:rsid w:val="00BA2B73"/>
    <w:rsid w:val="00BA465D"/>
    <w:rsid w:val="00BA5B46"/>
    <w:rsid w:val="00BA7464"/>
    <w:rsid w:val="00BA782A"/>
    <w:rsid w:val="00BB0327"/>
    <w:rsid w:val="00BB0734"/>
    <w:rsid w:val="00BB119F"/>
    <w:rsid w:val="00BB2930"/>
    <w:rsid w:val="00BB2D73"/>
    <w:rsid w:val="00BB45BA"/>
    <w:rsid w:val="00BB4A3A"/>
    <w:rsid w:val="00BB588E"/>
    <w:rsid w:val="00BB5D0B"/>
    <w:rsid w:val="00BB63A8"/>
    <w:rsid w:val="00BB7240"/>
    <w:rsid w:val="00BB7599"/>
    <w:rsid w:val="00BC0995"/>
    <w:rsid w:val="00BC0C51"/>
    <w:rsid w:val="00BC0F86"/>
    <w:rsid w:val="00BC179A"/>
    <w:rsid w:val="00BC3D1F"/>
    <w:rsid w:val="00BC61BB"/>
    <w:rsid w:val="00BC6DE2"/>
    <w:rsid w:val="00BC6E62"/>
    <w:rsid w:val="00BD0A65"/>
    <w:rsid w:val="00BD1A32"/>
    <w:rsid w:val="00BD3A53"/>
    <w:rsid w:val="00BD5C3E"/>
    <w:rsid w:val="00BD656A"/>
    <w:rsid w:val="00BD707B"/>
    <w:rsid w:val="00BD71F4"/>
    <w:rsid w:val="00BD73FF"/>
    <w:rsid w:val="00BE00D8"/>
    <w:rsid w:val="00BE0A46"/>
    <w:rsid w:val="00BE2AA8"/>
    <w:rsid w:val="00BE2D0A"/>
    <w:rsid w:val="00BE353F"/>
    <w:rsid w:val="00BE4248"/>
    <w:rsid w:val="00BE47D4"/>
    <w:rsid w:val="00BE48D3"/>
    <w:rsid w:val="00BE4BF9"/>
    <w:rsid w:val="00BE793A"/>
    <w:rsid w:val="00BE7A0B"/>
    <w:rsid w:val="00BE7A4D"/>
    <w:rsid w:val="00BF0392"/>
    <w:rsid w:val="00BF10F4"/>
    <w:rsid w:val="00BF2B82"/>
    <w:rsid w:val="00BF33DD"/>
    <w:rsid w:val="00BF432A"/>
    <w:rsid w:val="00BF4E74"/>
    <w:rsid w:val="00BF60CD"/>
    <w:rsid w:val="00BF6E82"/>
    <w:rsid w:val="00BF6F12"/>
    <w:rsid w:val="00BF75BC"/>
    <w:rsid w:val="00C00075"/>
    <w:rsid w:val="00C060C7"/>
    <w:rsid w:val="00C10E7D"/>
    <w:rsid w:val="00C10EA4"/>
    <w:rsid w:val="00C11632"/>
    <w:rsid w:val="00C11E38"/>
    <w:rsid w:val="00C132DD"/>
    <w:rsid w:val="00C169EE"/>
    <w:rsid w:val="00C16F8F"/>
    <w:rsid w:val="00C17762"/>
    <w:rsid w:val="00C1787E"/>
    <w:rsid w:val="00C20245"/>
    <w:rsid w:val="00C2036B"/>
    <w:rsid w:val="00C21897"/>
    <w:rsid w:val="00C223C7"/>
    <w:rsid w:val="00C24C17"/>
    <w:rsid w:val="00C24C40"/>
    <w:rsid w:val="00C27B4A"/>
    <w:rsid w:val="00C31148"/>
    <w:rsid w:val="00C31B75"/>
    <w:rsid w:val="00C34829"/>
    <w:rsid w:val="00C3628C"/>
    <w:rsid w:val="00C3758F"/>
    <w:rsid w:val="00C40B88"/>
    <w:rsid w:val="00C433B8"/>
    <w:rsid w:val="00C44489"/>
    <w:rsid w:val="00C44EFC"/>
    <w:rsid w:val="00C44FC2"/>
    <w:rsid w:val="00C4535E"/>
    <w:rsid w:val="00C47071"/>
    <w:rsid w:val="00C47D87"/>
    <w:rsid w:val="00C5376E"/>
    <w:rsid w:val="00C5425F"/>
    <w:rsid w:val="00C55AEE"/>
    <w:rsid w:val="00C5675C"/>
    <w:rsid w:val="00C56CAA"/>
    <w:rsid w:val="00C5701B"/>
    <w:rsid w:val="00C63616"/>
    <w:rsid w:val="00C64D40"/>
    <w:rsid w:val="00C65D49"/>
    <w:rsid w:val="00C66218"/>
    <w:rsid w:val="00C6721A"/>
    <w:rsid w:val="00C677C9"/>
    <w:rsid w:val="00C70797"/>
    <w:rsid w:val="00C70DBC"/>
    <w:rsid w:val="00C70E96"/>
    <w:rsid w:val="00C721D4"/>
    <w:rsid w:val="00C73719"/>
    <w:rsid w:val="00C76A8E"/>
    <w:rsid w:val="00C77026"/>
    <w:rsid w:val="00C7721C"/>
    <w:rsid w:val="00C808A6"/>
    <w:rsid w:val="00C814E9"/>
    <w:rsid w:val="00C81B67"/>
    <w:rsid w:val="00C81F23"/>
    <w:rsid w:val="00C8231C"/>
    <w:rsid w:val="00C84378"/>
    <w:rsid w:val="00C855DB"/>
    <w:rsid w:val="00C855F3"/>
    <w:rsid w:val="00C85AEA"/>
    <w:rsid w:val="00C86270"/>
    <w:rsid w:val="00C86ED1"/>
    <w:rsid w:val="00C8725F"/>
    <w:rsid w:val="00C905CB"/>
    <w:rsid w:val="00C95DF3"/>
    <w:rsid w:val="00C96A6A"/>
    <w:rsid w:val="00C97091"/>
    <w:rsid w:val="00C97260"/>
    <w:rsid w:val="00CA015E"/>
    <w:rsid w:val="00CA06AE"/>
    <w:rsid w:val="00CA2001"/>
    <w:rsid w:val="00CA2414"/>
    <w:rsid w:val="00CA38BC"/>
    <w:rsid w:val="00CA3B72"/>
    <w:rsid w:val="00CA7AC0"/>
    <w:rsid w:val="00CB3473"/>
    <w:rsid w:val="00CB3782"/>
    <w:rsid w:val="00CB4C21"/>
    <w:rsid w:val="00CB5076"/>
    <w:rsid w:val="00CB5B6C"/>
    <w:rsid w:val="00CB5C5D"/>
    <w:rsid w:val="00CC052E"/>
    <w:rsid w:val="00CC09CB"/>
    <w:rsid w:val="00CC16F9"/>
    <w:rsid w:val="00CC3B07"/>
    <w:rsid w:val="00CC7E82"/>
    <w:rsid w:val="00CD0294"/>
    <w:rsid w:val="00CD16BE"/>
    <w:rsid w:val="00CD2268"/>
    <w:rsid w:val="00CD25D3"/>
    <w:rsid w:val="00CD4616"/>
    <w:rsid w:val="00CD56AF"/>
    <w:rsid w:val="00CD586A"/>
    <w:rsid w:val="00CD6A08"/>
    <w:rsid w:val="00CE035D"/>
    <w:rsid w:val="00CE2A8C"/>
    <w:rsid w:val="00CE33D5"/>
    <w:rsid w:val="00CE4712"/>
    <w:rsid w:val="00CF06E0"/>
    <w:rsid w:val="00CF31C5"/>
    <w:rsid w:val="00CF44F7"/>
    <w:rsid w:val="00CF5316"/>
    <w:rsid w:val="00CF531A"/>
    <w:rsid w:val="00CF5D37"/>
    <w:rsid w:val="00CF6F33"/>
    <w:rsid w:val="00CF7E33"/>
    <w:rsid w:val="00D00A97"/>
    <w:rsid w:val="00D02248"/>
    <w:rsid w:val="00D04429"/>
    <w:rsid w:val="00D04E37"/>
    <w:rsid w:val="00D0568F"/>
    <w:rsid w:val="00D05DD9"/>
    <w:rsid w:val="00D063B8"/>
    <w:rsid w:val="00D06825"/>
    <w:rsid w:val="00D0723C"/>
    <w:rsid w:val="00D07467"/>
    <w:rsid w:val="00D07A0C"/>
    <w:rsid w:val="00D07AE7"/>
    <w:rsid w:val="00D10074"/>
    <w:rsid w:val="00D107B3"/>
    <w:rsid w:val="00D11AF4"/>
    <w:rsid w:val="00D12024"/>
    <w:rsid w:val="00D1284A"/>
    <w:rsid w:val="00D12FB4"/>
    <w:rsid w:val="00D152CF"/>
    <w:rsid w:val="00D15A3C"/>
    <w:rsid w:val="00D17E3B"/>
    <w:rsid w:val="00D20D1B"/>
    <w:rsid w:val="00D22B8D"/>
    <w:rsid w:val="00D2306F"/>
    <w:rsid w:val="00D23C09"/>
    <w:rsid w:val="00D23CED"/>
    <w:rsid w:val="00D241D1"/>
    <w:rsid w:val="00D249AB"/>
    <w:rsid w:val="00D24BD2"/>
    <w:rsid w:val="00D2573D"/>
    <w:rsid w:val="00D260A2"/>
    <w:rsid w:val="00D26A56"/>
    <w:rsid w:val="00D30CC6"/>
    <w:rsid w:val="00D31722"/>
    <w:rsid w:val="00D31C11"/>
    <w:rsid w:val="00D3260C"/>
    <w:rsid w:val="00D33DB5"/>
    <w:rsid w:val="00D33E96"/>
    <w:rsid w:val="00D35790"/>
    <w:rsid w:val="00D35A30"/>
    <w:rsid w:val="00D366FE"/>
    <w:rsid w:val="00D37DD9"/>
    <w:rsid w:val="00D400C8"/>
    <w:rsid w:val="00D41BFE"/>
    <w:rsid w:val="00D42585"/>
    <w:rsid w:val="00D438F3"/>
    <w:rsid w:val="00D44D58"/>
    <w:rsid w:val="00D44FB5"/>
    <w:rsid w:val="00D4700E"/>
    <w:rsid w:val="00D50248"/>
    <w:rsid w:val="00D50EEC"/>
    <w:rsid w:val="00D51350"/>
    <w:rsid w:val="00D5188C"/>
    <w:rsid w:val="00D519AF"/>
    <w:rsid w:val="00D532A9"/>
    <w:rsid w:val="00D53653"/>
    <w:rsid w:val="00D5437A"/>
    <w:rsid w:val="00D5611E"/>
    <w:rsid w:val="00D5653B"/>
    <w:rsid w:val="00D5726D"/>
    <w:rsid w:val="00D57B8C"/>
    <w:rsid w:val="00D60841"/>
    <w:rsid w:val="00D61D6E"/>
    <w:rsid w:val="00D62EF1"/>
    <w:rsid w:val="00D6309D"/>
    <w:rsid w:val="00D63915"/>
    <w:rsid w:val="00D644CA"/>
    <w:rsid w:val="00D64EA0"/>
    <w:rsid w:val="00D65828"/>
    <w:rsid w:val="00D66FC2"/>
    <w:rsid w:val="00D7044E"/>
    <w:rsid w:val="00D72DD3"/>
    <w:rsid w:val="00D72E1E"/>
    <w:rsid w:val="00D76C7E"/>
    <w:rsid w:val="00D771DE"/>
    <w:rsid w:val="00D7776D"/>
    <w:rsid w:val="00D834F1"/>
    <w:rsid w:val="00D835F6"/>
    <w:rsid w:val="00D83609"/>
    <w:rsid w:val="00D853FE"/>
    <w:rsid w:val="00D9088C"/>
    <w:rsid w:val="00D91F8D"/>
    <w:rsid w:val="00D92179"/>
    <w:rsid w:val="00D922C6"/>
    <w:rsid w:val="00D9293F"/>
    <w:rsid w:val="00D92DE7"/>
    <w:rsid w:val="00D93598"/>
    <w:rsid w:val="00D93FDD"/>
    <w:rsid w:val="00D94168"/>
    <w:rsid w:val="00DA1073"/>
    <w:rsid w:val="00DA1E18"/>
    <w:rsid w:val="00DA2009"/>
    <w:rsid w:val="00DA2D2B"/>
    <w:rsid w:val="00DA4F65"/>
    <w:rsid w:val="00DA6E7A"/>
    <w:rsid w:val="00DA7769"/>
    <w:rsid w:val="00DA7E35"/>
    <w:rsid w:val="00DB0449"/>
    <w:rsid w:val="00DB05B1"/>
    <w:rsid w:val="00DB2823"/>
    <w:rsid w:val="00DB2D74"/>
    <w:rsid w:val="00DB3786"/>
    <w:rsid w:val="00DB40F1"/>
    <w:rsid w:val="00DB4CA8"/>
    <w:rsid w:val="00DB4E26"/>
    <w:rsid w:val="00DB5229"/>
    <w:rsid w:val="00DB55B1"/>
    <w:rsid w:val="00DB59E8"/>
    <w:rsid w:val="00DB5A79"/>
    <w:rsid w:val="00DC0D84"/>
    <w:rsid w:val="00DC2465"/>
    <w:rsid w:val="00DC6195"/>
    <w:rsid w:val="00DC7D48"/>
    <w:rsid w:val="00DD0C3F"/>
    <w:rsid w:val="00DD145A"/>
    <w:rsid w:val="00DD1A30"/>
    <w:rsid w:val="00DD3080"/>
    <w:rsid w:val="00DD3FFB"/>
    <w:rsid w:val="00DD483D"/>
    <w:rsid w:val="00DD512E"/>
    <w:rsid w:val="00DD5EC8"/>
    <w:rsid w:val="00DE1177"/>
    <w:rsid w:val="00DE14CF"/>
    <w:rsid w:val="00DE192C"/>
    <w:rsid w:val="00DE2035"/>
    <w:rsid w:val="00DE2052"/>
    <w:rsid w:val="00DE22AC"/>
    <w:rsid w:val="00DE2CEA"/>
    <w:rsid w:val="00DE5075"/>
    <w:rsid w:val="00DE55CF"/>
    <w:rsid w:val="00DE5BB8"/>
    <w:rsid w:val="00DE6154"/>
    <w:rsid w:val="00DE6A3C"/>
    <w:rsid w:val="00DE6D2A"/>
    <w:rsid w:val="00DE74F4"/>
    <w:rsid w:val="00DE7F97"/>
    <w:rsid w:val="00DF1010"/>
    <w:rsid w:val="00DF2CF3"/>
    <w:rsid w:val="00DF5AEA"/>
    <w:rsid w:val="00DF63F6"/>
    <w:rsid w:val="00DF69CA"/>
    <w:rsid w:val="00DF6B83"/>
    <w:rsid w:val="00DF7BD0"/>
    <w:rsid w:val="00E006F4"/>
    <w:rsid w:val="00E00AEF"/>
    <w:rsid w:val="00E014F2"/>
    <w:rsid w:val="00E0219D"/>
    <w:rsid w:val="00E02AFD"/>
    <w:rsid w:val="00E033FC"/>
    <w:rsid w:val="00E0374B"/>
    <w:rsid w:val="00E07AB9"/>
    <w:rsid w:val="00E07F98"/>
    <w:rsid w:val="00E10B28"/>
    <w:rsid w:val="00E117FD"/>
    <w:rsid w:val="00E13747"/>
    <w:rsid w:val="00E13D65"/>
    <w:rsid w:val="00E14758"/>
    <w:rsid w:val="00E172C7"/>
    <w:rsid w:val="00E21088"/>
    <w:rsid w:val="00E22A7F"/>
    <w:rsid w:val="00E23E29"/>
    <w:rsid w:val="00E24632"/>
    <w:rsid w:val="00E24A72"/>
    <w:rsid w:val="00E256DA"/>
    <w:rsid w:val="00E259A7"/>
    <w:rsid w:val="00E25AEA"/>
    <w:rsid w:val="00E25F09"/>
    <w:rsid w:val="00E27691"/>
    <w:rsid w:val="00E306A1"/>
    <w:rsid w:val="00E30780"/>
    <w:rsid w:val="00E30D26"/>
    <w:rsid w:val="00E30DEF"/>
    <w:rsid w:val="00E30ED2"/>
    <w:rsid w:val="00E31276"/>
    <w:rsid w:val="00E32102"/>
    <w:rsid w:val="00E34666"/>
    <w:rsid w:val="00E35A62"/>
    <w:rsid w:val="00E36A66"/>
    <w:rsid w:val="00E37F70"/>
    <w:rsid w:val="00E41377"/>
    <w:rsid w:val="00E41985"/>
    <w:rsid w:val="00E4343E"/>
    <w:rsid w:val="00E446C1"/>
    <w:rsid w:val="00E454C6"/>
    <w:rsid w:val="00E45F68"/>
    <w:rsid w:val="00E46BCD"/>
    <w:rsid w:val="00E4740A"/>
    <w:rsid w:val="00E47FE7"/>
    <w:rsid w:val="00E545D7"/>
    <w:rsid w:val="00E547FE"/>
    <w:rsid w:val="00E5669C"/>
    <w:rsid w:val="00E56A1E"/>
    <w:rsid w:val="00E57DDC"/>
    <w:rsid w:val="00E60B20"/>
    <w:rsid w:val="00E60ECA"/>
    <w:rsid w:val="00E613AB"/>
    <w:rsid w:val="00E61A94"/>
    <w:rsid w:val="00E6312A"/>
    <w:rsid w:val="00E64B6E"/>
    <w:rsid w:val="00E65928"/>
    <w:rsid w:val="00E65DBD"/>
    <w:rsid w:val="00E663B6"/>
    <w:rsid w:val="00E6780D"/>
    <w:rsid w:val="00E67937"/>
    <w:rsid w:val="00E71439"/>
    <w:rsid w:val="00E71CB0"/>
    <w:rsid w:val="00E758B9"/>
    <w:rsid w:val="00E7734A"/>
    <w:rsid w:val="00E80271"/>
    <w:rsid w:val="00E82191"/>
    <w:rsid w:val="00E84236"/>
    <w:rsid w:val="00E85569"/>
    <w:rsid w:val="00E856AF"/>
    <w:rsid w:val="00E868A4"/>
    <w:rsid w:val="00E86B83"/>
    <w:rsid w:val="00E86C57"/>
    <w:rsid w:val="00E87C64"/>
    <w:rsid w:val="00E91664"/>
    <w:rsid w:val="00E93A01"/>
    <w:rsid w:val="00E93FF8"/>
    <w:rsid w:val="00E94EB6"/>
    <w:rsid w:val="00E95AC2"/>
    <w:rsid w:val="00E95CA8"/>
    <w:rsid w:val="00E95FA2"/>
    <w:rsid w:val="00E96643"/>
    <w:rsid w:val="00E96878"/>
    <w:rsid w:val="00E96EAF"/>
    <w:rsid w:val="00EA0DBD"/>
    <w:rsid w:val="00EA0FE2"/>
    <w:rsid w:val="00EA101E"/>
    <w:rsid w:val="00EA1752"/>
    <w:rsid w:val="00EA539B"/>
    <w:rsid w:val="00EA5A89"/>
    <w:rsid w:val="00EA5BDB"/>
    <w:rsid w:val="00EA60E6"/>
    <w:rsid w:val="00EA63FA"/>
    <w:rsid w:val="00EB051C"/>
    <w:rsid w:val="00EB1DE2"/>
    <w:rsid w:val="00EB20AB"/>
    <w:rsid w:val="00EB46D9"/>
    <w:rsid w:val="00EB6B21"/>
    <w:rsid w:val="00EC0E64"/>
    <w:rsid w:val="00EC142D"/>
    <w:rsid w:val="00EC1E16"/>
    <w:rsid w:val="00EC2717"/>
    <w:rsid w:val="00EC2DD1"/>
    <w:rsid w:val="00EC52DA"/>
    <w:rsid w:val="00EC56E9"/>
    <w:rsid w:val="00EC7BA8"/>
    <w:rsid w:val="00ED0024"/>
    <w:rsid w:val="00ED0EA0"/>
    <w:rsid w:val="00ED0F85"/>
    <w:rsid w:val="00ED2B5C"/>
    <w:rsid w:val="00ED3269"/>
    <w:rsid w:val="00ED3A18"/>
    <w:rsid w:val="00ED4F67"/>
    <w:rsid w:val="00ED5AC3"/>
    <w:rsid w:val="00ED657B"/>
    <w:rsid w:val="00ED7A08"/>
    <w:rsid w:val="00EE1A8C"/>
    <w:rsid w:val="00EE1C4D"/>
    <w:rsid w:val="00EE416B"/>
    <w:rsid w:val="00EE4643"/>
    <w:rsid w:val="00EE529F"/>
    <w:rsid w:val="00EE6A3C"/>
    <w:rsid w:val="00EE7F1A"/>
    <w:rsid w:val="00EF040A"/>
    <w:rsid w:val="00EF1330"/>
    <w:rsid w:val="00EF15FF"/>
    <w:rsid w:val="00EF47A9"/>
    <w:rsid w:val="00EF55E6"/>
    <w:rsid w:val="00EF5707"/>
    <w:rsid w:val="00EF6F3B"/>
    <w:rsid w:val="00EF70EC"/>
    <w:rsid w:val="00EF7111"/>
    <w:rsid w:val="00EF7D1A"/>
    <w:rsid w:val="00EF7D5B"/>
    <w:rsid w:val="00F00AAD"/>
    <w:rsid w:val="00F02759"/>
    <w:rsid w:val="00F0448F"/>
    <w:rsid w:val="00F0716C"/>
    <w:rsid w:val="00F07DD9"/>
    <w:rsid w:val="00F105AE"/>
    <w:rsid w:val="00F108A8"/>
    <w:rsid w:val="00F129B5"/>
    <w:rsid w:val="00F13F58"/>
    <w:rsid w:val="00F1541A"/>
    <w:rsid w:val="00F16135"/>
    <w:rsid w:val="00F16F3C"/>
    <w:rsid w:val="00F210BF"/>
    <w:rsid w:val="00F210C5"/>
    <w:rsid w:val="00F26067"/>
    <w:rsid w:val="00F270E9"/>
    <w:rsid w:val="00F27440"/>
    <w:rsid w:val="00F275C0"/>
    <w:rsid w:val="00F30319"/>
    <w:rsid w:val="00F317B5"/>
    <w:rsid w:val="00F32094"/>
    <w:rsid w:val="00F33B8F"/>
    <w:rsid w:val="00F3404C"/>
    <w:rsid w:val="00F346B6"/>
    <w:rsid w:val="00F36145"/>
    <w:rsid w:val="00F37BDD"/>
    <w:rsid w:val="00F41503"/>
    <w:rsid w:val="00F43113"/>
    <w:rsid w:val="00F43A55"/>
    <w:rsid w:val="00F445CA"/>
    <w:rsid w:val="00F44D82"/>
    <w:rsid w:val="00F46114"/>
    <w:rsid w:val="00F46207"/>
    <w:rsid w:val="00F466C8"/>
    <w:rsid w:val="00F469A9"/>
    <w:rsid w:val="00F46B50"/>
    <w:rsid w:val="00F470FC"/>
    <w:rsid w:val="00F47C20"/>
    <w:rsid w:val="00F5043C"/>
    <w:rsid w:val="00F50B46"/>
    <w:rsid w:val="00F50D1F"/>
    <w:rsid w:val="00F51545"/>
    <w:rsid w:val="00F55325"/>
    <w:rsid w:val="00F56043"/>
    <w:rsid w:val="00F56BD8"/>
    <w:rsid w:val="00F56EAB"/>
    <w:rsid w:val="00F5789A"/>
    <w:rsid w:val="00F60166"/>
    <w:rsid w:val="00F6171A"/>
    <w:rsid w:val="00F635C6"/>
    <w:rsid w:val="00F635FC"/>
    <w:rsid w:val="00F63D03"/>
    <w:rsid w:val="00F65E2F"/>
    <w:rsid w:val="00F67DF1"/>
    <w:rsid w:val="00F7054E"/>
    <w:rsid w:val="00F73158"/>
    <w:rsid w:val="00F75193"/>
    <w:rsid w:val="00F8309B"/>
    <w:rsid w:val="00F833C9"/>
    <w:rsid w:val="00F84793"/>
    <w:rsid w:val="00F84965"/>
    <w:rsid w:val="00F86752"/>
    <w:rsid w:val="00F87932"/>
    <w:rsid w:val="00F90064"/>
    <w:rsid w:val="00F9125C"/>
    <w:rsid w:val="00F91981"/>
    <w:rsid w:val="00F93BD2"/>
    <w:rsid w:val="00F93C47"/>
    <w:rsid w:val="00F94217"/>
    <w:rsid w:val="00F945F6"/>
    <w:rsid w:val="00F94AAF"/>
    <w:rsid w:val="00F952BA"/>
    <w:rsid w:val="00F952BD"/>
    <w:rsid w:val="00F9586C"/>
    <w:rsid w:val="00F96AFD"/>
    <w:rsid w:val="00F97B33"/>
    <w:rsid w:val="00FA07F4"/>
    <w:rsid w:val="00FA0F6E"/>
    <w:rsid w:val="00FA1398"/>
    <w:rsid w:val="00FA2E19"/>
    <w:rsid w:val="00FA42CC"/>
    <w:rsid w:val="00FA57B7"/>
    <w:rsid w:val="00FA6665"/>
    <w:rsid w:val="00FA697F"/>
    <w:rsid w:val="00FA734E"/>
    <w:rsid w:val="00FB3846"/>
    <w:rsid w:val="00FB429D"/>
    <w:rsid w:val="00FB5521"/>
    <w:rsid w:val="00FB610D"/>
    <w:rsid w:val="00FB6B16"/>
    <w:rsid w:val="00FC30EF"/>
    <w:rsid w:val="00FC4477"/>
    <w:rsid w:val="00FC46FB"/>
    <w:rsid w:val="00FC4F25"/>
    <w:rsid w:val="00FC531D"/>
    <w:rsid w:val="00FC5921"/>
    <w:rsid w:val="00FC7B66"/>
    <w:rsid w:val="00FD106C"/>
    <w:rsid w:val="00FD2BD3"/>
    <w:rsid w:val="00FD34C9"/>
    <w:rsid w:val="00FD3DEF"/>
    <w:rsid w:val="00FD4ACA"/>
    <w:rsid w:val="00FD4CCA"/>
    <w:rsid w:val="00FD5E64"/>
    <w:rsid w:val="00FE232B"/>
    <w:rsid w:val="00FE234B"/>
    <w:rsid w:val="00FE2772"/>
    <w:rsid w:val="00FE2A9E"/>
    <w:rsid w:val="00FE34B3"/>
    <w:rsid w:val="00FE3DAA"/>
    <w:rsid w:val="00FE46B7"/>
    <w:rsid w:val="00FE6BC0"/>
    <w:rsid w:val="00FE6DE5"/>
    <w:rsid w:val="00FF0170"/>
    <w:rsid w:val="00FF0420"/>
    <w:rsid w:val="00FF14D1"/>
    <w:rsid w:val="00FF286E"/>
    <w:rsid w:val="00FF5111"/>
    <w:rsid w:val="00FF7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EastAsia"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2975"/>
    <w:pPr>
      <w:spacing w:line="276" w:lineRule="auto"/>
      <w:jc w:val="both"/>
    </w:pPr>
    <w:rPr>
      <w:sz w:val="22"/>
    </w:rPr>
  </w:style>
  <w:style w:type="paragraph" w:styleId="1">
    <w:name w:val="heading 1"/>
    <w:basedOn w:val="a"/>
    <w:next w:val="a"/>
    <w:link w:val="10"/>
    <w:uiPriority w:val="99"/>
    <w:qFormat/>
    <w:rsid w:val="00097261"/>
    <w:pPr>
      <w:keepNext/>
      <w:spacing w:line="420" w:lineRule="atLeast"/>
      <w:outlineLvl w:val="0"/>
    </w:pPr>
    <w:rPr>
      <w:rFonts w:cs="Arial"/>
      <w:b/>
      <w:bCs/>
      <w:kern w:val="32"/>
      <w:sz w:val="36"/>
      <w:szCs w:val="32"/>
    </w:rPr>
  </w:style>
  <w:style w:type="paragraph" w:styleId="2">
    <w:name w:val="heading 2"/>
    <w:basedOn w:val="a"/>
    <w:next w:val="a"/>
    <w:qFormat/>
    <w:rsid w:val="003F46B0"/>
    <w:pPr>
      <w:keepNext/>
      <w:outlineLvl w:val="1"/>
    </w:pPr>
    <w:rPr>
      <w:rFonts w:cs="Arial"/>
      <w:bCs/>
      <w:iCs/>
      <w:color w:val="E1000F"/>
      <w:szCs w:val="28"/>
    </w:rPr>
  </w:style>
  <w:style w:type="paragraph" w:styleId="3">
    <w:name w:val="heading 3"/>
    <w:basedOn w:val="2"/>
    <w:next w:val="a"/>
    <w:qFormat/>
    <w:rsid w:val="006F1596"/>
    <w:pPr>
      <w:outlineLvl w:val="2"/>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a4">
    <w:name w:val="footer"/>
    <w:basedOn w:val="a"/>
    <w:link w:val="a5"/>
    <w:uiPriority w:val="99"/>
    <w:rsid w:val="00992A11"/>
    <w:pPr>
      <w:tabs>
        <w:tab w:val="right" w:pos="7083"/>
        <w:tab w:val="right" w:pos="8640"/>
      </w:tabs>
      <w:spacing w:line="180" w:lineRule="atLeast"/>
      <w:jc w:val="right"/>
    </w:pPr>
    <w:rPr>
      <w:bCs/>
      <w:noProof/>
      <w:sz w:val="12"/>
    </w:rPr>
  </w:style>
  <w:style w:type="paragraph" w:customStyle="1" w:styleId="Intro">
    <w:name w:val="Intro"/>
    <w:basedOn w:val="a"/>
    <w:rsid w:val="006F1596"/>
    <w:pPr>
      <w:spacing w:after="300"/>
    </w:pPr>
    <w:rPr>
      <w:color w:val="415055"/>
      <w:sz w:val="24"/>
    </w:rPr>
  </w:style>
  <w:style w:type="paragraph" w:customStyle="1" w:styleId="NumBullet">
    <w:name w:val="Num_Bullet"/>
    <w:basedOn w:val="a"/>
    <w:rsid w:val="00576BC8"/>
    <w:pPr>
      <w:numPr>
        <w:numId w:val="1"/>
      </w:numPr>
      <w:tabs>
        <w:tab w:val="clear" w:pos="567"/>
        <w:tab w:val="left" w:pos="357"/>
      </w:tabs>
      <w:ind w:left="357" w:hanging="357"/>
    </w:pPr>
  </w:style>
  <w:style w:type="paragraph" w:customStyle="1" w:styleId="Page1Name">
    <w:name w:val="Page1_Name"/>
    <w:basedOn w:val="a"/>
    <w:rsid w:val="004F237B"/>
    <w:pPr>
      <w:spacing w:after="420" w:line="360" w:lineRule="atLeast"/>
    </w:pPr>
    <w:rPr>
      <w:b/>
      <w:sz w:val="30"/>
    </w:rPr>
  </w:style>
  <w:style w:type="paragraph" w:customStyle="1" w:styleId="Page1Title">
    <w:name w:val="Page1_Title"/>
    <w:basedOn w:val="a"/>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a6">
    <w:name w:val="Table Grid"/>
    <w:basedOn w:val="a1"/>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a"/>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a"/>
    <w:rsid w:val="0048435F"/>
    <w:pPr>
      <w:spacing w:line="300" w:lineRule="atLeast"/>
    </w:pPr>
    <w:rPr>
      <w:sz w:val="24"/>
    </w:rPr>
  </w:style>
  <w:style w:type="character" w:customStyle="1" w:styleId="10">
    <w:name w:val="标题 1 字符"/>
    <w:link w:val="1"/>
    <w:uiPriority w:val="99"/>
    <w:locked/>
    <w:rsid w:val="00B422EC"/>
    <w:rPr>
      <w:rFonts w:ascii="Arial" w:hAnsi="Arial" w:cs="Arial"/>
      <w:b/>
      <w:bCs/>
      <w:kern w:val="32"/>
      <w:sz w:val="36"/>
      <w:szCs w:val="32"/>
      <w:lang w:val="de-DE"/>
    </w:rPr>
  </w:style>
  <w:style w:type="character" w:styleId="a7">
    <w:name w:val="Hyperlink"/>
    <w:rsid w:val="00336854"/>
    <w:rPr>
      <w:rFonts w:ascii="Segoe UI" w:hAnsi="Segoe UI"/>
      <w:color w:val="0000FF"/>
      <w:sz w:val="18"/>
      <w:szCs w:val="18"/>
      <w:u w:val="single"/>
    </w:rPr>
  </w:style>
  <w:style w:type="paragraph" w:customStyle="1" w:styleId="MittleresRaster1-Akzent21">
    <w:name w:val="Mittleres Raster 1 - Akzent 21"/>
    <w:basedOn w:val="a"/>
    <w:uiPriority w:val="34"/>
    <w:qFormat/>
    <w:rsid w:val="00B422EC"/>
    <w:pPr>
      <w:ind w:left="720"/>
    </w:pPr>
  </w:style>
  <w:style w:type="paragraph" w:styleId="a8">
    <w:name w:val="Balloon Text"/>
    <w:basedOn w:val="a"/>
    <w:link w:val="a9"/>
    <w:rsid w:val="00336854"/>
    <w:pPr>
      <w:spacing w:line="240" w:lineRule="auto"/>
    </w:pPr>
    <w:rPr>
      <w:sz w:val="18"/>
      <w:szCs w:val="18"/>
    </w:rPr>
  </w:style>
  <w:style w:type="character" w:customStyle="1" w:styleId="a9">
    <w:name w:val="批注框文本 字符"/>
    <w:link w:val="a8"/>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a5">
    <w:name w:val="页脚 字符"/>
    <w:link w:val="a4"/>
    <w:uiPriority w:val="99"/>
    <w:rsid w:val="00992A11"/>
    <w:rPr>
      <w:rFonts w:ascii="Segoe UI" w:hAnsi="Segoe UI"/>
      <w:bCs/>
      <w:noProof/>
      <w:sz w:val="12"/>
      <w:szCs w:val="24"/>
      <w:lang w:val="de-DE"/>
    </w:rPr>
  </w:style>
  <w:style w:type="character" w:customStyle="1" w:styleId="11">
    <w:name w:val="未处理的提及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a"/>
    <w:rsid w:val="00974F84"/>
    <w:rPr>
      <w:szCs w:val="20"/>
    </w:rPr>
  </w:style>
  <w:style w:type="paragraph" w:customStyle="1" w:styleId="Style12ptJustifiedLinespacing15lines1">
    <w:name w:val="Style 12 pt Justified Line spacing:  1.5 lines1"/>
    <w:basedOn w:val="a"/>
    <w:rsid w:val="00974F84"/>
    <w:pPr>
      <w:spacing w:before="120"/>
    </w:pPr>
    <w:rPr>
      <w:szCs w:val="20"/>
    </w:rPr>
  </w:style>
  <w:style w:type="character" w:customStyle="1" w:styleId="Headline">
    <w:name w:val="Headline"/>
    <w:basedOn w:val="a0"/>
    <w:rsid w:val="00A3756F"/>
    <w:rPr>
      <w:b/>
      <w:bCs/>
      <w:sz w:val="32"/>
    </w:rPr>
  </w:style>
  <w:style w:type="paragraph" w:customStyle="1" w:styleId="MonthDayYear">
    <w:name w:val="Month Day Year"/>
    <w:basedOn w:val="a"/>
    <w:rsid w:val="00643D8A"/>
    <w:pPr>
      <w:spacing w:before="120"/>
      <w:ind w:right="-1"/>
      <w:jc w:val="right"/>
    </w:pPr>
    <w:rPr>
      <w:szCs w:val="20"/>
    </w:rPr>
  </w:style>
  <w:style w:type="paragraph" w:customStyle="1" w:styleId="Topline">
    <w:name w:val="Topline"/>
    <w:basedOn w:val="a"/>
    <w:qFormat/>
    <w:rsid w:val="00472FEC"/>
    <w:pPr>
      <w:spacing w:before="560" w:after="560"/>
    </w:pPr>
    <w:rPr>
      <w:rFonts w:cs="Segoe UI"/>
      <w:szCs w:val="22"/>
    </w:rPr>
  </w:style>
  <w:style w:type="character" w:customStyle="1" w:styleId="AboutandContactBody">
    <w:name w:val="About and Contact Body"/>
    <w:basedOn w:val="a0"/>
    <w:rsid w:val="00336854"/>
    <w:rPr>
      <w:rFonts w:ascii="Segoe UI" w:hAnsi="Segoe UI"/>
      <w:sz w:val="18"/>
    </w:rPr>
  </w:style>
  <w:style w:type="character" w:customStyle="1" w:styleId="AboutandContactHeadline">
    <w:name w:val="About and Contact Headline"/>
    <w:basedOn w:val="a0"/>
    <w:rsid w:val="00336854"/>
    <w:rPr>
      <w:rFonts w:ascii="Segoe UI" w:hAnsi="Segoe UI"/>
      <w:b/>
      <w:bCs/>
      <w:sz w:val="18"/>
    </w:rPr>
  </w:style>
  <w:style w:type="paragraph" w:styleId="aa">
    <w:name w:val="List Paragraph"/>
    <w:basedOn w:val="a"/>
    <w:uiPriority w:val="34"/>
    <w:qFormat/>
    <w:rsid w:val="00635616"/>
    <w:pPr>
      <w:ind w:left="720"/>
      <w:contextualSpacing/>
    </w:pPr>
  </w:style>
  <w:style w:type="character" w:styleId="ab">
    <w:name w:val="annotation reference"/>
    <w:rsid w:val="00846017"/>
    <w:rPr>
      <w:sz w:val="16"/>
      <w:szCs w:val="16"/>
    </w:rPr>
  </w:style>
  <w:style w:type="paragraph" w:styleId="ac">
    <w:name w:val="annotation text"/>
    <w:basedOn w:val="a"/>
    <w:link w:val="ad"/>
    <w:rsid w:val="00846017"/>
    <w:pPr>
      <w:spacing w:line="260" w:lineRule="atLeast"/>
      <w:jc w:val="left"/>
    </w:pPr>
    <w:rPr>
      <w:rFonts w:ascii="Arial" w:hAnsi="Arial"/>
      <w:sz w:val="20"/>
      <w:szCs w:val="20"/>
      <w:lang w:val="de-DE"/>
    </w:rPr>
  </w:style>
  <w:style w:type="character" w:customStyle="1" w:styleId="ad">
    <w:name w:val="批注文字 字符"/>
    <w:basedOn w:val="a0"/>
    <w:link w:val="ac"/>
    <w:rsid w:val="00846017"/>
    <w:rPr>
      <w:rFonts w:ascii="Arial" w:hAnsi="Arial"/>
      <w:sz w:val="20"/>
      <w:szCs w:val="20"/>
      <w:lang w:val="de-DE"/>
    </w:rPr>
  </w:style>
  <w:style w:type="paragraph" w:styleId="ae">
    <w:name w:val="annotation subject"/>
    <w:basedOn w:val="ac"/>
    <w:next w:val="ac"/>
    <w:link w:val="af"/>
    <w:rsid w:val="0020528D"/>
    <w:pPr>
      <w:spacing w:line="240" w:lineRule="auto"/>
      <w:jc w:val="both"/>
    </w:pPr>
    <w:rPr>
      <w:rFonts w:ascii="Segoe UI" w:hAnsi="Segoe UI"/>
      <w:b/>
      <w:bCs/>
      <w:lang w:val="en-US"/>
    </w:rPr>
  </w:style>
  <w:style w:type="character" w:customStyle="1" w:styleId="af">
    <w:name w:val="批注主题 字符"/>
    <w:basedOn w:val="ad"/>
    <w:link w:val="ae"/>
    <w:rsid w:val="0020528D"/>
    <w:rPr>
      <w:rFonts w:ascii="Arial" w:hAnsi="Arial"/>
      <w:b/>
      <w:bCs/>
      <w:sz w:val="20"/>
      <w:szCs w:val="20"/>
      <w:lang w:val="de-DE"/>
    </w:rPr>
  </w:style>
  <w:style w:type="paragraph" w:customStyle="1" w:styleId="He01FlietextAufzhlung1Ebene">
    <w:name w:val="_He_01_Fließtext Aufzählung 1. Ebene"/>
    <w:next w:val="a"/>
    <w:qFormat/>
    <w:rsid w:val="0001002C"/>
    <w:pPr>
      <w:numPr>
        <w:numId w:val="8"/>
      </w:numPr>
      <w:spacing w:after="113"/>
      <w:ind w:left="357" w:hanging="357"/>
    </w:pPr>
    <w:rPr>
      <w:rFonts w:eastAsiaTheme="minorHAnsi" w:cstheme="minorBidi"/>
      <w:sz w:val="22"/>
      <w:szCs w:val="22"/>
      <w:lang w:val="de-DE"/>
    </w:rPr>
  </w:style>
  <w:style w:type="character" w:styleId="af0">
    <w:name w:val="Strong"/>
    <w:basedOn w:val="a0"/>
    <w:uiPriority w:val="22"/>
    <w:qFormat/>
    <w:rsid w:val="007C3CC1"/>
    <w:rPr>
      <w:b/>
      <w:bCs/>
    </w:rPr>
  </w:style>
  <w:style w:type="paragraph" w:styleId="af1">
    <w:name w:val="Revision"/>
    <w:hidden/>
    <w:uiPriority w:val="62"/>
    <w:unhideWhenUsed/>
    <w:rsid w:val="00E71439"/>
    <w:rPr>
      <w:sz w:val="22"/>
    </w:rPr>
  </w:style>
  <w:style w:type="paragraph" w:customStyle="1" w:styleId="He01FlietextAufzhlung2Ebene">
    <w:name w:val="_He_01_Fließtext Aufzählung 2. Ebene"/>
    <w:next w:val="a"/>
    <w:qFormat/>
    <w:rsid w:val="00534ADD"/>
    <w:pPr>
      <w:numPr>
        <w:numId w:val="10"/>
      </w:numPr>
      <w:spacing w:after="160"/>
    </w:pPr>
    <w:rPr>
      <w:rFonts w:eastAsiaTheme="minorHAnsi" w:cstheme="minorBidi"/>
      <w:sz w:val="22"/>
      <w:szCs w:val="22"/>
      <w:lang w:val="de-DE"/>
    </w:rPr>
  </w:style>
  <w:style w:type="paragraph" w:customStyle="1" w:styleId="THe01berschrift">
    <w:name w:val="T_He_01_Überschrift"/>
    <w:next w:val="a"/>
    <w:qFormat/>
    <w:rsid w:val="00534ADD"/>
    <w:pPr>
      <w:numPr>
        <w:numId w:val="9"/>
      </w:numPr>
      <w:spacing w:after="160" w:line="259" w:lineRule="auto"/>
    </w:pPr>
    <w:rPr>
      <w:rFonts w:eastAsiaTheme="minorHAnsi" w:cstheme="minorBidi"/>
      <w:b/>
      <w:color w:val="5F6973"/>
      <w:sz w:val="24"/>
      <w:szCs w:val="22"/>
      <w:lang w:val="de-DE"/>
    </w:rPr>
  </w:style>
  <w:style w:type="paragraph" w:customStyle="1" w:styleId="THe02liFunotenummeriert">
    <w:name w:val="T_He_02_li Fußnote nummeriert"/>
    <w:qFormat/>
    <w:rsid w:val="00534ADD"/>
    <w:pPr>
      <w:numPr>
        <w:ilvl w:val="1"/>
        <w:numId w:val="9"/>
      </w:numPr>
      <w:spacing w:before="20" w:after="20" w:line="259" w:lineRule="auto"/>
      <w:contextualSpacing/>
    </w:pPr>
    <w:rPr>
      <w:rFonts w:eastAsiaTheme="minorHAnsi" w:cstheme="minorBidi"/>
      <w:color w:val="5F6973"/>
      <w:sz w:val="14"/>
      <w:szCs w:val="22"/>
      <w:lang w:val="de-DE"/>
    </w:rPr>
  </w:style>
  <w:style w:type="character" w:styleId="af2">
    <w:name w:val="footnote reference"/>
    <w:basedOn w:val="a0"/>
    <w:uiPriority w:val="99"/>
    <w:unhideWhenUsed/>
    <w:rsid w:val="00534ADD"/>
    <w:rPr>
      <w:vertAlign w:val="superscript"/>
    </w:rPr>
  </w:style>
  <w:style w:type="paragraph" w:customStyle="1" w:styleId="He01Flietext">
    <w:name w:val="_He_01_Fließtext"/>
    <w:qFormat/>
    <w:rsid w:val="00923D29"/>
    <w:pPr>
      <w:spacing w:after="160"/>
    </w:pPr>
    <w:rPr>
      <w:rFonts w:eastAsiaTheme="minorHAnsi" w:cstheme="minorBidi"/>
      <w:sz w:val="22"/>
      <w:szCs w:val="22"/>
      <w:lang w:val="de-DE"/>
    </w:rPr>
  </w:style>
  <w:style w:type="paragraph" w:styleId="af3">
    <w:name w:val="Date"/>
    <w:basedOn w:val="a"/>
    <w:next w:val="a"/>
    <w:link w:val="af4"/>
    <w:rsid w:val="00F210C5"/>
    <w:pPr>
      <w:ind w:leftChars="2500" w:left="100"/>
    </w:pPr>
  </w:style>
  <w:style w:type="character" w:customStyle="1" w:styleId="af4">
    <w:name w:val="日期 字符"/>
    <w:basedOn w:val="a0"/>
    <w:link w:val="af3"/>
    <w:rsid w:val="00F210C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581060417">
      <w:bodyDiv w:val="1"/>
      <w:marLeft w:val="0"/>
      <w:marRight w:val="0"/>
      <w:marTop w:val="0"/>
      <w:marBottom w:val="0"/>
      <w:divBdr>
        <w:top w:val="none" w:sz="0" w:space="0" w:color="auto"/>
        <w:left w:val="none" w:sz="0" w:space="0" w:color="auto"/>
        <w:bottom w:val="none" w:sz="0" w:space="0" w:color="auto"/>
        <w:right w:val="none" w:sz="0" w:space="0" w:color="auto"/>
      </w:divBdr>
    </w:div>
    <w:div w:id="722560728">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17538436">
      <w:bodyDiv w:val="1"/>
      <w:marLeft w:val="0"/>
      <w:marRight w:val="0"/>
      <w:marTop w:val="0"/>
      <w:marBottom w:val="0"/>
      <w:divBdr>
        <w:top w:val="none" w:sz="0" w:space="0" w:color="auto"/>
        <w:left w:val="none" w:sz="0" w:space="0" w:color="auto"/>
        <w:bottom w:val="none" w:sz="0" w:space="0" w:color="auto"/>
        <w:right w:val="none" w:sz="0" w:space="0" w:color="auto"/>
      </w:divBdr>
    </w:div>
    <w:div w:id="1165319850">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842771526">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331104911">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 w:id="237326346">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20" ma:contentTypeDescription="Create a new document." ma:contentTypeScope="" ma:versionID="21811d2f560bebd679a4f10fdfbd07c0">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cf77c0a59f7ddd7d918a856d1cce4982"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um xmlns="487aa4a8-6e08-4624-a126-3644f60fbb35" xsi:nil="true"/>
    <TaxCatchAll xmlns="ef406d6b-70e0-427c-b08d-4edfc77771aa" xsi:nil="true"/>
    <lcf76f155ced4ddcb4097134ff3c332f xmlns="487aa4a8-6e08-4624-a126-3644f60fbb35">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72f792e8-4dad-42c1-ad63-44982727bf4d" ContentTypeId="0x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60C612-540A-463D-854D-1DDB8F61C477}">
  <ds:schemaRefs>
    <ds:schemaRef ds:uri="http://schemas.openxmlformats.org/officeDocument/2006/bibliography"/>
  </ds:schemaRefs>
</ds:datastoreItem>
</file>

<file path=customXml/itemProps2.xml><?xml version="1.0" encoding="utf-8"?>
<ds:datastoreItem xmlns:ds="http://schemas.openxmlformats.org/officeDocument/2006/customXml" ds:itemID="{E7212149-6D72-4646-87EC-32064FBB0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487aa4a8-6e08-4624-a126-3644f60fbb35"/>
    <ds:schemaRef ds:uri="ef406d6b-70e0-427c-b08d-4edfc77771aa"/>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5</Pages>
  <Words>4168</Words>
  <Characters>1012</Characters>
  <Application>Microsoft Office Word</Application>
  <DocSecurity>0</DocSecurity>
  <Lines>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5170</CharactersWithSpaces>
  <SharedDoc>false</SharedDoc>
  <HLinks>
    <vt:vector size="60" baseType="variant">
      <vt:variant>
        <vt:i4>196694</vt:i4>
      </vt:variant>
      <vt:variant>
        <vt:i4>33</vt:i4>
      </vt:variant>
      <vt:variant>
        <vt:i4>0</vt:i4>
      </vt:variant>
      <vt:variant>
        <vt:i4>5</vt:i4>
      </vt:variant>
      <vt:variant>
        <vt:lpwstr>http://www.henkel.de/</vt:lpwstr>
      </vt:variant>
      <vt:variant>
        <vt:lpwstr/>
      </vt:variant>
      <vt:variant>
        <vt:i4>6619256</vt:i4>
      </vt:variant>
      <vt:variant>
        <vt:i4>30</vt:i4>
      </vt:variant>
      <vt:variant>
        <vt:i4>0</vt:i4>
      </vt:variant>
      <vt:variant>
        <vt:i4>5</vt:i4>
      </vt:variant>
      <vt:variant>
        <vt:lpwstr>http://www.henkel.de/presse</vt:lpwstr>
      </vt:variant>
      <vt:variant>
        <vt:lpwstr/>
      </vt:variant>
      <vt:variant>
        <vt:i4>8060948</vt:i4>
      </vt:variant>
      <vt:variant>
        <vt:i4>27</vt:i4>
      </vt:variant>
      <vt:variant>
        <vt:i4>0</vt:i4>
      </vt:variant>
      <vt:variant>
        <vt:i4>5</vt:i4>
      </vt:variant>
      <vt:variant>
        <vt:lpwstr>mailto:thomas.rosenke@henkel.com</vt:lpwstr>
      </vt:variant>
      <vt:variant>
        <vt:lpwstr/>
      </vt:variant>
      <vt:variant>
        <vt:i4>2687054</vt:i4>
      </vt:variant>
      <vt:variant>
        <vt:i4>24</vt:i4>
      </vt:variant>
      <vt:variant>
        <vt:i4>0</vt:i4>
      </vt:variant>
      <vt:variant>
        <vt:i4>5</vt:i4>
      </vt:variant>
      <vt:variant>
        <vt:lpwstr>mailto:hanna.philipps@henkel.com</vt:lpwstr>
      </vt:variant>
      <vt:variant>
        <vt:lpwstr/>
      </vt:variant>
      <vt:variant>
        <vt:i4>7208970</vt:i4>
      </vt:variant>
      <vt:variant>
        <vt:i4>21</vt:i4>
      </vt:variant>
      <vt:variant>
        <vt:i4>0</vt:i4>
      </vt:variant>
      <vt:variant>
        <vt:i4>5</vt:i4>
      </vt:variant>
      <vt:variant>
        <vt:lpwstr>mailto:dennis.starke@henkel.com</vt:lpwstr>
      </vt:variant>
      <vt:variant>
        <vt:lpwstr/>
      </vt:variant>
      <vt:variant>
        <vt:i4>7667735</vt:i4>
      </vt:variant>
      <vt:variant>
        <vt:i4>18</vt:i4>
      </vt:variant>
      <vt:variant>
        <vt:i4>0</vt:i4>
      </vt:variant>
      <vt:variant>
        <vt:i4>5</vt:i4>
      </vt:variant>
      <vt:variant>
        <vt:lpwstr>mailto:wulf.klueppelholz@henkel.com</vt:lpwstr>
      </vt:variant>
      <vt:variant>
        <vt:lpwstr/>
      </vt:variant>
      <vt:variant>
        <vt:i4>1835116</vt:i4>
      </vt:variant>
      <vt:variant>
        <vt:i4>15</vt:i4>
      </vt:variant>
      <vt:variant>
        <vt:i4>0</vt:i4>
      </vt:variant>
      <vt:variant>
        <vt:i4>5</vt:i4>
      </vt:variant>
      <vt:variant>
        <vt:lpwstr>mailto:jennifer.ott@henkel.com</vt:lpwstr>
      </vt:variant>
      <vt:variant>
        <vt:lpwstr/>
      </vt:variant>
      <vt:variant>
        <vt:i4>119</vt:i4>
      </vt:variant>
      <vt:variant>
        <vt:i4>12</vt:i4>
      </vt:variant>
      <vt:variant>
        <vt:i4>0</vt:i4>
      </vt:variant>
      <vt:variant>
        <vt:i4>5</vt:i4>
      </vt:variant>
      <vt:variant>
        <vt:lpwstr>mailto:lars.witteck@henkel.com</vt:lpwstr>
      </vt:variant>
      <vt:variant>
        <vt:lpwstr/>
      </vt:variant>
      <vt:variant>
        <vt:i4>8192031</vt:i4>
      </vt:variant>
      <vt:variant>
        <vt:i4>9</vt:i4>
      </vt:variant>
      <vt:variant>
        <vt:i4>0</vt:i4>
      </vt:variant>
      <vt:variant>
        <vt:i4>5</vt:i4>
      </vt:variant>
      <vt:variant>
        <vt:lpwstr>mailto:leslie.iltgen@henkel.com</vt:lpwstr>
      </vt:variant>
      <vt:variant>
        <vt:lpwstr/>
      </vt:variant>
      <vt:variant>
        <vt:i4>196694</vt:i4>
      </vt:variant>
      <vt:variant>
        <vt:i4>6</vt:i4>
      </vt:variant>
      <vt:variant>
        <vt:i4>0</vt:i4>
      </vt:variant>
      <vt:variant>
        <vt:i4>5</vt:i4>
      </vt:variant>
      <vt:variant>
        <vt:lpwstr>http://www.henkel.de/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Liki Qin</cp:lastModifiedBy>
  <cp:revision>3</cp:revision>
  <cp:lastPrinted>2022-08-02T08:46:00Z</cp:lastPrinted>
  <dcterms:created xsi:type="dcterms:W3CDTF">2023-08-21T09:36:00Z</dcterms:created>
  <dcterms:modified xsi:type="dcterms:W3CDTF">2023-08-21T09:38:00Z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y fmtid="{D5CDD505-2E9C-101B-9397-08002B2CF9AE}" pid="3" name="MediaServiceImageTags">
    <vt:lpwstr/>
  </property>
</Properties>
</file>