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6F4B29C" w:rsidR="00B422EC" w:rsidRPr="00B71239" w:rsidRDefault="00F87A63" w:rsidP="00643D8A">
      <w:pPr>
        <w:pStyle w:val="MonthDayYear"/>
        <w:rPr>
          <w:lang w:val="sk-SK"/>
        </w:rPr>
      </w:pPr>
      <w:r>
        <w:rPr>
          <w:lang w:val="sk-SK"/>
        </w:rPr>
        <w:t>10.</w:t>
      </w:r>
      <w:r w:rsidR="00514611">
        <w:rPr>
          <w:lang w:val="sk-SK"/>
        </w:rPr>
        <w:t xml:space="preserve"> </w:t>
      </w:r>
      <w:r>
        <w:rPr>
          <w:lang w:val="sk-SK"/>
        </w:rPr>
        <w:t>august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06344D" w:rsidRPr="00B71239">
        <w:rPr>
          <w:lang w:val="sk-SK"/>
        </w:rPr>
        <w:t>3</w:t>
      </w:r>
    </w:p>
    <w:p w14:paraId="09896324" w14:textId="26FA64EC" w:rsidR="007F0F63" w:rsidRPr="00743FF5" w:rsidRDefault="00743FF5" w:rsidP="00743FF5">
      <w:pPr>
        <w:pStyle w:val="Topline"/>
        <w:spacing w:after="120"/>
        <w:rPr>
          <w:rFonts w:asciiTheme="majorHAnsi" w:hAnsiTheme="majorHAnsi" w:cs="Cambria"/>
          <w:lang w:val="sk-SK"/>
        </w:rPr>
      </w:pPr>
      <w:r w:rsidRPr="0083265F">
        <w:rPr>
          <w:rFonts w:asciiTheme="majorHAnsi" w:hAnsiTheme="majorHAnsi" w:cs="Cambria"/>
          <w:lang w:val="sk-SK" w:bidi="bo-CN"/>
        </w:rPr>
        <w:t>Nepretržité momentum rastu s výrazným zlepšením výnosov v prvom polroku</w:t>
      </w:r>
    </w:p>
    <w:p w14:paraId="11B55725" w14:textId="4B732328" w:rsidR="0055571E" w:rsidRPr="00855E43" w:rsidRDefault="00767055" w:rsidP="00855E43">
      <w:pPr>
        <w:jc w:val="left"/>
        <w:rPr>
          <w:rFonts w:asciiTheme="majorHAnsi" w:hAnsiTheme="majorHAnsi" w:cs="Cambria"/>
          <w:b/>
          <w:bCs/>
          <w:sz w:val="32"/>
          <w:lang w:val="sk-SK"/>
        </w:rPr>
      </w:pPr>
      <w:r w:rsidRPr="0083265F">
        <w:rPr>
          <w:rStyle w:val="Headline"/>
          <w:rFonts w:asciiTheme="majorHAnsi" w:hAnsiTheme="majorHAnsi" w:cs="Cambria"/>
          <w:lang w:val="sk-SK" w:bidi="bo-CN"/>
        </w:rPr>
        <w:t>Spoločnosť Henkel zvýšila odhad obratu a výnosov</w:t>
      </w:r>
      <w:r>
        <w:rPr>
          <w:rStyle w:val="Headline"/>
          <w:rFonts w:asciiTheme="majorHAnsi" w:hAnsiTheme="majorHAnsi" w:cs="Cambria"/>
          <w:lang w:val="sk-SK" w:bidi="bo-CN"/>
        </w:rPr>
        <w:t> </w:t>
      </w:r>
      <w:r w:rsidRPr="0083265F">
        <w:rPr>
          <w:rStyle w:val="Headline"/>
          <w:rFonts w:asciiTheme="majorHAnsi" w:hAnsiTheme="majorHAnsi" w:cs="Cambria"/>
          <w:lang w:val="sk-SK" w:bidi="bo-CN"/>
        </w:rPr>
        <w:t>na rok 2023</w:t>
      </w:r>
    </w:p>
    <w:p w14:paraId="74DCD38C" w14:textId="4DDF859B" w:rsidR="007F0F63" w:rsidRPr="00B71239" w:rsidRDefault="007F0F63" w:rsidP="00643D8A">
      <w:pPr>
        <w:rPr>
          <w:rFonts w:cs="Segoe UI"/>
          <w:szCs w:val="22"/>
          <w:lang w:val="sk-SK"/>
        </w:rPr>
      </w:pPr>
    </w:p>
    <w:p w14:paraId="4B538107" w14:textId="77777777" w:rsidR="00855E43" w:rsidRPr="0083265F" w:rsidRDefault="00855E43" w:rsidP="00855E43">
      <w:pPr>
        <w:pStyle w:val="Odsekzoznamu"/>
        <w:numPr>
          <w:ilvl w:val="0"/>
          <w:numId w:val="1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bookmarkStart w:id="0" w:name="_Hlk140061525"/>
      <w:bookmarkStart w:id="1" w:name="_Hlk43712519"/>
      <w:r w:rsidRPr="0083265F">
        <w:rPr>
          <w:rFonts w:asciiTheme="majorHAnsi" w:hAnsiTheme="majorHAnsi" w:cs="Cambria"/>
          <w:b/>
          <w:szCs w:val="22"/>
          <w:lang w:val="sk-SK" w:bidi="bo-CN"/>
        </w:rPr>
        <w:t>Obrat na úrovni skupiny sa v prvom polroku organicky zvýšil o 4,9 % na približne 10,9 miliardy eur (nominálne o 0,1 %) – výrazný rast oboch obchodných divízií</w:t>
      </w:r>
    </w:p>
    <w:p w14:paraId="5D89C0AF" w14:textId="77777777" w:rsidR="00855E43" w:rsidRPr="0083265F" w:rsidRDefault="00855E43" w:rsidP="00855E43">
      <w:pPr>
        <w:pStyle w:val="Odsekzoznamu"/>
        <w:numPr>
          <w:ilvl w:val="0"/>
          <w:numId w:val="1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83265F">
        <w:rPr>
          <w:rFonts w:asciiTheme="majorHAnsi" w:hAnsiTheme="majorHAnsi" w:cs="Cambria"/>
          <w:b/>
          <w:szCs w:val="22"/>
          <w:lang w:val="sk-SK" w:bidi="bo-CN"/>
        </w:rPr>
        <w:t>Prevádzkový zisk (EBIT)* vzrástol na 1 254 miliónov eur (+7,6 %)</w:t>
      </w:r>
    </w:p>
    <w:p w14:paraId="08B1DCEF" w14:textId="77777777" w:rsidR="00855E43" w:rsidRPr="0083265F" w:rsidRDefault="00855E43" w:rsidP="00855E43">
      <w:pPr>
        <w:pStyle w:val="Odsekzoznamu"/>
        <w:numPr>
          <w:ilvl w:val="0"/>
          <w:numId w:val="1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83265F">
        <w:rPr>
          <w:rFonts w:asciiTheme="majorHAnsi" w:hAnsiTheme="majorHAnsi" w:cs="Cambria"/>
          <w:b/>
          <w:szCs w:val="22"/>
          <w:lang w:val="sk-SK" w:bidi="bo-CN"/>
        </w:rPr>
        <w:t>Marža EBIT * sa zvýšila na 11,5 % (+80 bázických bodov)</w:t>
      </w:r>
    </w:p>
    <w:p w14:paraId="2A756AC2" w14:textId="77777777" w:rsidR="00855E43" w:rsidRPr="0083265F" w:rsidRDefault="00855E43" w:rsidP="00855E43">
      <w:pPr>
        <w:pStyle w:val="Odsekzoznamu"/>
        <w:numPr>
          <w:ilvl w:val="0"/>
          <w:numId w:val="17"/>
        </w:numPr>
        <w:spacing w:after="80"/>
        <w:ind w:right="-108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83265F">
        <w:rPr>
          <w:rFonts w:asciiTheme="majorHAnsi" w:hAnsiTheme="majorHAnsi" w:cs="Cambria"/>
          <w:b/>
          <w:szCs w:val="22"/>
          <w:lang w:val="sk-SK" w:bidi="bo-CN"/>
        </w:rPr>
        <w:t>Výnos na prioritnú akciu (EPS)* sa zvýšil na 2,13 eura,</w:t>
      </w:r>
      <w:r w:rsidRPr="0083265F">
        <w:rPr>
          <w:rFonts w:asciiTheme="majorHAnsi" w:hAnsiTheme="majorHAnsi" w:cs="Cambria"/>
          <w:b/>
          <w:szCs w:val="22"/>
          <w:lang w:val="sk-SK"/>
        </w:rPr>
        <w:t xml:space="preserve"> </w:t>
      </w:r>
      <w:r w:rsidRPr="0083265F">
        <w:rPr>
          <w:rFonts w:asciiTheme="majorHAnsi" w:hAnsiTheme="majorHAnsi" w:cs="Cambria"/>
          <w:b/>
          <w:szCs w:val="22"/>
          <w:lang w:val="sk-SK" w:bidi="bo-CN"/>
        </w:rPr>
        <w:t>pri dvojcifernom raste o 14,4 % pri konštantných kurzových sadzbách</w:t>
      </w:r>
    </w:p>
    <w:bookmarkEnd w:id="0"/>
    <w:p w14:paraId="758D5536" w14:textId="77777777" w:rsidR="00855E43" w:rsidRPr="0083265F" w:rsidRDefault="00855E43" w:rsidP="00855E43">
      <w:pPr>
        <w:pStyle w:val="Odsekzoznamu"/>
        <w:numPr>
          <w:ilvl w:val="0"/>
          <w:numId w:val="1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83265F">
        <w:rPr>
          <w:rFonts w:asciiTheme="majorHAnsi" w:hAnsiTheme="majorHAnsi" w:cs="Cambria"/>
          <w:b/>
          <w:szCs w:val="22"/>
          <w:lang w:val="sk-SK" w:bidi="bo-CN"/>
        </w:rPr>
        <w:t>Implementácia strategickej agendy rastu napreduje stálym tempom</w:t>
      </w:r>
    </w:p>
    <w:p w14:paraId="4A0AF66C" w14:textId="77777777" w:rsidR="00855E43" w:rsidRPr="001B74A3" w:rsidRDefault="00855E43" w:rsidP="00855E43">
      <w:pPr>
        <w:pStyle w:val="Odsekzoznamu"/>
        <w:numPr>
          <w:ilvl w:val="0"/>
          <w:numId w:val="1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83265F">
        <w:rPr>
          <w:rFonts w:asciiTheme="majorHAnsi" w:hAnsiTheme="majorHAnsi" w:cs="Cambria"/>
          <w:b/>
          <w:szCs w:val="22"/>
          <w:lang w:val="sk-SK" w:bidi="bo-CN"/>
        </w:rPr>
        <w:t>Zvýšený odhad obratu a výnosov na finančný rok 2023:</w:t>
      </w:r>
      <w:r w:rsidRPr="0083265F">
        <w:rPr>
          <w:rFonts w:asciiTheme="majorHAnsi" w:hAnsiTheme="majorHAnsi" w:cs="Cambria"/>
          <w:b/>
          <w:szCs w:val="22"/>
          <w:lang w:val="sk-SK"/>
        </w:rPr>
        <w:t xml:space="preserve"> </w:t>
      </w:r>
    </w:p>
    <w:p w14:paraId="219C662D" w14:textId="77777777" w:rsidR="00855E43" w:rsidRPr="0083265F" w:rsidRDefault="00855E43" w:rsidP="00855E43">
      <w:pPr>
        <w:pStyle w:val="Odsekzoznamu"/>
        <w:numPr>
          <w:ilvl w:val="1"/>
          <w:numId w:val="17"/>
        </w:numPr>
        <w:spacing w:after="80"/>
        <w:ind w:right="-108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83265F">
        <w:rPr>
          <w:rFonts w:asciiTheme="majorHAnsi" w:hAnsiTheme="majorHAnsi" w:cs="Cambria"/>
          <w:b/>
          <w:szCs w:val="22"/>
          <w:lang w:val="sk-SK" w:bidi="bo-CN"/>
        </w:rPr>
        <w:t>Organický rast obratu: na 2,5 až 4,5 %</w:t>
      </w:r>
    </w:p>
    <w:p w14:paraId="08089721" w14:textId="77777777" w:rsidR="00855E43" w:rsidRPr="0083265F" w:rsidRDefault="00855E43" w:rsidP="00855E43">
      <w:pPr>
        <w:pStyle w:val="Odsekzoznamu"/>
        <w:numPr>
          <w:ilvl w:val="1"/>
          <w:numId w:val="17"/>
        </w:numPr>
        <w:spacing w:after="80"/>
        <w:ind w:right="-108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83265F">
        <w:rPr>
          <w:rFonts w:asciiTheme="majorHAnsi" w:hAnsiTheme="majorHAnsi" w:cs="Cambria"/>
          <w:b/>
          <w:szCs w:val="22"/>
          <w:lang w:val="sk-SK" w:bidi="bo-CN"/>
        </w:rPr>
        <w:t>Výnosnosť predaja (marža EBIT)*: na 11,0 až 12,5 %</w:t>
      </w:r>
    </w:p>
    <w:p w14:paraId="4C9A8B1A" w14:textId="77777777" w:rsidR="00855E43" w:rsidRPr="0083265F" w:rsidRDefault="00855E43" w:rsidP="00855E43">
      <w:pPr>
        <w:pStyle w:val="Odsekzoznamu"/>
        <w:numPr>
          <w:ilvl w:val="1"/>
          <w:numId w:val="17"/>
        </w:numPr>
        <w:spacing w:after="80"/>
        <w:ind w:right="-108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83265F">
        <w:rPr>
          <w:rFonts w:asciiTheme="majorHAnsi" w:hAnsiTheme="majorHAnsi" w:cs="Cambria"/>
          <w:b/>
          <w:szCs w:val="22"/>
          <w:lang w:val="sk-SK" w:bidi="bo-CN"/>
        </w:rPr>
        <w:t>Výnos na prioritnú akciu (EPS)*:</w:t>
      </w:r>
      <w:r w:rsidRPr="0083265F">
        <w:rPr>
          <w:rFonts w:asciiTheme="majorHAnsi" w:hAnsiTheme="majorHAnsi" w:cs="Cambria"/>
          <w:b/>
          <w:szCs w:val="22"/>
          <w:lang w:val="sk-SK"/>
        </w:rPr>
        <w:t xml:space="preserve"> </w:t>
      </w:r>
      <w:r w:rsidRPr="0083265F">
        <w:rPr>
          <w:rFonts w:asciiTheme="majorHAnsi" w:hAnsiTheme="majorHAnsi" w:cs="Cambria"/>
          <w:b/>
          <w:szCs w:val="22"/>
          <w:lang w:val="sk-SK" w:bidi="bo-CN"/>
        </w:rPr>
        <w:t>rast v rozsahu 5 až 20 % pri konštantných kurzových sadzbách</w:t>
      </w:r>
    </w:p>
    <w:bookmarkEnd w:id="1"/>
    <w:p w14:paraId="649E9862" w14:textId="77777777" w:rsidR="00F76E54" w:rsidRDefault="00F76E54" w:rsidP="00855E43">
      <w:pPr>
        <w:spacing w:after="120"/>
        <w:rPr>
          <w:rFonts w:cs="Segoe UI"/>
          <w:szCs w:val="22"/>
          <w:lang w:val="sk-SK" w:bidi="bo-CN"/>
        </w:rPr>
      </w:pPr>
    </w:p>
    <w:p w14:paraId="5FD75489" w14:textId="2508FB54" w:rsidR="00855E43" w:rsidRPr="0083265F" w:rsidRDefault="00855E43" w:rsidP="00855E43">
      <w:pPr>
        <w:spacing w:after="120"/>
        <w:rPr>
          <w:rFonts w:cs="Segoe UI"/>
          <w:szCs w:val="22"/>
          <w:lang w:val="sk-SK"/>
        </w:rPr>
      </w:pPr>
      <w:r w:rsidRPr="0083265F">
        <w:rPr>
          <w:rFonts w:cs="Segoe UI"/>
          <w:szCs w:val="22"/>
          <w:lang w:val="sk-SK" w:bidi="bo-CN"/>
        </w:rPr>
        <w:t>Düsseldorf – Spoločnosť Henkel výrazne zvýšila svoj obrat a výnosy v prvom polroku 2023 aj pri pretrvávajúcich náročných podmienkach na trhu.</w:t>
      </w:r>
    </w:p>
    <w:p w14:paraId="62D301C8" w14:textId="45126EDB" w:rsidR="00855E43" w:rsidRPr="001B74A3" w:rsidRDefault="00855E43" w:rsidP="00855E43">
      <w:pPr>
        <w:rPr>
          <w:rFonts w:cs="Segoe UI"/>
          <w:szCs w:val="22"/>
          <w:lang w:val="sk-SK"/>
        </w:rPr>
      </w:pPr>
      <w:r w:rsidRPr="00047DF2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DD92B6" wp14:editId="43BD026A">
                <wp:simplePos x="0" y="0"/>
                <wp:positionH relativeFrom="margin">
                  <wp:posOffset>-43815</wp:posOffset>
                </wp:positionH>
                <wp:positionV relativeFrom="paragraph">
                  <wp:posOffset>1506220</wp:posOffset>
                </wp:positionV>
                <wp:extent cx="5375275" cy="294005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21C66" w14:textId="77777777" w:rsidR="00855E43" w:rsidRPr="008C4F0D" w:rsidRDefault="00855E43" w:rsidP="00855E43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sz w:val="16"/>
                                <w:szCs w:val="16"/>
                                <w:lang w:val="sk-SK"/>
                              </w:rPr>
                            </w:pPr>
                            <w:r w:rsidRPr="008C4F0D">
                              <w:rPr>
                                <w:sz w:val="16"/>
                                <w:szCs w:val="16"/>
                                <w:lang w:val="sk-SK"/>
                              </w:rPr>
                              <w:t>* Upravené o jednorazové výdavky a príjmy a náklady na reštrukturalizáciu.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D92B6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-3.45pt;margin-top:118.6pt;width:423.25pt;height:23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" stroked="f">
                <v:textbox>
                  <w:txbxContent>
                    <w:p w14:paraId="05521C66" w14:textId="77777777" w:rsidR="00855E43" w:rsidRPr="008C4F0D" w:rsidRDefault="00855E43" w:rsidP="00855E43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sz w:val="16"/>
                          <w:szCs w:val="16"/>
                          <w:lang w:val="sk-SK"/>
                        </w:rPr>
                      </w:pPr>
                      <w:r w:rsidRPr="008C4F0D">
                        <w:rPr>
                          <w:sz w:val="16"/>
                          <w:szCs w:val="16"/>
                          <w:lang w:val="sk-SK"/>
                        </w:rPr>
                        <w:t>* Upravené o jednorazové výdavky a príjmy a náklady na reštrukturalizáciu.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7DF2">
        <w:rPr>
          <w:rFonts w:asciiTheme="majorHAnsi" w:hAnsiTheme="majorHAnsi" w:cs="Cambria"/>
          <w:i/>
          <w:iCs/>
          <w:szCs w:val="22"/>
          <w:lang w:val="sk-SK" w:bidi="bo-CN"/>
        </w:rPr>
        <w:t>„Obidve obchodné divízie zaznamenali veľmi silný rast.</w:t>
      </w:r>
      <w:r w:rsidRPr="00047DF2">
        <w:rPr>
          <w:rFonts w:asciiTheme="majorHAnsi" w:hAnsiTheme="majorHAnsi" w:cs="Cambria"/>
          <w:i/>
          <w:iCs/>
          <w:szCs w:val="22"/>
          <w:lang w:val="sk-SK"/>
        </w:rPr>
        <w:t xml:space="preserve"> </w:t>
      </w:r>
      <w:r w:rsidRPr="00047DF2">
        <w:rPr>
          <w:rFonts w:asciiTheme="majorHAnsi" w:hAnsiTheme="majorHAnsi" w:cs="Cambria"/>
          <w:i/>
          <w:iCs/>
          <w:szCs w:val="22"/>
          <w:lang w:val="sk-SK" w:bidi="bo-CN"/>
        </w:rPr>
        <w:t>Zároveň sa nám podarilo výrazne zvýšiť naše výnosy aj napriek pokračujúcim nepriaznivým tlakom v podobe vysokých cien materiálov a logistiky.</w:t>
      </w:r>
      <w:r w:rsidRPr="00047DF2">
        <w:rPr>
          <w:rFonts w:asciiTheme="majorHAnsi" w:hAnsiTheme="majorHAnsi" w:cs="Cambria"/>
          <w:i/>
          <w:iCs/>
          <w:szCs w:val="22"/>
          <w:lang w:val="sk-SK"/>
        </w:rPr>
        <w:t xml:space="preserve"> </w:t>
      </w:r>
      <w:r w:rsidRPr="00047DF2">
        <w:rPr>
          <w:rFonts w:asciiTheme="majorHAnsi" w:hAnsiTheme="majorHAnsi" w:cs="Cambria"/>
          <w:i/>
          <w:iCs/>
          <w:szCs w:val="22"/>
          <w:lang w:val="sk-SK" w:bidi="bo-CN"/>
        </w:rPr>
        <w:t xml:space="preserve">Na základe týchto silných polročných výsledkov sme presvedčení o pozitívnom vývoji aj počas druhej polovice roka, preto sme výrazne zvýšili svoj </w:t>
      </w:r>
      <w:r w:rsidRPr="00047DF2">
        <w:rPr>
          <w:rFonts w:asciiTheme="majorHAnsi" w:hAnsiTheme="majorHAnsi" w:cs="Cambria"/>
          <w:b/>
          <w:bCs/>
          <w:i/>
          <w:iCs/>
          <w:szCs w:val="22"/>
          <w:lang w:val="sk-SK" w:bidi="bo-CN"/>
        </w:rPr>
        <w:t>celoročný odhad</w:t>
      </w:r>
      <w:r w:rsidRPr="00047DF2">
        <w:rPr>
          <w:rFonts w:asciiTheme="majorHAnsi" w:hAnsiTheme="majorHAnsi" w:cs="Cambria"/>
          <w:i/>
          <w:iCs/>
          <w:szCs w:val="22"/>
          <w:lang w:val="sk-SK" w:bidi="bo-CN"/>
        </w:rPr>
        <w:t xml:space="preserve"> obratu a výnosov,“</w:t>
      </w:r>
      <w:r w:rsidRPr="0083265F">
        <w:rPr>
          <w:rFonts w:asciiTheme="majorHAnsi" w:hAnsiTheme="majorHAnsi" w:cs="Cambria"/>
          <w:szCs w:val="22"/>
          <w:lang w:val="sk-SK" w:bidi="bo-CN"/>
        </w:rPr>
        <w:t xml:space="preserve"> povedal predseda predstavenstva spoločnosti Henkel Carsten Knobel.</w:t>
      </w:r>
      <w:r w:rsidRPr="0083265F">
        <w:rPr>
          <w:rFonts w:cs="Segoe UI"/>
          <w:szCs w:val="22"/>
          <w:lang w:val="sk-SK"/>
        </w:rPr>
        <w:t xml:space="preserve"> </w:t>
      </w:r>
    </w:p>
    <w:p w14:paraId="53F832B7" w14:textId="77777777" w:rsidR="00855E43" w:rsidRPr="0083265F" w:rsidRDefault="00855E43" w:rsidP="00855E43">
      <w:pPr>
        <w:spacing w:line="240" w:lineRule="auto"/>
        <w:rPr>
          <w:rFonts w:cs="Segoe UI"/>
          <w:szCs w:val="22"/>
          <w:lang w:val="sk-SK"/>
        </w:rPr>
      </w:pPr>
      <w:r w:rsidRPr="001B74A3">
        <w:rPr>
          <w:rFonts w:cs="Segoe UI"/>
          <w:szCs w:val="22"/>
          <w:lang w:val="sk-SK"/>
        </w:rPr>
        <w:br w:type="page"/>
      </w:r>
      <w:r w:rsidRPr="00AB626C">
        <w:rPr>
          <w:rFonts w:cs="Segoe UI"/>
          <w:i/>
          <w:iCs/>
          <w:szCs w:val="22"/>
          <w:lang w:val="sk-SK" w:bidi="bo-CN"/>
        </w:rPr>
        <w:lastRenderedPageBreak/>
        <w:t xml:space="preserve">„V prvých šiestich mesiacoch tohto roka sme zároveň pokračovali v úspešnej implementácii našej </w:t>
      </w:r>
      <w:r w:rsidRPr="00AB626C">
        <w:rPr>
          <w:rFonts w:cs="Segoe UI"/>
          <w:b/>
          <w:bCs/>
          <w:i/>
          <w:iCs/>
          <w:szCs w:val="22"/>
          <w:lang w:val="sk-SK" w:bidi="bo-CN"/>
        </w:rPr>
        <w:t>strategickej agendy rastu</w:t>
      </w:r>
      <w:r w:rsidRPr="00AB626C">
        <w:rPr>
          <w:rFonts w:cs="Segoe UI"/>
          <w:i/>
          <w:iCs/>
          <w:szCs w:val="22"/>
          <w:lang w:val="sk-SK" w:bidi="bo-CN"/>
        </w:rPr>
        <w:t>.</w:t>
      </w:r>
      <w:r w:rsidRPr="00AB626C">
        <w:rPr>
          <w:rFonts w:cs="Segoe UI"/>
          <w:i/>
          <w:iCs/>
          <w:szCs w:val="22"/>
          <w:lang w:val="sk-SK"/>
        </w:rPr>
        <w:t xml:space="preserve"> </w:t>
      </w:r>
      <w:r w:rsidRPr="00AB626C">
        <w:rPr>
          <w:rFonts w:cs="Segoe UI"/>
          <w:i/>
          <w:iCs/>
          <w:szCs w:val="22"/>
          <w:lang w:val="sk-SK" w:bidi="bo-CN"/>
        </w:rPr>
        <w:t>Integrácia v rámci divízie Consumer Brands napreduje rýchlejšie, než sme plánovali.</w:t>
      </w:r>
      <w:r w:rsidRPr="00AB626C">
        <w:rPr>
          <w:rFonts w:cs="Segoe UI"/>
          <w:i/>
          <w:iCs/>
          <w:szCs w:val="22"/>
          <w:lang w:val="sk-SK"/>
        </w:rPr>
        <w:t xml:space="preserve"> </w:t>
      </w:r>
      <w:r w:rsidRPr="00AB626C">
        <w:rPr>
          <w:rFonts w:cs="Segoe UI"/>
          <w:i/>
          <w:iCs/>
          <w:szCs w:val="22"/>
          <w:lang w:val="sk-SK" w:bidi="bo-CN"/>
        </w:rPr>
        <w:t>Zároveň neustále zlepšujeme naše portfólio, ktoré sa zameriava na značky a produkty s vysokou maržou a vysokým rastovým potenciálom.</w:t>
      </w:r>
      <w:r w:rsidRPr="00AB626C">
        <w:rPr>
          <w:rFonts w:cs="Segoe UI"/>
          <w:i/>
          <w:iCs/>
          <w:szCs w:val="22"/>
          <w:lang w:val="sk-SK"/>
        </w:rPr>
        <w:t xml:space="preserve"> </w:t>
      </w:r>
      <w:r w:rsidRPr="00AB626C">
        <w:rPr>
          <w:rFonts w:cs="Segoe UI"/>
          <w:i/>
          <w:iCs/>
          <w:szCs w:val="22"/>
          <w:lang w:val="sk-SK" w:bidi="bo-CN"/>
        </w:rPr>
        <w:t>Tento vývoj sa odrazil aj vo výnosoch obchodnej divízie.</w:t>
      </w:r>
      <w:r w:rsidRPr="00AB626C">
        <w:rPr>
          <w:rFonts w:cs="Segoe UI"/>
          <w:i/>
          <w:iCs/>
          <w:szCs w:val="22"/>
          <w:lang w:val="sk-SK"/>
        </w:rPr>
        <w:t xml:space="preserve"> </w:t>
      </w:r>
      <w:r w:rsidRPr="00AB626C">
        <w:rPr>
          <w:rFonts w:cs="Segoe UI"/>
          <w:i/>
          <w:iCs/>
          <w:szCs w:val="22"/>
          <w:lang w:val="sk-SK" w:bidi="bo-CN"/>
        </w:rPr>
        <w:t>Organizačnú štruktúru obchodnej divízie Adhesive Technologies sme ešte viac prispôsobili potrebám našich zákazníkov s cieľom posilniť našu globálnu vedúcu pozíciu a ďalej zvyšovať momentum rastu.</w:t>
      </w:r>
      <w:r w:rsidRPr="00AB626C">
        <w:rPr>
          <w:rFonts w:cs="Segoe UI"/>
          <w:i/>
          <w:iCs/>
          <w:szCs w:val="22"/>
          <w:lang w:val="sk-SK"/>
        </w:rPr>
        <w:t xml:space="preserve"> </w:t>
      </w:r>
      <w:r w:rsidRPr="00AB626C">
        <w:rPr>
          <w:rFonts w:cs="Segoe UI"/>
          <w:i/>
          <w:iCs/>
          <w:szCs w:val="22"/>
          <w:lang w:val="sk-SK" w:bidi="bo-CN"/>
        </w:rPr>
        <w:t>Okrem toho napredujeme aj v realizácii ďalších dôležitých iniciatív v oblastiach trvalej udržateľnosti a digitalizácie, ktoré prispievajú k zvyšovaniu našej konkurencieschopnosti,“</w:t>
      </w:r>
      <w:r w:rsidRPr="0083265F">
        <w:rPr>
          <w:rFonts w:cs="Segoe UI"/>
          <w:szCs w:val="22"/>
          <w:lang w:val="sk-SK" w:bidi="bo-CN"/>
        </w:rPr>
        <w:t xml:space="preserve"> vysvetľuje Carsten Knobel.</w:t>
      </w:r>
    </w:p>
    <w:p w14:paraId="73BE873F" w14:textId="77777777" w:rsidR="00855E43" w:rsidRPr="001B74A3" w:rsidRDefault="00855E43" w:rsidP="00855E43">
      <w:pPr>
        <w:rPr>
          <w:rFonts w:cs="Segoe UI"/>
          <w:szCs w:val="22"/>
          <w:lang w:val="sk-SK"/>
        </w:rPr>
      </w:pPr>
    </w:p>
    <w:p w14:paraId="6F5763E2" w14:textId="77777777" w:rsidR="00855E43" w:rsidRPr="0083265F" w:rsidRDefault="00855E43" w:rsidP="00855E43">
      <w:pPr>
        <w:spacing w:after="120"/>
        <w:ind w:right="-108"/>
        <w:jc w:val="left"/>
        <w:rPr>
          <w:rFonts w:cs="Segoe UI"/>
          <w:b/>
          <w:bCs/>
          <w:szCs w:val="22"/>
          <w:lang w:val="sk-SK"/>
        </w:rPr>
      </w:pPr>
      <w:r w:rsidRPr="0083265F">
        <w:rPr>
          <w:rFonts w:cs="Segoe UI"/>
          <w:b/>
          <w:bCs/>
          <w:szCs w:val="22"/>
          <w:lang w:val="sk-SK" w:bidi="bo-CN"/>
        </w:rPr>
        <w:t>Zlepšený výhľad na finančný rok 2023</w:t>
      </w:r>
    </w:p>
    <w:p w14:paraId="069FD9CE" w14:textId="77777777" w:rsidR="00855E43" w:rsidRPr="0083265F" w:rsidRDefault="00855E43" w:rsidP="00855E43">
      <w:pPr>
        <w:rPr>
          <w:rFonts w:cs="Segoe UI"/>
          <w:szCs w:val="22"/>
          <w:lang w:val="sk-SK"/>
        </w:rPr>
      </w:pPr>
      <w:r w:rsidRPr="0083265F">
        <w:rPr>
          <w:rFonts w:cs="Segoe UI"/>
          <w:szCs w:val="22"/>
          <w:lang w:val="sk-SK" w:bidi="bo-CN"/>
        </w:rPr>
        <w:t xml:space="preserve">Na úrovni skupiny spoločnosť Henkel v súčasnosti predpokladá </w:t>
      </w:r>
      <w:r w:rsidRPr="0083265F">
        <w:rPr>
          <w:rFonts w:cs="Segoe UI"/>
          <w:b/>
          <w:bCs/>
          <w:szCs w:val="22"/>
          <w:lang w:val="sk-SK" w:bidi="bo-CN"/>
        </w:rPr>
        <w:t>organický rast obratu</w:t>
      </w:r>
      <w:r w:rsidRPr="0083265F">
        <w:rPr>
          <w:rFonts w:cs="Segoe UI"/>
          <w:szCs w:val="22"/>
          <w:lang w:val="sk-SK" w:bidi="bo-CN"/>
        </w:rPr>
        <w:t xml:space="preserve"> vo</w:t>
      </w:r>
      <w:r>
        <w:rPr>
          <w:rFonts w:cs="Segoe UI"/>
          <w:szCs w:val="22"/>
          <w:lang w:val="sk-SK" w:bidi="bo-CN"/>
        </w:rPr>
        <w:t> </w:t>
      </w:r>
      <w:r w:rsidRPr="0083265F">
        <w:rPr>
          <w:rFonts w:cs="Segoe UI"/>
          <w:szCs w:val="22"/>
          <w:lang w:val="sk-SK" w:bidi="bo-CN"/>
        </w:rPr>
        <w:t>finančnom roku 2023 v rozmedzí 2,5 až 4,5 % (pôvodne 1,0 až 3,0 %).</w:t>
      </w:r>
      <w:r w:rsidRPr="0083265F">
        <w:rPr>
          <w:rFonts w:cs="Segoe UI"/>
          <w:szCs w:val="22"/>
          <w:lang w:val="sk-SK"/>
        </w:rPr>
        <w:t xml:space="preserve"> </w:t>
      </w:r>
      <w:r w:rsidRPr="0083265F">
        <w:rPr>
          <w:rFonts w:cs="Segoe UI"/>
          <w:szCs w:val="22"/>
          <w:lang w:val="sk-SK" w:bidi="bo-CN"/>
        </w:rPr>
        <w:t>V prípade divízie Adhesive Technologies sa očakáva rast od 2,0 do 4,0 % (pôvodne 1,0 až 3,0 %), divízia Consumer Brands by mala rásť v rozsahu 3,0 až 5,0 % (pôvodne 1,0 až 3,0 %).</w:t>
      </w:r>
      <w:r w:rsidRPr="0083265F">
        <w:rPr>
          <w:rFonts w:cs="Segoe UI"/>
          <w:szCs w:val="22"/>
          <w:lang w:val="sk-SK"/>
        </w:rPr>
        <w:t xml:space="preserve"> </w:t>
      </w:r>
      <w:r w:rsidRPr="0083265F">
        <w:rPr>
          <w:rFonts w:cs="Segoe UI"/>
          <w:szCs w:val="22"/>
          <w:lang w:val="sk-SK" w:bidi="bo-CN"/>
        </w:rPr>
        <w:t>Súčasný predpoklad</w:t>
      </w:r>
      <w:r w:rsidRPr="0083265F">
        <w:rPr>
          <w:rFonts w:cs="Segoe UI"/>
          <w:b/>
          <w:bCs/>
          <w:szCs w:val="22"/>
          <w:lang w:val="sk-SK" w:bidi="bo-CN"/>
        </w:rPr>
        <w:t xml:space="preserve"> upravenej výnosnosti predaja (marža EBIT) </w:t>
      </w:r>
      <w:r w:rsidRPr="0083265F">
        <w:rPr>
          <w:rFonts w:cs="Segoe UI"/>
          <w:szCs w:val="22"/>
          <w:lang w:val="sk-SK" w:bidi="bo-CN"/>
        </w:rPr>
        <w:t>sa na úrovni celej skupiny pohybuje v rozpätí 11,0 až 12,5 % (pôvodne 10,0 až 12,0 %).</w:t>
      </w:r>
      <w:r w:rsidRPr="0083265F">
        <w:rPr>
          <w:rFonts w:cs="Segoe UI"/>
          <w:szCs w:val="22"/>
          <w:lang w:val="sk-SK"/>
        </w:rPr>
        <w:t xml:space="preserve"> </w:t>
      </w:r>
      <w:r w:rsidRPr="0083265F">
        <w:rPr>
          <w:rFonts w:cs="Segoe UI"/>
          <w:szCs w:val="22"/>
          <w:lang w:val="sk-SK" w:bidi="bo-CN"/>
        </w:rPr>
        <w:t>Upravená výnosnosť predaja divízie Adhesive Technologies by mala dosiahnuť 13,5 až 15,0 % (pôvodne 13,0 až 15,0 %) a v prípade obchodnej divízie Consumer Brands by sa mala pohybovať na úrovni 9,5 až 11,0 % (pôvodne 7,5 až 9,5 %).</w:t>
      </w:r>
      <w:r w:rsidRPr="0083265F">
        <w:rPr>
          <w:rFonts w:cs="Segoe UI"/>
          <w:szCs w:val="22"/>
          <w:lang w:val="sk-SK"/>
        </w:rPr>
        <w:t xml:space="preserve"> </w:t>
      </w:r>
      <w:r w:rsidRPr="0083265F">
        <w:rPr>
          <w:rFonts w:cs="Segoe UI"/>
          <w:szCs w:val="22"/>
          <w:lang w:val="sk-SK" w:bidi="bo-CN"/>
        </w:rPr>
        <w:t xml:space="preserve">V prípade </w:t>
      </w:r>
      <w:r w:rsidRPr="0083265F">
        <w:rPr>
          <w:rFonts w:cs="Segoe UI"/>
          <w:b/>
          <w:bCs/>
          <w:szCs w:val="22"/>
          <w:lang w:val="sk-SK" w:bidi="bo-CN"/>
        </w:rPr>
        <w:t>upravených výnosov na prioritnú akciu</w:t>
      </w:r>
      <w:r w:rsidRPr="0083265F">
        <w:rPr>
          <w:rFonts w:cs="Segoe UI"/>
          <w:szCs w:val="22"/>
          <w:lang w:val="sk-SK" w:bidi="bo-CN"/>
        </w:rPr>
        <w:t xml:space="preserve"> </w:t>
      </w:r>
      <w:r w:rsidRPr="0083265F">
        <w:rPr>
          <w:rFonts w:cs="Segoe UI"/>
          <w:b/>
          <w:bCs/>
          <w:szCs w:val="22"/>
          <w:lang w:val="sk-SK" w:bidi="bo-CN"/>
        </w:rPr>
        <w:t>(EPS)</w:t>
      </w:r>
      <w:r w:rsidRPr="0083265F">
        <w:rPr>
          <w:rFonts w:cs="Segoe UI"/>
          <w:szCs w:val="22"/>
          <w:lang w:val="sk-SK" w:bidi="bo-CN"/>
        </w:rPr>
        <w:t xml:space="preserve"> pri</w:t>
      </w:r>
      <w:r>
        <w:rPr>
          <w:rFonts w:cs="Segoe UI"/>
          <w:szCs w:val="22"/>
          <w:lang w:val="sk-SK" w:bidi="bo-CN"/>
        </w:rPr>
        <w:t> </w:t>
      </w:r>
      <w:r w:rsidRPr="0083265F">
        <w:rPr>
          <w:rFonts w:cs="Segoe UI"/>
          <w:szCs w:val="22"/>
          <w:lang w:val="sk-SK" w:bidi="bo-CN"/>
        </w:rPr>
        <w:t>konštantných kurzových sadzbách spoločnosť Henkel v súčasnosti očakáva zvýšenie v rozsahu 5 až 20 % (pôvodne -10 až +10 %).</w:t>
      </w:r>
    </w:p>
    <w:p w14:paraId="3D735B53" w14:textId="77777777" w:rsidR="00855E43" w:rsidRPr="001B74A3" w:rsidRDefault="00855E43" w:rsidP="00855E43">
      <w:pPr>
        <w:rPr>
          <w:rFonts w:cs="Segoe UI"/>
          <w:b/>
          <w:bCs/>
          <w:szCs w:val="22"/>
          <w:lang w:val="sk-SK"/>
        </w:rPr>
      </w:pPr>
    </w:p>
    <w:p w14:paraId="0D834E6E" w14:textId="77777777" w:rsidR="00855E43" w:rsidRPr="0083265F" w:rsidRDefault="00855E43" w:rsidP="00855E43">
      <w:pPr>
        <w:spacing w:after="120"/>
        <w:jc w:val="left"/>
        <w:rPr>
          <w:rFonts w:cs="Segoe UI"/>
          <w:b/>
          <w:bCs/>
          <w:szCs w:val="22"/>
          <w:lang w:val="sk-SK"/>
        </w:rPr>
      </w:pPr>
      <w:r w:rsidRPr="0083265F">
        <w:rPr>
          <w:rFonts w:cs="Segoe UI"/>
          <w:b/>
          <w:bCs/>
          <w:szCs w:val="22"/>
          <w:lang w:val="sk-SK" w:bidi="bo-CN"/>
        </w:rPr>
        <w:t>Vývoj obratu a výnosov v prvom polroku 2023</w:t>
      </w:r>
    </w:p>
    <w:p w14:paraId="01648C2F" w14:textId="7840A08E" w:rsidR="00855E43" w:rsidRPr="0083265F" w:rsidRDefault="00855E43" w:rsidP="00855E43">
      <w:pPr>
        <w:rPr>
          <w:rFonts w:cs="Segoe UI"/>
          <w:szCs w:val="22"/>
          <w:lang w:val="sk-SK"/>
        </w:rPr>
      </w:pPr>
      <w:r w:rsidRPr="0083265F">
        <w:rPr>
          <w:rFonts w:cs="Segoe UI"/>
          <w:b/>
          <w:bCs/>
          <w:szCs w:val="22"/>
          <w:lang w:val="sk-SK" w:bidi="bo-CN"/>
        </w:rPr>
        <w:t>Obrat skupiny Henkel</w:t>
      </w:r>
      <w:r w:rsidRPr="0083265F">
        <w:rPr>
          <w:rFonts w:cs="Segoe UI"/>
          <w:szCs w:val="22"/>
          <w:lang w:val="sk-SK" w:bidi="bo-CN"/>
        </w:rPr>
        <w:t xml:space="preserve"> za prvý polrok 2023 v celkovej výške 10 926 mil. eur bol o 0,1 % vyšší v porovnaní s rovnakým obdobím predchádzajúceho roka (2. štvrťrok: 5 316 mil. eur,</w:t>
      </w:r>
      <w:r>
        <w:rPr>
          <w:rFonts w:cs="Segoe UI"/>
          <w:szCs w:val="22"/>
          <w:lang w:val="sk-SK" w:bidi="bo-CN"/>
        </w:rPr>
        <w:t> </w:t>
      </w:r>
      <w:r w:rsidRPr="0083265F">
        <w:rPr>
          <w:rFonts w:cs="Segoe UI"/>
          <w:szCs w:val="22"/>
          <w:lang w:val="sk-SK" w:bidi="bo-CN"/>
        </w:rPr>
        <w:t>-5,8 %),</w:t>
      </w:r>
      <w:r w:rsidRPr="0083265F">
        <w:rPr>
          <w:rFonts w:cs="Segoe UI"/>
          <w:szCs w:val="22"/>
          <w:lang w:val="sk-SK"/>
        </w:rPr>
        <w:t xml:space="preserve"> </w:t>
      </w:r>
      <w:r w:rsidRPr="0083265F">
        <w:rPr>
          <w:rFonts w:cs="Segoe UI"/>
          <w:szCs w:val="22"/>
          <w:lang w:val="sk-SK" w:bidi="bo-CN"/>
        </w:rPr>
        <w:t xml:space="preserve">čo predstavuje veľmi silný </w:t>
      </w:r>
      <w:r w:rsidRPr="0083265F">
        <w:rPr>
          <w:rFonts w:cs="Segoe UI"/>
          <w:b/>
          <w:bCs/>
          <w:szCs w:val="22"/>
          <w:lang w:val="sk-SK" w:bidi="bo-CN"/>
        </w:rPr>
        <w:t xml:space="preserve">organický rast obratu </w:t>
      </w:r>
      <w:r w:rsidRPr="0083265F">
        <w:rPr>
          <w:rFonts w:cs="Segoe UI"/>
          <w:szCs w:val="22"/>
          <w:lang w:val="sk-SK" w:bidi="bo-CN"/>
        </w:rPr>
        <w:t>na úrovni 4,9 % (2. štvrťrok: 3,2 %).</w:t>
      </w:r>
      <w:r w:rsidRPr="0083265F">
        <w:rPr>
          <w:rFonts w:cs="Segoe UI"/>
          <w:szCs w:val="22"/>
          <w:lang w:val="sk-SK"/>
        </w:rPr>
        <w:t xml:space="preserve"> </w:t>
      </w:r>
      <w:r w:rsidRPr="0083265F">
        <w:rPr>
          <w:rFonts w:cs="Segoe UI"/>
          <w:szCs w:val="22"/>
          <w:lang w:val="sk-SK" w:bidi="bo-CN"/>
        </w:rPr>
        <w:t>Kurzový vývoj mal na obrat negatívny vplyv vo výške -2,5 % (2. štvrťrok: -5,8 %) a negatívny príspevok akvizícií a odpredajov predstavoval -2,2 % (2. štvrťrok: -3,2 %).</w:t>
      </w:r>
    </w:p>
    <w:p w14:paraId="09629FB9" w14:textId="77777777" w:rsidR="00855E43" w:rsidRPr="001B74A3" w:rsidRDefault="00855E43" w:rsidP="00855E43">
      <w:pPr>
        <w:rPr>
          <w:rFonts w:cs="Segoe UI"/>
          <w:szCs w:val="22"/>
          <w:lang w:val="sk-SK"/>
        </w:rPr>
      </w:pPr>
    </w:p>
    <w:p w14:paraId="27963BF9" w14:textId="77777777" w:rsidR="00855E43" w:rsidRPr="0083265F" w:rsidRDefault="00855E43" w:rsidP="00855E43">
      <w:pPr>
        <w:rPr>
          <w:rFonts w:cs="Segoe UI"/>
          <w:szCs w:val="22"/>
          <w:lang w:val="sk-SK"/>
        </w:rPr>
      </w:pPr>
      <w:r w:rsidRPr="0083265F">
        <w:rPr>
          <w:rFonts w:cs="Segoe UI"/>
          <w:szCs w:val="22"/>
          <w:lang w:val="sk-SK" w:bidi="bo-CN"/>
        </w:rPr>
        <w:t>Na raste obratu v prvom polroku sa podieľali obidve obchodné divízie.</w:t>
      </w:r>
      <w:r w:rsidRPr="0083265F">
        <w:rPr>
          <w:rFonts w:cs="Segoe UI"/>
          <w:szCs w:val="22"/>
          <w:lang w:val="sk-SK"/>
        </w:rPr>
        <w:t xml:space="preserve"> </w:t>
      </w:r>
      <w:r w:rsidRPr="0083265F">
        <w:rPr>
          <w:rFonts w:cs="Segoe UI"/>
          <w:szCs w:val="22"/>
          <w:lang w:val="sk-SK" w:bidi="bo-CN"/>
        </w:rPr>
        <w:t>Obchodná divízia</w:t>
      </w:r>
      <w:r>
        <w:rPr>
          <w:rFonts w:cs="Segoe UI"/>
          <w:b/>
          <w:bCs/>
          <w:szCs w:val="22"/>
          <w:lang w:val="sk-SK" w:bidi="bo-CN"/>
        </w:rPr>
        <w:t xml:space="preserve"> </w:t>
      </w:r>
      <w:r w:rsidRPr="0083265F">
        <w:rPr>
          <w:rFonts w:cs="Segoe UI"/>
          <w:b/>
          <w:bCs/>
          <w:szCs w:val="22"/>
          <w:lang w:val="sk-SK" w:bidi="bo-CN"/>
        </w:rPr>
        <w:t>Adhesive Technologies</w:t>
      </w:r>
      <w:r w:rsidRPr="0083265F">
        <w:rPr>
          <w:rFonts w:cs="Segoe UI"/>
          <w:szCs w:val="22"/>
          <w:lang w:val="sk-SK" w:bidi="bo-CN"/>
        </w:rPr>
        <w:t xml:space="preserve"> zaznamenala výrazný organický rast obratu na úrovni 4,7 %, </w:t>
      </w:r>
      <w:r>
        <w:rPr>
          <w:rFonts w:cs="Segoe UI"/>
          <w:szCs w:val="22"/>
          <w:lang w:val="sk-SK" w:bidi="bo-CN"/>
        </w:rPr>
        <w:t>ku ktorému prispeli</w:t>
      </w:r>
      <w:r w:rsidRPr="0083265F">
        <w:rPr>
          <w:rFonts w:cs="Segoe UI"/>
          <w:szCs w:val="22"/>
          <w:lang w:val="sk-SK" w:bidi="bo-CN"/>
        </w:rPr>
        <w:t xml:space="preserve"> najmä segmenty výrobkov pre mobilitu a elektronický priemysel a výrobkov pre remeselníkov, stavebníctvo a profesionálov.</w:t>
      </w:r>
      <w:r w:rsidRPr="0083265F">
        <w:rPr>
          <w:rFonts w:cs="Segoe UI"/>
          <w:szCs w:val="22"/>
          <w:lang w:val="sk-SK"/>
        </w:rPr>
        <w:t xml:space="preserve"> </w:t>
      </w:r>
      <w:r w:rsidRPr="0083265F">
        <w:rPr>
          <w:rFonts w:cs="Segoe UI"/>
          <w:szCs w:val="22"/>
          <w:lang w:val="sk-SK" w:bidi="bo-CN"/>
        </w:rPr>
        <w:t xml:space="preserve">Na veľmi silnom organickom raste obratu </w:t>
      </w:r>
      <w:r w:rsidRPr="0083265F">
        <w:rPr>
          <w:rFonts w:cs="Segoe UI"/>
          <w:szCs w:val="22"/>
          <w:lang w:val="sk-SK" w:bidi="bo-CN"/>
        </w:rPr>
        <w:lastRenderedPageBreak/>
        <w:t xml:space="preserve">divízie </w:t>
      </w:r>
      <w:r w:rsidRPr="0083265F">
        <w:rPr>
          <w:rFonts w:cs="Segoe UI"/>
          <w:b/>
          <w:bCs/>
          <w:szCs w:val="22"/>
          <w:lang w:val="sk-SK" w:bidi="bo-CN"/>
        </w:rPr>
        <w:t>Consumer Brands</w:t>
      </w:r>
      <w:r w:rsidRPr="0083265F">
        <w:rPr>
          <w:rFonts w:cs="Segoe UI"/>
          <w:szCs w:val="22"/>
          <w:lang w:val="sk-SK" w:bidi="bo-CN"/>
        </w:rPr>
        <w:t xml:space="preserve"> vo výške 5,7 % mali výrazný podiel segmenty pracích a čistiacich prostriedkov a vlasovej kozmetiky.</w:t>
      </w:r>
    </w:p>
    <w:p w14:paraId="4987948A" w14:textId="77777777" w:rsidR="00855E43" w:rsidRPr="001B74A3" w:rsidRDefault="00855E43" w:rsidP="00855E43">
      <w:pPr>
        <w:rPr>
          <w:rFonts w:cs="Segoe UI"/>
          <w:szCs w:val="22"/>
          <w:highlight w:val="yellow"/>
          <w:lang w:val="sk-SK"/>
        </w:rPr>
      </w:pPr>
    </w:p>
    <w:p w14:paraId="715A427E" w14:textId="77777777" w:rsidR="00855E43" w:rsidRPr="0083265F" w:rsidRDefault="00855E43" w:rsidP="00855E43">
      <w:pPr>
        <w:rPr>
          <w:rFonts w:cs="Segoe UI"/>
          <w:szCs w:val="22"/>
          <w:lang w:val="sk-SK"/>
        </w:rPr>
      </w:pPr>
      <w:r w:rsidRPr="0083265F">
        <w:rPr>
          <w:rFonts w:cs="Segoe UI"/>
          <w:szCs w:val="22"/>
          <w:lang w:val="sk-SK" w:bidi="bo-CN"/>
        </w:rPr>
        <w:t>Organický rast obratu v </w:t>
      </w:r>
      <w:r w:rsidRPr="0083265F">
        <w:rPr>
          <w:rFonts w:cs="Segoe UI"/>
          <w:b/>
          <w:bCs/>
          <w:szCs w:val="22"/>
          <w:lang w:val="sk-SK" w:bidi="bo-CN"/>
        </w:rPr>
        <w:t>európskom</w:t>
      </w:r>
      <w:r w:rsidRPr="0083265F">
        <w:rPr>
          <w:rFonts w:cs="Segoe UI"/>
          <w:szCs w:val="22"/>
          <w:lang w:val="sk-SK" w:bidi="bo-CN"/>
        </w:rPr>
        <w:t xml:space="preserve"> regióne dosiahol v prvom polroku úroveň 2,4 % (2.</w:t>
      </w:r>
      <w:r>
        <w:rPr>
          <w:rFonts w:cs="Segoe UI"/>
          <w:szCs w:val="22"/>
          <w:lang w:val="sk-SK" w:bidi="bo-CN"/>
        </w:rPr>
        <w:t> </w:t>
      </w:r>
      <w:r w:rsidRPr="0083265F">
        <w:rPr>
          <w:rFonts w:cs="Segoe UI"/>
          <w:szCs w:val="22"/>
          <w:lang w:val="sk-SK" w:bidi="bo-CN"/>
        </w:rPr>
        <w:t>štvrťrok: 0,8 %).</w:t>
      </w:r>
      <w:r w:rsidRPr="0083265F">
        <w:rPr>
          <w:rFonts w:cs="Segoe UI"/>
          <w:szCs w:val="22"/>
          <w:lang w:val="sk-SK"/>
        </w:rPr>
        <w:t xml:space="preserve"> </w:t>
      </w:r>
      <w:r w:rsidRPr="0083265F">
        <w:rPr>
          <w:rFonts w:cs="Segoe UI"/>
          <w:szCs w:val="22"/>
          <w:lang w:val="sk-SK" w:bidi="bo-CN"/>
        </w:rPr>
        <w:t>V regióne Indie, Stredného východu a Afriky (</w:t>
      </w:r>
      <w:r w:rsidRPr="0083265F">
        <w:rPr>
          <w:rFonts w:cs="Segoe UI"/>
          <w:b/>
          <w:bCs/>
          <w:szCs w:val="22"/>
          <w:lang w:val="sk-SK" w:bidi="bo-CN"/>
        </w:rPr>
        <w:t>IMEA</w:t>
      </w:r>
      <w:r w:rsidRPr="0083265F">
        <w:rPr>
          <w:rFonts w:cs="Segoe UI"/>
          <w:szCs w:val="22"/>
          <w:lang w:val="sk-SK" w:bidi="bo-CN"/>
        </w:rPr>
        <w:t>) sa obrat organicky zvýšil o 25,7 % (2. štvrťrok: 23,6 %).</w:t>
      </w:r>
      <w:r w:rsidRPr="0083265F">
        <w:rPr>
          <w:rFonts w:cs="Segoe UI"/>
          <w:szCs w:val="22"/>
          <w:lang w:val="sk-SK"/>
        </w:rPr>
        <w:t xml:space="preserve"> </w:t>
      </w:r>
      <w:r w:rsidRPr="0083265F">
        <w:rPr>
          <w:rFonts w:cs="Segoe UI"/>
          <w:b/>
          <w:bCs/>
          <w:szCs w:val="22"/>
          <w:lang w:val="sk-SK" w:bidi="bo-CN"/>
        </w:rPr>
        <w:t xml:space="preserve">Severoamerické trhy </w:t>
      </w:r>
      <w:r w:rsidRPr="0083265F">
        <w:rPr>
          <w:rFonts w:cs="Segoe UI"/>
          <w:szCs w:val="22"/>
          <w:lang w:val="sk-SK" w:bidi="bo-CN"/>
        </w:rPr>
        <w:t>vykázali organický rast obratu na</w:t>
      </w:r>
      <w:r>
        <w:rPr>
          <w:rFonts w:cs="Segoe UI"/>
          <w:szCs w:val="22"/>
          <w:lang w:val="sk-SK" w:bidi="bo-CN"/>
        </w:rPr>
        <w:t> </w:t>
      </w:r>
      <w:r w:rsidRPr="0083265F">
        <w:rPr>
          <w:rFonts w:cs="Segoe UI"/>
          <w:szCs w:val="22"/>
          <w:lang w:val="sk-SK" w:bidi="bo-CN"/>
        </w:rPr>
        <w:t>úrovni 3,8 % (2. štvrťrok: 0,9 %),</w:t>
      </w:r>
      <w:r w:rsidRPr="0083265F">
        <w:rPr>
          <w:rFonts w:cs="Segoe UI"/>
          <w:szCs w:val="22"/>
          <w:lang w:val="sk-SK"/>
        </w:rPr>
        <w:t xml:space="preserve"> </w:t>
      </w:r>
      <w:r w:rsidRPr="0083265F">
        <w:rPr>
          <w:rFonts w:cs="Segoe UI"/>
          <w:szCs w:val="22"/>
          <w:lang w:val="sk-SK" w:bidi="bo-CN"/>
        </w:rPr>
        <w:t>v </w:t>
      </w:r>
      <w:r w:rsidRPr="0083265F">
        <w:rPr>
          <w:rFonts w:cs="Segoe UI"/>
          <w:b/>
          <w:bCs/>
          <w:szCs w:val="22"/>
          <w:lang w:val="sk-SK" w:bidi="bo-CN"/>
        </w:rPr>
        <w:t xml:space="preserve">Latinskej Amerike </w:t>
      </w:r>
      <w:r w:rsidRPr="0083265F">
        <w:rPr>
          <w:rFonts w:cs="Segoe UI"/>
          <w:szCs w:val="22"/>
          <w:lang w:val="sk-SK" w:bidi="bo-CN"/>
        </w:rPr>
        <w:t>dosiahol organický rast obratu úroveň 13,2 % (2. štvrťrok: 9,4 %).</w:t>
      </w:r>
      <w:r w:rsidRPr="0083265F">
        <w:rPr>
          <w:rFonts w:cs="Segoe UI"/>
          <w:szCs w:val="22"/>
          <w:lang w:val="sk-SK"/>
        </w:rPr>
        <w:t xml:space="preserve"> </w:t>
      </w:r>
      <w:r w:rsidRPr="0083265F">
        <w:rPr>
          <w:rFonts w:cs="Segoe UI"/>
          <w:szCs w:val="22"/>
          <w:lang w:val="sk-SK" w:bidi="bo-CN"/>
        </w:rPr>
        <w:t xml:space="preserve">Naopak, negatívny vývoj zaznamenali trhy </w:t>
      </w:r>
      <w:r w:rsidRPr="0083265F">
        <w:rPr>
          <w:rFonts w:cs="Segoe UI"/>
          <w:b/>
          <w:bCs/>
          <w:szCs w:val="22"/>
          <w:lang w:val="sk-SK" w:bidi="bo-CN"/>
        </w:rPr>
        <w:t xml:space="preserve">ázijsko-pacifického </w:t>
      </w:r>
      <w:r w:rsidRPr="0083265F">
        <w:rPr>
          <w:rFonts w:cs="Segoe UI"/>
          <w:szCs w:val="22"/>
          <w:lang w:val="sk-SK" w:bidi="bo-CN"/>
        </w:rPr>
        <w:t>regiónu, kde sa organický obrat znížil o 2,7 % (2. štvrťrok: -0,6 %) predovšetkým z dôvodu pretrvávajúcich problémov na čínskom trhu.</w:t>
      </w:r>
    </w:p>
    <w:p w14:paraId="2EB5C187" w14:textId="77777777" w:rsidR="00855E43" w:rsidRPr="00B137D2" w:rsidRDefault="00855E43" w:rsidP="00855E43">
      <w:pPr>
        <w:rPr>
          <w:rFonts w:cs="Segoe UI"/>
          <w:szCs w:val="22"/>
          <w:highlight w:val="yellow"/>
          <w:lang w:val="sk-SK"/>
        </w:rPr>
      </w:pPr>
    </w:p>
    <w:p w14:paraId="0DCE254C" w14:textId="77777777" w:rsidR="00855E43" w:rsidRPr="0083265F" w:rsidRDefault="00855E43" w:rsidP="00855E43">
      <w:pPr>
        <w:rPr>
          <w:rFonts w:cs="Segoe UI"/>
          <w:bCs/>
          <w:szCs w:val="22"/>
          <w:lang w:val="sk-SK"/>
        </w:rPr>
      </w:pPr>
      <w:bookmarkStart w:id="2" w:name="_Hlk109402106"/>
      <w:r w:rsidRPr="0083265F">
        <w:rPr>
          <w:rFonts w:cs="Segoe UI"/>
          <w:b/>
          <w:szCs w:val="22"/>
          <w:lang w:val="sk-SK" w:bidi="bo-CN"/>
        </w:rPr>
        <w:t xml:space="preserve">Upravený prevádzkový zisk (upravený EBIT) </w:t>
      </w:r>
      <w:r w:rsidRPr="0083265F">
        <w:rPr>
          <w:rFonts w:cs="Segoe UI"/>
          <w:bCs/>
          <w:szCs w:val="22"/>
          <w:lang w:val="sk-SK" w:bidi="bo-CN"/>
        </w:rPr>
        <w:t>v prvom polroku vzrástol o 7,6 % na hodnotu 1 254 mil. eur v porovnaní s 1 166 mil. eur v rovnakom období predchádzajúceho roka.</w:t>
      </w:r>
      <w:r w:rsidRPr="0083265F">
        <w:rPr>
          <w:rFonts w:cs="Segoe UI"/>
          <w:bCs/>
          <w:szCs w:val="22"/>
          <w:lang w:val="sk-SK"/>
        </w:rPr>
        <w:t xml:space="preserve"> </w:t>
      </w:r>
      <w:r w:rsidRPr="0083265F">
        <w:rPr>
          <w:rFonts w:cs="Segoe UI"/>
          <w:bCs/>
          <w:szCs w:val="22"/>
          <w:lang w:val="sk-SK" w:bidi="bo-CN"/>
        </w:rPr>
        <w:t>K uvedenému zvýšeniu prispeli vývoj predajných cien produktov, úspory, ktoré prinieslo vytvorenie integrovanej obchodnej divízie Consumer Brands, a realizácia opatrení na</w:t>
      </w:r>
      <w:r>
        <w:rPr>
          <w:rFonts w:cs="Segoe UI"/>
          <w:bCs/>
          <w:szCs w:val="22"/>
          <w:lang w:val="sk-SK" w:bidi="bo-CN"/>
        </w:rPr>
        <w:t> </w:t>
      </w:r>
      <w:r w:rsidRPr="0083265F">
        <w:rPr>
          <w:rFonts w:cs="Segoe UI"/>
          <w:bCs/>
          <w:szCs w:val="22"/>
          <w:lang w:val="sk-SK" w:bidi="bo-CN"/>
        </w:rPr>
        <w:t xml:space="preserve">optimalizáciu produktového portfólia. </w:t>
      </w:r>
    </w:p>
    <w:p w14:paraId="38799280" w14:textId="77777777" w:rsidR="00855E43" w:rsidRPr="00B137D2" w:rsidRDefault="00855E43" w:rsidP="00855E43">
      <w:pPr>
        <w:rPr>
          <w:rFonts w:cs="Segoe UI"/>
          <w:bCs/>
          <w:szCs w:val="22"/>
          <w:lang w:val="sk-SK"/>
        </w:rPr>
      </w:pPr>
    </w:p>
    <w:bookmarkEnd w:id="2"/>
    <w:p w14:paraId="2AF613B0" w14:textId="77777777" w:rsidR="00855E43" w:rsidRPr="0083265F" w:rsidRDefault="00855E43" w:rsidP="00855E43">
      <w:pPr>
        <w:rPr>
          <w:rFonts w:cs="Segoe UI"/>
          <w:szCs w:val="22"/>
          <w:lang w:val="sk-SK"/>
        </w:rPr>
      </w:pPr>
      <w:r w:rsidRPr="0083265F">
        <w:rPr>
          <w:rFonts w:cs="Segoe UI"/>
          <w:b/>
          <w:bCs/>
          <w:szCs w:val="22"/>
          <w:lang w:val="sk-SK" w:bidi="bo-CN"/>
        </w:rPr>
        <w:t>Upravená výnosnosť predaja (upravená marža EBIT)</w:t>
      </w:r>
      <w:r w:rsidRPr="0083265F">
        <w:rPr>
          <w:rFonts w:cs="Segoe UI"/>
          <w:szCs w:val="22"/>
          <w:lang w:val="sk-SK" w:bidi="bo-CN"/>
        </w:rPr>
        <w:t xml:space="preserve"> sa zvýšila o 80 bázických bodov na</w:t>
      </w:r>
      <w:r>
        <w:rPr>
          <w:rFonts w:cs="Segoe UI"/>
          <w:szCs w:val="22"/>
          <w:lang w:val="sk-SK" w:bidi="bo-CN"/>
        </w:rPr>
        <w:t> </w:t>
      </w:r>
      <w:r w:rsidRPr="0083265F">
        <w:rPr>
          <w:rFonts w:cs="Segoe UI"/>
          <w:szCs w:val="22"/>
          <w:lang w:val="sk-SK" w:bidi="bo-CN"/>
        </w:rPr>
        <w:t>úroveň 11,5 %.</w:t>
      </w:r>
    </w:p>
    <w:p w14:paraId="3D5E22F3" w14:textId="77777777" w:rsidR="00855E43" w:rsidRPr="00B137D2" w:rsidRDefault="00855E43" w:rsidP="00855E43">
      <w:pPr>
        <w:rPr>
          <w:rFonts w:cs="Segoe UI"/>
          <w:szCs w:val="22"/>
          <w:highlight w:val="yellow"/>
          <w:lang w:val="sk-SK"/>
        </w:rPr>
      </w:pPr>
    </w:p>
    <w:p w14:paraId="5F6FA036" w14:textId="77777777" w:rsidR="00855E43" w:rsidRPr="0083265F" w:rsidRDefault="00855E43" w:rsidP="00855E43">
      <w:pPr>
        <w:rPr>
          <w:rFonts w:cs="Segoe UI"/>
          <w:bCs/>
          <w:szCs w:val="22"/>
          <w:lang w:val="sk-SK"/>
        </w:rPr>
      </w:pPr>
      <w:r w:rsidRPr="0083265F">
        <w:rPr>
          <w:rFonts w:cs="Segoe UI"/>
          <w:b/>
          <w:szCs w:val="22"/>
          <w:lang w:val="sk-SK" w:bidi="bo-CN"/>
        </w:rPr>
        <w:t xml:space="preserve">Upravený výnos na prioritnú akciu </w:t>
      </w:r>
      <w:r w:rsidRPr="0083265F">
        <w:rPr>
          <w:rFonts w:cs="Segoe UI"/>
          <w:bCs/>
          <w:szCs w:val="22"/>
          <w:lang w:val="sk-SK" w:bidi="bo-CN"/>
        </w:rPr>
        <w:t>sa v prvom polroku 2023 zvýšil na 2,13 eur; pri</w:t>
      </w:r>
      <w:r>
        <w:rPr>
          <w:rFonts w:cs="Segoe UI"/>
          <w:bCs/>
          <w:szCs w:val="22"/>
          <w:lang w:val="sk-SK" w:bidi="bo-CN"/>
        </w:rPr>
        <w:t> </w:t>
      </w:r>
      <w:r w:rsidRPr="0083265F">
        <w:rPr>
          <w:rFonts w:cs="Segoe UI"/>
          <w:bCs/>
          <w:szCs w:val="22"/>
          <w:lang w:val="sk-SK" w:bidi="bo-CN"/>
        </w:rPr>
        <w:t xml:space="preserve">konštantných kurzových sadzbách ide o zvýšenie o 14,4 % v porovnaní s rovnakým obdobím predchádzajúceho roka. </w:t>
      </w:r>
    </w:p>
    <w:p w14:paraId="586232F3" w14:textId="77777777" w:rsidR="00855E43" w:rsidRPr="00B137D2" w:rsidRDefault="00855E43" w:rsidP="00855E43">
      <w:pPr>
        <w:rPr>
          <w:rFonts w:cs="Segoe UI"/>
          <w:szCs w:val="22"/>
          <w:highlight w:val="yellow"/>
          <w:lang w:val="sk-SK"/>
        </w:rPr>
      </w:pPr>
    </w:p>
    <w:p w14:paraId="4A496D5E" w14:textId="77777777" w:rsidR="00855E43" w:rsidRPr="0083265F" w:rsidRDefault="00855E43" w:rsidP="00855E43">
      <w:pPr>
        <w:rPr>
          <w:rFonts w:cs="Segoe UI"/>
          <w:szCs w:val="22"/>
          <w:lang w:val="sk-SK"/>
        </w:rPr>
      </w:pPr>
      <w:r w:rsidRPr="0083265F">
        <w:rPr>
          <w:rFonts w:cs="Segoe UI"/>
          <w:szCs w:val="22"/>
          <w:lang w:val="sk-SK" w:bidi="bo-CN"/>
        </w:rPr>
        <w:t xml:space="preserve">Pomer </w:t>
      </w:r>
      <w:r w:rsidRPr="0083265F">
        <w:rPr>
          <w:rFonts w:cs="Segoe UI"/>
          <w:b/>
          <w:bCs/>
          <w:szCs w:val="22"/>
          <w:lang w:val="sk-SK" w:bidi="bo-CN"/>
        </w:rPr>
        <w:t>čistého prevádzkového kapitálu</w:t>
      </w:r>
      <w:r w:rsidRPr="0083265F">
        <w:rPr>
          <w:rFonts w:cs="Segoe UI"/>
          <w:szCs w:val="22"/>
          <w:lang w:val="sk-SK" w:bidi="bo-CN"/>
        </w:rPr>
        <w:t xml:space="preserve"> k obratu sa zvýšil o 0,8 percentuálneho bodu na</w:t>
      </w:r>
      <w:r>
        <w:rPr>
          <w:rFonts w:cs="Segoe UI"/>
          <w:szCs w:val="22"/>
          <w:lang w:val="sk-SK" w:bidi="bo-CN"/>
        </w:rPr>
        <w:t> </w:t>
      </w:r>
      <w:r w:rsidRPr="0083265F">
        <w:rPr>
          <w:rFonts w:cs="Segoe UI"/>
          <w:szCs w:val="22"/>
          <w:lang w:val="sk-SK" w:bidi="bo-CN"/>
        </w:rPr>
        <w:t>úroveň 6,1 % (rovnaké obdobie predchádzajúceho roka: 5,2 %).</w:t>
      </w:r>
    </w:p>
    <w:p w14:paraId="7DF587DC" w14:textId="77777777" w:rsidR="00855E43" w:rsidRPr="00B137D2" w:rsidRDefault="00855E43" w:rsidP="00855E43">
      <w:pPr>
        <w:rPr>
          <w:rFonts w:cs="Segoe UI"/>
          <w:szCs w:val="22"/>
          <w:highlight w:val="yellow"/>
          <w:lang w:val="sk-SK"/>
        </w:rPr>
      </w:pPr>
    </w:p>
    <w:p w14:paraId="4F6A0585" w14:textId="77777777" w:rsidR="00855E43" w:rsidRPr="0083265F" w:rsidRDefault="00855E43" w:rsidP="00855E43">
      <w:pPr>
        <w:autoSpaceDE w:val="0"/>
        <w:autoSpaceDN w:val="0"/>
        <w:adjustRightInd w:val="0"/>
        <w:rPr>
          <w:rFonts w:cs="Segoe UI"/>
          <w:szCs w:val="22"/>
          <w:highlight w:val="yellow"/>
          <w:lang w:val="sk-SK"/>
        </w:rPr>
      </w:pPr>
      <w:r w:rsidRPr="0083265F">
        <w:rPr>
          <w:rFonts w:cs="Segoe UI"/>
          <w:b/>
          <w:bCs/>
          <w:szCs w:val="22"/>
          <w:lang w:val="sk-SK" w:bidi="bo-CN"/>
        </w:rPr>
        <w:t xml:space="preserve">Voľný cash flow </w:t>
      </w:r>
      <w:r w:rsidRPr="0083265F">
        <w:rPr>
          <w:rFonts w:cs="Segoe UI"/>
          <w:szCs w:val="22"/>
          <w:lang w:val="sk-SK" w:bidi="bo-CN"/>
        </w:rPr>
        <w:t>dosiahol hodnotu 749 mil. eur a výrazne prekročil svoju úroveň z prvého polroka 2022 (46 mil. eur) predovšetkým vďaka vyššiemu cash flow z prevádzkových činností počas finančného roka.</w:t>
      </w:r>
    </w:p>
    <w:p w14:paraId="3162B03C" w14:textId="77777777" w:rsidR="00855E43" w:rsidRPr="00B137D2" w:rsidRDefault="00855E43" w:rsidP="00855E43">
      <w:pPr>
        <w:autoSpaceDE w:val="0"/>
        <w:autoSpaceDN w:val="0"/>
        <w:adjustRightInd w:val="0"/>
        <w:rPr>
          <w:rFonts w:cs="Segoe UI"/>
          <w:szCs w:val="22"/>
          <w:highlight w:val="yellow"/>
          <w:lang w:val="sk-SK"/>
        </w:rPr>
      </w:pPr>
    </w:p>
    <w:p w14:paraId="320FBD5F" w14:textId="77777777" w:rsidR="00855E43" w:rsidRPr="0083265F" w:rsidRDefault="00855E43" w:rsidP="00855E43">
      <w:pPr>
        <w:rPr>
          <w:lang w:val="sk-SK"/>
        </w:rPr>
      </w:pPr>
      <w:r w:rsidRPr="0083265F">
        <w:rPr>
          <w:lang w:val="sk-SK" w:bidi="bo-CN"/>
        </w:rPr>
        <w:t xml:space="preserve">K 30. júnu 2023 bola </w:t>
      </w:r>
      <w:r w:rsidRPr="0083265F">
        <w:rPr>
          <w:b/>
          <w:bCs/>
          <w:lang w:val="sk-SK" w:bidi="bo-CN"/>
        </w:rPr>
        <w:t>čistá finančná pozícia</w:t>
      </w:r>
      <w:r w:rsidRPr="0083265F">
        <w:rPr>
          <w:lang w:val="sk-SK" w:bidi="bo-CN"/>
        </w:rPr>
        <w:t xml:space="preserve"> vo výške -1 311 mil. eur (31. december</w:t>
      </w:r>
      <w:r>
        <w:rPr>
          <w:lang w:val="sk-SK" w:bidi="bo-CN"/>
        </w:rPr>
        <w:t xml:space="preserve"> </w:t>
      </w:r>
      <w:r w:rsidRPr="0083265F">
        <w:rPr>
          <w:lang w:val="sk-SK" w:bidi="bo-CN"/>
        </w:rPr>
        <w:t>2022: -1 267 mil. eur).</w:t>
      </w:r>
    </w:p>
    <w:p w14:paraId="20E0BB9B" w14:textId="77777777" w:rsidR="00855E43" w:rsidRPr="00B137D2" w:rsidRDefault="00855E43" w:rsidP="00855E43">
      <w:pPr>
        <w:rPr>
          <w:rFonts w:cs="Segoe UI"/>
          <w:color w:val="3B3B3B"/>
          <w:shd w:val="clear" w:color="auto" w:fill="FFFFFF"/>
          <w:lang w:val="sk-SK"/>
        </w:rPr>
      </w:pPr>
    </w:p>
    <w:p w14:paraId="6889F7D5" w14:textId="77777777" w:rsidR="00855E43" w:rsidRPr="0083265F" w:rsidRDefault="00855E43" w:rsidP="00855E43">
      <w:pPr>
        <w:rPr>
          <w:rFonts w:cs="Segoe UI"/>
          <w:szCs w:val="22"/>
          <w:lang w:val="sk-SK" w:eastAsia="de-DE"/>
        </w:rPr>
      </w:pPr>
      <w:r w:rsidRPr="0083265F">
        <w:rPr>
          <w:rFonts w:cs="Segoe UI"/>
          <w:shd w:val="clear" w:color="auto" w:fill="FFFFFF"/>
          <w:lang w:val="sk-SK" w:bidi="bo-CN"/>
        </w:rPr>
        <w:lastRenderedPageBreak/>
        <w:t xml:space="preserve">Spoločnosť Henkel 20. apríla 2023 oznámila podpísanie dohody o </w:t>
      </w:r>
      <w:r w:rsidRPr="0083265F">
        <w:rPr>
          <w:rFonts w:cs="Segoe UI"/>
          <w:b/>
          <w:bCs/>
          <w:shd w:val="clear" w:color="auto" w:fill="FFFFFF"/>
          <w:lang w:val="sk-SK" w:bidi="bo-CN"/>
        </w:rPr>
        <w:t>odpredaji svojich podnikateľských aktivít v Rusku</w:t>
      </w:r>
      <w:r w:rsidRPr="0083265F">
        <w:rPr>
          <w:rFonts w:cs="Segoe UI"/>
          <w:shd w:val="clear" w:color="auto" w:fill="FFFFFF"/>
          <w:lang w:val="sk-SK" w:bidi="bo-CN"/>
        </w:rPr>
        <w:t xml:space="preserve"> konzorciu miestnych finančných investorov.</w:t>
      </w:r>
      <w:r w:rsidRPr="0083265F">
        <w:rPr>
          <w:rFonts w:cs="Segoe UI"/>
          <w:shd w:val="clear" w:color="auto" w:fill="FFFFFF"/>
          <w:lang w:val="sk-SK"/>
        </w:rPr>
        <w:t xml:space="preserve"> </w:t>
      </w:r>
      <w:r w:rsidRPr="0083265F">
        <w:rPr>
          <w:rFonts w:cs="Segoe UI"/>
          <w:shd w:val="clear" w:color="auto" w:fill="FFFFFF"/>
          <w:lang w:val="sk-SK" w:bidi="bo-CN"/>
        </w:rPr>
        <w:t>Svoj odchod z ruského trhu spoločnosť oznámila po vojenskom útoku Ruska na Ukrajinu v minulom roku.</w:t>
      </w:r>
      <w:r w:rsidRPr="0083265F">
        <w:rPr>
          <w:rFonts w:cs="Segoe UI"/>
          <w:shd w:val="clear" w:color="auto" w:fill="FFFFFF"/>
          <w:lang w:val="sk-SK"/>
        </w:rPr>
        <w:t xml:space="preserve"> </w:t>
      </w:r>
      <w:r w:rsidRPr="0083265F">
        <w:rPr>
          <w:rFonts w:cs="Segoe UI"/>
          <w:shd w:val="clear" w:color="auto" w:fill="FFFFFF"/>
          <w:lang w:val="sk-SK" w:bidi="bo-CN"/>
        </w:rPr>
        <w:t>Transakcia bola dokončená za cenu 54 mld. rubľov (približne 600 mil. eur).</w:t>
      </w:r>
    </w:p>
    <w:p w14:paraId="0FF58E02" w14:textId="77777777" w:rsidR="00855E43" w:rsidRPr="00B137D2" w:rsidRDefault="00855E43" w:rsidP="00855E43">
      <w:pPr>
        <w:spacing w:after="120"/>
        <w:rPr>
          <w:rFonts w:cs="Segoe UI"/>
          <w:b/>
          <w:bCs/>
          <w:szCs w:val="22"/>
          <w:highlight w:val="yellow"/>
          <w:lang w:val="sk-SK" w:eastAsia="de-DE"/>
        </w:rPr>
      </w:pPr>
    </w:p>
    <w:p w14:paraId="5A559E38" w14:textId="77777777" w:rsidR="00855E43" w:rsidRPr="0083265F" w:rsidRDefault="00855E43" w:rsidP="00855E43">
      <w:pPr>
        <w:spacing w:after="120"/>
        <w:rPr>
          <w:rFonts w:cs="Segoe UI"/>
          <w:b/>
          <w:bCs/>
          <w:szCs w:val="22"/>
          <w:highlight w:val="yellow"/>
          <w:lang w:val="sk-SK" w:eastAsia="de-DE"/>
        </w:rPr>
      </w:pPr>
      <w:r w:rsidRPr="0083265F">
        <w:rPr>
          <w:rFonts w:cs="Segoe UI"/>
          <w:b/>
          <w:bCs/>
          <w:szCs w:val="22"/>
          <w:lang w:val="sk-SK" w:eastAsia="de-DE" w:bidi="bo-CN"/>
        </w:rPr>
        <w:t>Výsledky obchodných divízií za prvý polrok 2023</w:t>
      </w:r>
    </w:p>
    <w:p w14:paraId="21A3ACBA" w14:textId="77777777" w:rsidR="00855E43" w:rsidRPr="0083265F" w:rsidRDefault="00855E43" w:rsidP="00855E43">
      <w:pPr>
        <w:rPr>
          <w:rFonts w:cs="Segoe UI"/>
          <w:b/>
          <w:szCs w:val="22"/>
          <w:lang w:val="sk-SK"/>
        </w:rPr>
      </w:pPr>
      <w:r w:rsidRPr="0083265F">
        <w:rPr>
          <w:b/>
          <w:bCs/>
          <w:lang w:val="sk-SK" w:bidi="bo-CN"/>
        </w:rPr>
        <w:fldChar w:fldCharType="begin"/>
      </w:r>
      <w:r w:rsidRPr="0083265F">
        <w:rPr>
          <w:b/>
          <w:bCs/>
          <w:lang w:val="sk-SK" w:bidi="bo-CN"/>
        </w:rPr>
        <w:instrText xml:space="preserve"> DOCVARIABLE WORDVALUE-7c2eb70d-9d14-4f70-93d9-1f388a1f5be7 \* CHARFORMAT </w:instrText>
      </w:r>
      <w:r w:rsidRPr="0083265F">
        <w:rPr>
          <w:b/>
          <w:bCs/>
          <w:lang w:val="sk-SK" w:bidi="bo-CN"/>
        </w:rPr>
        <w:fldChar w:fldCharType="end"/>
      </w:r>
      <w:r w:rsidRPr="0083265F">
        <w:rPr>
          <w:b/>
          <w:bCs/>
          <w:lang w:val="sk-SK" w:bidi="bo-CN"/>
        </w:rPr>
        <w:fldChar w:fldCharType="begin"/>
      </w:r>
      <w:r w:rsidRPr="0083265F">
        <w:rPr>
          <w:b/>
          <w:bCs/>
          <w:lang w:val="sk-SK" w:bidi="bo-CN"/>
        </w:rPr>
        <w:instrText xml:space="preserve"> DOCVARIABLE WORDVALUE-b5592f6a-a403-4cc8-a105-1f388a58258f \* CHARFORMAT </w:instrText>
      </w:r>
      <w:r w:rsidRPr="0083265F">
        <w:rPr>
          <w:b/>
          <w:bCs/>
          <w:lang w:val="sk-SK" w:bidi="bo-CN"/>
        </w:rPr>
        <w:fldChar w:fldCharType="end"/>
      </w:r>
      <w:r w:rsidRPr="0083265F">
        <w:rPr>
          <w:b/>
          <w:bCs/>
          <w:lang w:val="sk-SK" w:bidi="bo-CN"/>
        </w:rPr>
        <w:t>Obrat</w:t>
      </w:r>
      <w:r w:rsidRPr="0083265F">
        <w:rPr>
          <w:lang w:val="sk-SK" w:bidi="bo-CN"/>
        </w:rPr>
        <w:t xml:space="preserve"> obchodnej divízie </w:t>
      </w:r>
      <w:r w:rsidRPr="0083265F">
        <w:rPr>
          <w:b/>
          <w:bCs/>
          <w:lang w:val="sk-SK" w:bidi="bo-CN"/>
        </w:rPr>
        <w:t>Adhesive Technologies</w:t>
      </w:r>
      <w:r w:rsidRPr="0083265F">
        <w:rPr>
          <w:lang w:val="sk-SK" w:bidi="bo-CN"/>
        </w:rPr>
        <w:t xml:space="preserve"> zaznamenal v prvom polroku 2023 stabilný nominálny rast o 0,1 % na hodnotu 5 475 mil. eur (2. štvrťrok: 2 683 mil. eur; -5,4 %).</w:t>
      </w:r>
      <w:r w:rsidRPr="0083265F">
        <w:rPr>
          <w:rFonts w:cs="Segoe UI"/>
          <w:bCs/>
          <w:szCs w:val="22"/>
          <w:lang w:val="sk-SK"/>
        </w:rPr>
        <w:t xml:space="preserve"> </w:t>
      </w:r>
      <w:r w:rsidRPr="0083265F">
        <w:rPr>
          <w:rFonts w:cs="Segoe UI"/>
          <w:b/>
          <w:bCs/>
          <w:szCs w:val="18"/>
          <w:lang w:val="sk-SK" w:bidi="bo-CN"/>
        </w:rPr>
        <w:t xml:space="preserve">Organicky </w:t>
      </w:r>
      <w:r w:rsidRPr="0083265F">
        <w:rPr>
          <w:rFonts w:cs="Segoe UI"/>
          <w:szCs w:val="18"/>
          <w:lang w:val="sk-SK" w:bidi="bo-CN"/>
        </w:rPr>
        <w:t>sa obrat zvýšil o 4,7 % (2. štvrťrok: 2.7 %).</w:t>
      </w:r>
      <w:r w:rsidRPr="0083265F">
        <w:rPr>
          <w:rFonts w:cs="Segoe UI"/>
          <w:szCs w:val="18"/>
          <w:lang w:val="sk-SK"/>
        </w:rPr>
        <w:t xml:space="preserve"> </w:t>
      </w:r>
      <w:r w:rsidRPr="0083265F">
        <w:rPr>
          <w:rFonts w:cs="Segoe UI"/>
          <w:szCs w:val="18"/>
          <w:lang w:val="sk-SK" w:bidi="bo-CN"/>
        </w:rPr>
        <w:t>K uvedenému vývoju prispel dvojciferný nárast cien aj napriek tomu, že objem predaja zaostal za svojou úrovňou z predchádzajúceho roka z dôvodu utlmeného dopytu na niektorých relevantných koncových trhoch.</w:t>
      </w:r>
      <w:r w:rsidRPr="0083265F">
        <w:rPr>
          <w:rFonts w:cs="Segoe UI"/>
          <w:szCs w:val="18"/>
          <w:lang w:val="sk-SK"/>
        </w:rPr>
        <w:t xml:space="preserve"> </w:t>
      </w:r>
      <w:r w:rsidRPr="0083265F">
        <w:rPr>
          <w:rFonts w:cs="Segoe UI"/>
          <w:szCs w:val="18"/>
          <w:lang w:val="sk-SK" w:bidi="bo-CN"/>
        </w:rPr>
        <w:t>V segmente výrobkov pre mobilitu a elektronický priemysel zaznamenala divízia Adhesive Technologies dvojciferný organický rast obratu na úrovni 10,9 % (2. štvrťrok: 9,2 %), naopak v segmente obalov a spotrebného tovaru bol organický vývoj obratu negatívny na úrovni -1,5 % (2.</w:t>
      </w:r>
      <w:r>
        <w:rPr>
          <w:rFonts w:cs="Segoe UI"/>
          <w:szCs w:val="18"/>
          <w:lang w:val="sk-SK" w:bidi="bo-CN"/>
        </w:rPr>
        <w:t> </w:t>
      </w:r>
      <w:r w:rsidRPr="0083265F">
        <w:rPr>
          <w:rFonts w:cs="Segoe UI"/>
          <w:szCs w:val="18"/>
          <w:lang w:val="sk-SK" w:bidi="bo-CN"/>
        </w:rPr>
        <w:t>štvrťrok: -3,7 %).</w:t>
      </w:r>
      <w:r w:rsidRPr="0083265F">
        <w:rPr>
          <w:rFonts w:cs="Segoe UI"/>
          <w:szCs w:val="18"/>
          <w:lang w:val="sk-SK"/>
        </w:rPr>
        <w:t xml:space="preserve"> </w:t>
      </w:r>
      <w:r w:rsidRPr="0083265F">
        <w:rPr>
          <w:rFonts w:cs="Segoe UI"/>
          <w:szCs w:val="18"/>
          <w:lang w:val="sk-SK" w:bidi="bo-CN"/>
        </w:rPr>
        <w:t>V segmente výrobkov pre remeselníkov, stavebníctvo a profesionálov sa obrat organicky zvýšili o 4,9 % (2. štvrťrok: 2,9 %).</w:t>
      </w:r>
      <w:r w:rsidRPr="0083265F">
        <w:rPr>
          <w:rFonts w:cs="Segoe UI"/>
          <w:szCs w:val="18"/>
          <w:lang w:val="sk-SK"/>
        </w:rPr>
        <w:t xml:space="preserve"> </w:t>
      </w:r>
      <w:r w:rsidRPr="0083265F">
        <w:rPr>
          <w:rFonts w:cs="Segoe UI"/>
          <w:b/>
          <w:bCs/>
          <w:lang w:val="sk-SK" w:bidi="bo-CN"/>
        </w:rPr>
        <w:t xml:space="preserve">Upravený prevádzkový zisk </w:t>
      </w:r>
      <w:r w:rsidRPr="0083265F">
        <w:rPr>
          <w:rFonts w:cs="Segoe UI"/>
          <w:lang w:val="sk-SK" w:bidi="bo-CN"/>
        </w:rPr>
        <w:t>sa v prvom polroku 2023 medziročne zvýšil o 3,0 % na hodnotu 766 mil. eur v porovnaní so 743 mil. eur v rovnakom období predchádzajúceho roka.</w:t>
      </w:r>
      <w:r w:rsidRPr="0083265F">
        <w:rPr>
          <w:rFonts w:cs="Segoe UI"/>
          <w:color w:val="000000" w:themeColor="text1"/>
          <w:lang w:val="sk-SK"/>
        </w:rPr>
        <w:t xml:space="preserve"> </w:t>
      </w:r>
      <w:r w:rsidRPr="0083265F">
        <w:rPr>
          <w:rFonts w:cs="Segoe UI"/>
          <w:b/>
          <w:bCs/>
          <w:lang w:val="sk-SK" w:bidi="bo-CN"/>
        </w:rPr>
        <w:t xml:space="preserve">Upravená výnosnosť predaja </w:t>
      </w:r>
      <w:r w:rsidRPr="0083265F">
        <w:rPr>
          <w:rFonts w:cs="Segoe UI"/>
          <w:lang w:val="sk-SK" w:bidi="bo-CN"/>
        </w:rPr>
        <w:t>sa zvýšila na</w:t>
      </w:r>
      <w:r>
        <w:rPr>
          <w:rFonts w:cs="Segoe UI"/>
          <w:lang w:val="sk-SK" w:bidi="bo-CN"/>
        </w:rPr>
        <w:t> </w:t>
      </w:r>
      <w:r w:rsidRPr="0083265F">
        <w:rPr>
          <w:rFonts w:cs="Segoe UI"/>
          <w:lang w:val="sk-SK" w:bidi="bo-CN"/>
        </w:rPr>
        <w:t>14,0 %, pričom v rovnakom období predchádzajúceho roka predstavovala 13,6 %.</w:t>
      </w:r>
      <w:r w:rsidRPr="0083265F">
        <w:rPr>
          <w:rFonts w:cs="Segoe UI"/>
          <w:color w:val="000000" w:themeColor="text1"/>
          <w:lang w:val="sk-SK"/>
        </w:rPr>
        <w:t xml:space="preserve"> </w:t>
      </w:r>
      <w:r w:rsidRPr="0083265F">
        <w:rPr>
          <w:rFonts w:cs="Segoe UI"/>
          <w:lang w:val="sk-SK" w:bidi="bo-CN"/>
        </w:rPr>
        <w:t>Pozitívny vývoj bol ovplyvnení najmä vyššími cenami.</w:t>
      </w:r>
    </w:p>
    <w:p w14:paraId="1F262201" w14:textId="77777777" w:rsidR="00855E43" w:rsidRPr="00B137D2" w:rsidRDefault="00855E43" w:rsidP="00855E43">
      <w:pPr>
        <w:rPr>
          <w:rFonts w:cs="Segoe UI"/>
          <w:szCs w:val="22"/>
          <w:highlight w:val="yellow"/>
          <w:lang w:val="sk-SK"/>
        </w:rPr>
      </w:pPr>
    </w:p>
    <w:p w14:paraId="14F35051" w14:textId="2864C4D6" w:rsidR="00855E43" w:rsidRPr="0083265F" w:rsidRDefault="00855E43" w:rsidP="00855E43">
      <w:pPr>
        <w:rPr>
          <w:rFonts w:cs="Segoe UI"/>
          <w:szCs w:val="22"/>
          <w:highlight w:val="yellow"/>
          <w:lang w:val="sk-SK"/>
        </w:rPr>
      </w:pPr>
      <w:r w:rsidRPr="0083265F">
        <w:rPr>
          <w:rFonts w:cs="Segoe UI"/>
          <w:b/>
          <w:bCs/>
          <w:szCs w:val="22"/>
          <w:lang w:val="sk-SK" w:bidi="bo-CN"/>
        </w:rPr>
        <w:t>Obrat</w:t>
      </w:r>
      <w:r w:rsidRPr="0083265F">
        <w:rPr>
          <w:rFonts w:cs="Segoe UI"/>
          <w:szCs w:val="22"/>
          <w:lang w:val="sk-SK" w:bidi="bo-CN"/>
        </w:rPr>
        <w:t xml:space="preserve"> obchodnej divízie </w:t>
      </w:r>
      <w:r w:rsidRPr="0083265F">
        <w:rPr>
          <w:rFonts w:cs="Segoe UI"/>
          <w:b/>
          <w:bCs/>
          <w:szCs w:val="22"/>
          <w:lang w:val="sk-SK" w:bidi="bo-CN"/>
        </w:rPr>
        <w:t xml:space="preserve">Consumer Brands </w:t>
      </w:r>
      <w:r w:rsidRPr="0083265F">
        <w:rPr>
          <w:rFonts w:cs="Segoe UI"/>
          <w:szCs w:val="22"/>
          <w:lang w:val="sk-SK" w:bidi="bo-CN"/>
        </w:rPr>
        <w:t>za prvých šesť mesiacov roku 2023 dosiahol 5 365 mil. eur (2. štvrťrok: 2 594 mil. eur),</w:t>
      </w:r>
      <w:r w:rsidRPr="0083265F">
        <w:rPr>
          <w:rFonts w:cs="Segoe UI"/>
          <w:szCs w:val="22"/>
          <w:lang w:val="sk-SK"/>
        </w:rPr>
        <w:t xml:space="preserve"> </w:t>
      </w:r>
      <w:r w:rsidRPr="0083265F">
        <w:rPr>
          <w:rFonts w:cs="Segoe UI"/>
          <w:szCs w:val="22"/>
          <w:lang w:val="sk-SK" w:bidi="bo-CN"/>
        </w:rPr>
        <w:t>čo nominálne predstavuje zlepšenie o 0,6 % (2.</w:t>
      </w:r>
      <w:r>
        <w:rPr>
          <w:rFonts w:cs="Segoe UI"/>
          <w:szCs w:val="22"/>
          <w:lang w:val="sk-SK" w:bidi="bo-CN"/>
        </w:rPr>
        <w:t> </w:t>
      </w:r>
      <w:r w:rsidRPr="0083265F">
        <w:rPr>
          <w:rFonts w:cs="Segoe UI"/>
          <w:szCs w:val="22"/>
          <w:lang w:val="sk-SK" w:bidi="bo-CN"/>
        </w:rPr>
        <w:t>štvrťrok: -5,7 %).</w:t>
      </w:r>
      <w:r w:rsidRPr="0083265F">
        <w:rPr>
          <w:rFonts w:cs="Segoe UI"/>
          <w:szCs w:val="22"/>
          <w:lang w:val="sk-SK"/>
        </w:rPr>
        <w:t xml:space="preserve"> </w:t>
      </w:r>
      <w:r w:rsidRPr="0083265F">
        <w:rPr>
          <w:lang w:val="sk-SK" w:bidi="bo-CN"/>
        </w:rPr>
        <w:t xml:space="preserve">Vďaka zvýšeniu cien obrat </w:t>
      </w:r>
      <w:r w:rsidRPr="0083265F">
        <w:rPr>
          <w:b/>
          <w:bCs/>
          <w:lang w:val="sk-SK" w:bidi="bo-CN"/>
        </w:rPr>
        <w:t>organicky</w:t>
      </w:r>
      <w:r w:rsidRPr="0083265F">
        <w:rPr>
          <w:lang w:val="sk-SK" w:bidi="bo-CN"/>
        </w:rPr>
        <w:t xml:space="preserve"> vzrástol o 5,7 % (2. štvrťrok: 4,5 %),</w:t>
      </w:r>
      <w:r w:rsidRPr="0083265F">
        <w:rPr>
          <w:lang w:val="sk-SK"/>
        </w:rPr>
        <w:t xml:space="preserve"> </w:t>
      </w:r>
      <w:r w:rsidRPr="0083265F">
        <w:rPr>
          <w:lang w:val="sk-SK" w:bidi="bo-CN"/>
        </w:rPr>
        <w:t>aj keď došlo k poklesu objemu predaja, ktorý bol čiastočne spôsobený aj pokračujúcou optimalizáciou produktového portfólia.</w:t>
      </w:r>
      <w:r w:rsidRPr="0083265F">
        <w:rPr>
          <w:lang w:val="sk-SK"/>
        </w:rPr>
        <w:t xml:space="preserve"> </w:t>
      </w:r>
      <w:r w:rsidRPr="0083265F">
        <w:rPr>
          <w:lang w:val="sk-SK" w:bidi="bo-CN"/>
        </w:rPr>
        <w:t>Segment pracích a čistiacich prostriedkov zaznamenal veľmi silný organický rast obratu na úrovni 5,3 % (2. štvrťrok: 4,4 %), kým celkový organický rast obratu v segmente vlasovej kozmetiky dosiahol v prvom polroku 2023 úroveň 7,9 % (2.</w:t>
      </w:r>
      <w:r>
        <w:rPr>
          <w:lang w:val="sk-SK" w:bidi="bo-CN"/>
        </w:rPr>
        <w:t> </w:t>
      </w:r>
      <w:r w:rsidRPr="0083265F">
        <w:rPr>
          <w:lang w:val="sk-SK" w:bidi="bo-CN"/>
        </w:rPr>
        <w:t>štvrťrok: 6,1 %).</w:t>
      </w:r>
      <w:r w:rsidRPr="0083265F">
        <w:rPr>
          <w:lang w:val="sk-SK"/>
        </w:rPr>
        <w:t xml:space="preserve"> </w:t>
      </w:r>
      <w:r w:rsidRPr="0083265F">
        <w:rPr>
          <w:lang w:val="sk-SK" w:bidi="bo-CN"/>
        </w:rPr>
        <w:t>Vývoj obratu v ostatných trhových segmentoch, v ktorých pôsobí divízia Consumer Brands, sa v prvom polroku medziročne nezmenil (0,0 %; 2. štvrťrok: -1,4 %).</w:t>
      </w:r>
      <w:r w:rsidRPr="0083265F">
        <w:rPr>
          <w:lang w:val="sk-SK"/>
        </w:rPr>
        <w:t xml:space="preserve"> </w:t>
      </w:r>
      <w:bookmarkStart w:id="3" w:name="_Hlk78300139"/>
      <w:r w:rsidRPr="0083265F">
        <w:rPr>
          <w:b/>
          <w:bCs/>
          <w:lang w:val="sk-SK" w:bidi="bo-CN"/>
        </w:rPr>
        <w:t xml:space="preserve">Upravený prevádzkový zisk </w:t>
      </w:r>
      <w:r w:rsidRPr="0083265F">
        <w:rPr>
          <w:lang w:val="sk-SK" w:bidi="bo-CN"/>
        </w:rPr>
        <w:t>sa medziročne zvýšil o 15,9 % na hodnotu 559 mil. eur.</w:t>
      </w:r>
      <w:r w:rsidRPr="0083265F">
        <w:rPr>
          <w:lang w:val="sk-SK"/>
        </w:rPr>
        <w:t xml:space="preserve"> </w:t>
      </w:r>
      <w:r w:rsidRPr="0083265F">
        <w:rPr>
          <w:lang w:val="sk-SK" w:bidi="bo-CN"/>
        </w:rPr>
        <w:t xml:space="preserve">K uvedenému zlepšeniu došlo vďaka zvýšeniu predajných cien, ktoré tak i naďalej kompenzovali stále vysoké ceny priamych vstupných surovín, ako aj vďaka úsporám z integrácie spotrebiteľských </w:t>
      </w:r>
      <w:r w:rsidRPr="0083265F">
        <w:rPr>
          <w:lang w:val="sk-SK" w:bidi="bo-CN"/>
        </w:rPr>
        <w:lastRenderedPageBreak/>
        <w:t>segmentov do novej obchodnej divízie Consumer Brands a opatreniam zameraným na optimalizáciu jej portfólia.</w:t>
      </w:r>
      <w:r w:rsidRPr="0083265F">
        <w:rPr>
          <w:lang w:val="sk-SK"/>
        </w:rPr>
        <w:t xml:space="preserve"> </w:t>
      </w:r>
      <w:r w:rsidRPr="0083265F">
        <w:rPr>
          <w:b/>
          <w:bCs/>
          <w:lang w:val="sk-SK" w:bidi="bo-CN"/>
        </w:rPr>
        <w:t xml:space="preserve">Upravená výnosnosť predaja </w:t>
      </w:r>
      <w:r w:rsidRPr="0083265F">
        <w:rPr>
          <w:lang w:val="sk-SK" w:bidi="bo-CN"/>
        </w:rPr>
        <w:t>sa zvýšila na hodnotu 10,4 %.</w:t>
      </w:r>
    </w:p>
    <w:bookmarkEnd w:id="3"/>
    <w:p w14:paraId="555CDFA2" w14:textId="77777777" w:rsidR="00855E43" w:rsidRPr="00B137D2" w:rsidRDefault="00855E43" w:rsidP="00855E43">
      <w:pPr>
        <w:spacing w:line="240" w:lineRule="auto"/>
        <w:jc w:val="left"/>
        <w:rPr>
          <w:rFonts w:cs="Segoe UI"/>
          <w:b/>
          <w:szCs w:val="22"/>
          <w:lang w:val="sk-SK"/>
        </w:rPr>
      </w:pPr>
    </w:p>
    <w:p w14:paraId="66FC2A22" w14:textId="77777777" w:rsidR="00855E43" w:rsidRPr="0083265F" w:rsidRDefault="00855E43" w:rsidP="00855E43">
      <w:pPr>
        <w:spacing w:after="120"/>
        <w:rPr>
          <w:rFonts w:cs="Segoe UI"/>
          <w:szCs w:val="22"/>
          <w:lang w:val="sk-SK"/>
        </w:rPr>
      </w:pPr>
      <w:r w:rsidRPr="0083265F">
        <w:rPr>
          <w:rFonts w:cs="Segoe UI"/>
          <w:b/>
          <w:szCs w:val="22"/>
          <w:lang w:val="sk-SK" w:bidi="bo-CN"/>
        </w:rPr>
        <w:t>Implementácia agendy rastu napreduje stálym tempom</w:t>
      </w:r>
    </w:p>
    <w:p w14:paraId="72E943D9" w14:textId="77777777" w:rsidR="00855E43" w:rsidRPr="0083265F" w:rsidRDefault="00855E43" w:rsidP="00855E43">
      <w:pPr>
        <w:autoSpaceDE w:val="0"/>
        <w:autoSpaceDN w:val="0"/>
        <w:adjustRightInd w:val="0"/>
        <w:rPr>
          <w:rFonts w:cs="Segoe UI"/>
          <w:szCs w:val="22"/>
          <w:lang w:val="sk-SK"/>
        </w:rPr>
      </w:pPr>
      <w:bookmarkStart w:id="4" w:name="_Hlk109204398"/>
      <w:r w:rsidRPr="0083265F">
        <w:rPr>
          <w:rFonts w:cs="Segoe UI"/>
          <w:szCs w:val="22"/>
          <w:lang w:val="sk-SK" w:bidi="bo-CN"/>
        </w:rPr>
        <w:t>V prvom polroku 2023 spoločnosť Henkel pokračovala v plnení strategických priorít v rámci svojej agendy pre zmysluplný rast a dosiahla výrazný pokrok vo všetkých jej oblastiach.</w:t>
      </w:r>
    </w:p>
    <w:p w14:paraId="79DCD271" w14:textId="77777777" w:rsidR="00855E43" w:rsidRPr="00B137D2" w:rsidRDefault="00855E43" w:rsidP="00855E43">
      <w:pPr>
        <w:autoSpaceDE w:val="0"/>
        <w:autoSpaceDN w:val="0"/>
        <w:adjustRightInd w:val="0"/>
        <w:rPr>
          <w:rFonts w:cs="Segoe UI"/>
          <w:szCs w:val="22"/>
          <w:lang w:val="sk-SK"/>
        </w:rPr>
      </w:pPr>
    </w:p>
    <w:bookmarkEnd w:id="4"/>
    <w:p w14:paraId="27822792" w14:textId="77777777" w:rsidR="00855E43" w:rsidRPr="0083265F" w:rsidRDefault="00855E43" w:rsidP="00855E43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  <w:r w:rsidRPr="0083265F">
        <w:rPr>
          <w:rFonts w:cs="Segoe UI"/>
          <w:szCs w:val="22"/>
          <w:lang w:val="sk-SK" w:eastAsia="de-DE" w:bidi="bo-CN"/>
        </w:rPr>
        <w:t>Postupné</w:t>
      </w:r>
      <w:r w:rsidRPr="0083265F">
        <w:rPr>
          <w:rFonts w:cs="Segoe UI"/>
          <w:b/>
          <w:bCs/>
          <w:szCs w:val="22"/>
          <w:lang w:val="sk-SK" w:eastAsia="de-DE" w:bidi="bo-CN"/>
        </w:rPr>
        <w:t xml:space="preserve"> zlučovanie </w:t>
      </w:r>
      <w:r w:rsidRPr="0083265F">
        <w:rPr>
          <w:rFonts w:cs="Segoe UI"/>
          <w:szCs w:val="22"/>
          <w:lang w:val="sk-SK" w:eastAsia="de-DE" w:bidi="bo-CN"/>
        </w:rPr>
        <w:t>bývalých obchodných divízií Laundry &amp; Home Care a Beauty Care do</w:t>
      </w:r>
      <w:r>
        <w:rPr>
          <w:rFonts w:cs="Segoe UI"/>
          <w:szCs w:val="22"/>
          <w:lang w:val="sk-SK" w:eastAsia="de-DE" w:bidi="bo-CN"/>
        </w:rPr>
        <w:t> </w:t>
      </w:r>
      <w:r w:rsidRPr="0083265F">
        <w:rPr>
          <w:rFonts w:cs="Segoe UI"/>
          <w:szCs w:val="22"/>
          <w:lang w:val="sk-SK" w:eastAsia="de-DE" w:bidi="bo-CN"/>
        </w:rPr>
        <w:t xml:space="preserve">jednej divízie </w:t>
      </w:r>
      <w:r w:rsidRPr="0083265F">
        <w:rPr>
          <w:rFonts w:cs="Segoe UI"/>
          <w:b/>
          <w:bCs/>
          <w:szCs w:val="22"/>
          <w:lang w:val="sk-SK" w:eastAsia="de-DE" w:bidi="bo-CN"/>
        </w:rPr>
        <w:t>Consumer Brands</w:t>
      </w:r>
      <w:r w:rsidRPr="0083265F">
        <w:rPr>
          <w:rFonts w:cs="Segoe UI"/>
          <w:szCs w:val="22"/>
          <w:lang w:val="sk-SK" w:eastAsia="de-DE" w:bidi="bo-CN"/>
        </w:rPr>
        <w:t xml:space="preserve"> napredovalo v prvom polroku rýchlejším tempom, než bolo plánované.</w:t>
      </w:r>
      <w:r w:rsidRPr="0083265F">
        <w:rPr>
          <w:rFonts w:cs="Segoe UI"/>
          <w:szCs w:val="22"/>
          <w:lang w:val="sk-SK" w:eastAsia="de-DE"/>
        </w:rPr>
        <w:t xml:space="preserve"> </w:t>
      </w:r>
      <w:r w:rsidRPr="0083265F">
        <w:rPr>
          <w:rFonts w:cs="Segoe UI"/>
          <w:szCs w:val="22"/>
          <w:lang w:val="sk-SK" w:eastAsia="de-DE" w:bidi="bo-CN"/>
        </w:rPr>
        <w:t>Vďaka tomu sa spoločnosti Henkel podarilo dosiahnuť ďalšie úspory, pričom do konca roka 2026 by celkové čisté úspory z integrácie (t.j. pred opätovným investovaním) mali predstavovať minimálne 400 mil. eur.</w:t>
      </w:r>
      <w:r w:rsidRPr="0083265F">
        <w:rPr>
          <w:rFonts w:cs="Segoe UI"/>
          <w:szCs w:val="22"/>
          <w:lang w:val="sk-SK" w:eastAsia="de-DE"/>
        </w:rPr>
        <w:t xml:space="preserve"> </w:t>
      </w:r>
      <w:r w:rsidRPr="0083265F">
        <w:rPr>
          <w:rFonts w:cs="Segoe UI"/>
          <w:szCs w:val="22"/>
          <w:lang w:val="sk-SK" w:eastAsia="de-DE" w:bidi="bo-CN"/>
        </w:rPr>
        <w:t>Spoločnosť zároveň pokračovala aj v optimalizácii portfólia divízie Consumer Brands.</w:t>
      </w:r>
      <w:r w:rsidRPr="0083265F">
        <w:rPr>
          <w:rFonts w:cs="Segoe UI"/>
          <w:szCs w:val="22"/>
          <w:lang w:val="sk-SK" w:eastAsia="de-DE"/>
        </w:rPr>
        <w:t xml:space="preserve"> </w:t>
      </w:r>
      <w:r w:rsidRPr="0083265F">
        <w:rPr>
          <w:rFonts w:cs="Segoe UI"/>
          <w:szCs w:val="22"/>
          <w:lang w:val="sk-SK" w:eastAsia="de-DE" w:bidi="bo-CN"/>
        </w:rPr>
        <w:t xml:space="preserve">Od oznámenia zlúčenia spotrebiteľských divízií došlo v rámci tohto procesu k odpredaju alebo </w:t>
      </w:r>
      <w:r>
        <w:rPr>
          <w:rFonts w:cs="Segoe UI"/>
          <w:szCs w:val="22"/>
          <w:lang w:val="sk-SK" w:eastAsia="de-DE" w:bidi="bo-CN"/>
        </w:rPr>
        <w:t>zrušeniu</w:t>
      </w:r>
      <w:r w:rsidRPr="0083265F">
        <w:rPr>
          <w:rFonts w:cs="Segoe UI"/>
          <w:szCs w:val="22"/>
          <w:lang w:val="sk-SK" w:eastAsia="de-DE" w:bidi="bo-CN"/>
        </w:rPr>
        <w:t xml:space="preserve"> značiek a podnikateľských aktivít s celkovým obratom okolo 0,5 mld. eur.</w:t>
      </w:r>
      <w:r w:rsidRPr="0083265F">
        <w:rPr>
          <w:rFonts w:cs="Segoe UI"/>
          <w:szCs w:val="22"/>
          <w:lang w:val="sk-SK" w:eastAsia="de-DE"/>
        </w:rPr>
        <w:t xml:space="preserve"> </w:t>
      </w:r>
      <w:r w:rsidRPr="0083265F">
        <w:rPr>
          <w:rFonts w:cs="Segoe UI"/>
          <w:szCs w:val="22"/>
          <w:lang w:val="sk-SK" w:eastAsia="de-DE" w:bidi="bo-CN"/>
        </w:rPr>
        <w:t>Spoločnosť Henkel zároveň posilnila svoje portfólio akvizíciou značky pracích a čistiacich prostriedkov Earthwise na Novom Zélande.</w:t>
      </w:r>
      <w:r w:rsidRPr="0083265F">
        <w:rPr>
          <w:rFonts w:cs="Segoe UI"/>
          <w:szCs w:val="22"/>
          <w:lang w:val="sk-SK" w:eastAsia="de-DE"/>
        </w:rPr>
        <w:t xml:space="preserve"> </w:t>
      </w:r>
      <w:r w:rsidRPr="0083265F">
        <w:rPr>
          <w:rFonts w:cs="Segoe UI"/>
          <w:szCs w:val="22"/>
          <w:lang w:val="sk-SK" w:eastAsia="de-DE" w:bidi="bo-CN"/>
        </w:rPr>
        <w:t xml:space="preserve">Úspešne pokračuje aj integrácia divízie profesionálnej vlasovej kozmetiky spoločnosti Shiseido, ktorú spoločnosť Henkel získala minulý rok, ktorá dosahuje na ázijsko-pacifických trhoch veľmi sľubné výsledky. </w:t>
      </w:r>
    </w:p>
    <w:p w14:paraId="4734E2E1" w14:textId="77777777" w:rsidR="00855E43" w:rsidRPr="00B137D2" w:rsidRDefault="00855E43" w:rsidP="00855E43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</w:p>
    <w:p w14:paraId="52F0BF95" w14:textId="77777777" w:rsidR="00855E43" w:rsidRPr="0083265F" w:rsidRDefault="00855E43" w:rsidP="00855E43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  <w:r w:rsidRPr="0083265F">
        <w:rPr>
          <w:rFonts w:cs="Segoe UI"/>
          <w:szCs w:val="22"/>
          <w:lang w:val="sk-SK" w:eastAsia="de-DE" w:bidi="bo-CN"/>
        </w:rPr>
        <w:t>Prvé opatrenia sa realizujú už aj v rámci druhej fázy integrácie, ktorú spoločnosť spustila začiatkom tohto roka a ktorá sa zameriava na optimalizáciu dodávateľského reťazca.</w:t>
      </w:r>
      <w:r w:rsidRPr="0083265F">
        <w:rPr>
          <w:rFonts w:cs="Segoe UI"/>
          <w:szCs w:val="22"/>
          <w:lang w:val="sk-SK" w:eastAsia="de-DE"/>
        </w:rPr>
        <w:t xml:space="preserve"> </w:t>
      </w:r>
      <w:r w:rsidRPr="0083265F">
        <w:rPr>
          <w:rFonts w:cs="Segoe UI"/>
          <w:szCs w:val="22"/>
          <w:lang w:val="sk-SK" w:eastAsia="de-DE" w:bidi="bo-CN"/>
        </w:rPr>
        <w:t>Jedným z nich je napríklad konsolidácia výrobných kapacít produktov vlasovej a telovej kozmetiky v Európe.</w:t>
      </w:r>
      <w:r w:rsidRPr="0083265F">
        <w:rPr>
          <w:rFonts w:cs="Segoe UI"/>
          <w:szCs w:val="22"/>
          <w:lang w:val="sk-SK" w:eastAsia="de-DE"/>
        </w:rPr>
        <w:t xml:space="preserve"> </w:t>
      </w:r>
      <w:r w:rsidRPr="0083265F">
        <w:rPr>
          <w:rFonts w:cs="Segoe UI"/>
          <w:szCs w:val="22"/>
          <w:lang w:val="sk-SK" w:eastAsia="de-DE" w:bidi="bo-CN"/>
        </w:rPr>
        <w:t>Okrem toho už spoločnosť v prvých štátoch zaviedla tzv. zásadu 1-1-1,</w:t>
      </w:r>
      <w:r w:rsidRPr="0083265F">
        <w:rPr>
          <w:rFonts w:cs="Segoe UI"/>
          <w:szCs w:val="22"/>
          <w:lang w:val="sk-SK" w:eastAsia="de-DE"/>
        </w:rPr>
        <w:t xml:space="preserve"> </w:t>
      </w:r>
      <w:r w:rsidRPr="0083265F">
        <w:rPr>
          <w:rFonts w:cs="Segoe UI"/>
          <w:szCs w:val="22"/>
          <w:lang w:val="sk-SK" w:eastAsia="de-DE" w:bidi="bo-CN"/>
        </w:rPr>
        <w:t xml:space="preserve">ktorá sa týka integrácie obchodných činností s podporou optimalizovaných logistických procesov v súlade s princípom </w:t>
      </w:r>
      <w:r w:rsidRPr="002B1E3C">
        <w:rPr>
          <w:rFonts w:cs="Segoe UI"/>
          <w:i/>
          <w:iCs/>
          <w:szCs w:val="22"/>
          <w:lang w:val="sk-SK" w:eastAsia="de-DE" w:bidi="bo-CN"/>
        </w:rPr>
        <w:t>„jedna tvár pre zákazníka“</w:t>
      </w:r>
      <w:r w:rsidRPr="0083265F">
        <w:rPr>
          <w:rFonts w:cs="Segoe UI"/>
          <w:szCs w:val="22"/>
          <w:lang w:val="sk-SK" w:eastAsia="de-DE" w:bidi="bo-CN"/>
        </w:rPr>
        <w:t>.</w:t>
      </w:r>
      <w:r w:rsidRPr="0083265F">
        <w:rPr>
          <w:rFonts w:cs="Segoe UI"/>
          <w:szCs w:val="22"/>
          <w:lang w:val="sk-SK" w:eastAsia="de-DE"/>
        </w:rPr>
        <w:t xml:space="preserve"> </w:t>
      </w:r>
      <w:r w:rsidRPr="0083265F">
        <w:rPr>
          <w:rFonts w:cs="Segoe UI"/>
          <w:szCs w:val="22"/>
          <w:lang w:val="sk-SK" w:eastAsia="de-DE" w:bidi="bo-CN"/>
        </w:rPr>
        <w:t>To znamená: jedna objednávka, jedna dodávka, jedna faktúra.</w:t>
      </w:r>
    </w:p>
    <w:p w14:paraId="78F29BE8" w14:textId="77777777" w:rsidR="00855E43" w:rsidRPr="00B137D2" w:rsidRDefault="00855E43" w:rsidP="00855E43">
      <w:pPr>
        <w:spacing w:line="240" w:lineRule="auto"/>
        <w:jc w:val="left"/>
        <w:rPr>
          <w:rFonts w:cs="Segoe UI"/>
          <w:szCs w:val="22"/>
          <w:lang w:val="sk-SK" w:eastAsia="de-DE"/>
        </w:rPr>
      </w:pPr>
    </w:p>
    <w:p w14:paraId="0E53F8E3" w14:textId="34A92574" w:rsidR="00855E43" w:rsidRPr="0083265F" w:rsidRDefault="00855E43" w:rsidP="00855E43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  <w:r w:rsidRPr="0083265F">
        <w:rPr>
          <w:rFonts w:cs="Segoe UI"/>
          <w:szCs w:val="22"/>
          <w:lang w:val="sk-SK" w:eastAsia="de-DE" w:bidi="bo-CN"/>
        </w:rPr>
        <w:t xml:space="preserve">V prvom polroku 2023 zaviedla spoločnosť Henkel v obchodnej divízii </w:t>
      </w:r>
      <w:r w:rsidRPr="0083265F">
        <w:rPr>
          <w:rFonts w:cs="Segoe UI"/>
          <w:b/>
          <w:bCs/>
          <w:szCs w:val="22"/>
          <w:lang w:val="sk-SK" w:eastAsia="de-DE" w:bidi="bo-CN"/>
        </w:rPr>
        <w:t>Adhesive Technologies</w:t>
      </w:r>
      <w:r w:rsidRPr="0083265F">
        <w:rPr>
          <w:rFonts w:cs="Segoe UI"/>
          <w:szCs w:val="22"/>
          <w:lang w:val="sk-SK" w:eastAsia="de-DE" w:bidi="bo-CN"/>
        </w:rPr>
        <w:t xml:space="preserve"> optimalizovanú organizačnú štruktúru, ktorá jej v rámci troch trhových segmentov – mobilita a letecký priemysel, obaly a spotrebný tovar a výrobky pre</w:t>
      </w:r>
      <w:r>
        <w:rPr>
          <w:rFonts w:cs="Segoe UI"/>
          <w:szCs w:val="22"/>
          <w:lang w:val="sk-SK" w:eastAsia="de-DE" w:bidi="bo-CN"/>
        </w:rPr>
        <w:t> </w:t>
      </w:r>
      <w:r w:rsidRPr="0083265F">
        <w:rPr>
          <w:rFonts w:cs="Segoe UI"/>
          <w:szCs w:val="22"/>
          <w:lang w:val="sk-SK" w:eastAsia="de-DE" w:bidi="bo-CN"/>
        </w:rPr>
        <w:t>remeselníkov, stavebníctvo a profesionálov – umožní ešte efektívnejšie využívať výhody vyplývajúce z jej veľkosti a kapacít a zároveň ju priblíži k zákazníkom a trhom.</w:t>
      </w:r>
    </w:p>
    <w:p w14:paraId="467FDBA1" w14:textId="77777777" w:rsidR="00855E43" w:rsidRPr="00B137D2" w:rsidRDefault="00855E43" w:rsidP="00855E43">
      <w:pPr>
        <w:rPr>
          <w:rFonts w:cs="Segoe UI"/>
          <w:szCs w:val="22"/>
          <w:lang w:val="sk-SK"/>
        </w:rPr>
      </w:pPr>
      <w:bookmarkStart w:id="5" w:name="_Hlk109204760"/>
    </w:p>
    <w:p w14:paraId="32198E0D" w14:textId="77777777" w:rsidR="00855E43" w:rsidRPr="0083265F" w:rsidRDefault="00855E43" w:rsidP="00855E43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  <w:bookmarkStart w:id="6" w:name="_Hlk109382178"/>
      <w:bookmarkEnd w:id="5"/>
      <w:r w:rsidRPr="0083265F">
        <w:rPr>
          <w:rFonts w:cs="Segoe UI"/>
          <w:b/>
          <w:szCs w:val="22"/>
          <w:lang w:val="sk-SK" w:bidi="bo-CN"/>
        </w:rPr>
        <w:lastRenderedPageBreak/>
        <w:t>Inovácie</w:t>
      </w:r>
      <w:r w:rsidRPr="0083265F">
        <w:rPr>
          <w:rFonts w:cs="Segoe UI"/>
          <w:bCs/>
          <w:szCs w:val="22"/>
          <w:lang w:val="sk-SK" w:bidi="bo-CN"/>
        </w:rPr>
        <w:t xml:space="preserve"> v atraktívnych trhových a podnikateľských segmentoch prispievajú k zvyšovaniu </w:t>
      </w:r>
      <w:r w:rsidRPr="0083265F">
        <w:rPr>
          <w:rFonts w:cs="Segoe UI"/>
          <w:b/>
          <w:szCs w:val="22"/>
          <w:lang w:val="sk-SK" w:bidi="bo-CN"/>
        </w:rPr>
        <w:t>konkurencieschopnosti</w:t>
      </w:r>
      <w:r w:rsidRPr="0083265F">
        <w:rPr>
          <w:rFonts w:cs="Segoe UI"/>
          <w:bCs/>
          <w:szCs w:val="22"/>
          <w:lang w:val="sk-SK" w:bidi="bo-CN"/>
        </w:rPr>
        <w:t xml:space="preserve"> spoločnosti a</w:t>
      </w:r>
      <w:r w:rsidRPr="0083265F">
        <w:rPr>
          <w:rFonts w:cs="Segoe UI"/>
          <w:bCs/>
          <w:szCs w:val="22"/>
          <w:lang w:val="sk-SK"/>
        </w:rPr>
        <w:t xml:space="preserve"> </w:t>
      </w:r>
      <w:r w:rsidRPr="0083265F">
        <w:rPr>
          <w:rFonts w:cs="Segoe UI"/>
          <w:bCs/>
          <w:szCs w:val="22"/>
          <w:lang w:val="sk-SK" w:bidi="bo-CN"/>
        </w:rPr>
        <w:t>v prvom polroku opäť prispeli k rastu obidvoch jej obchodných divízií.</w:t>
      </w:r>
      <w:r w:rsidRPr="0083265F">
        <w:rPr>
          <w:rFonts w:cs="Segoe UI"/>
          <w:bCs/>
          <w:szCs w:val="22"/>
          <w:lang w:val="sk-SK"/>
        </w:rPr>
        <w:t xml:space="preserve"> </w:t>
      </w:r>
      <w:r w:rsidRPr="0083265F">
        <w:rPr>
          <w:rFonts w:cs="Segoe UI"/>
          <w:bCs/>
          <w:szCs w:val="22"/>
          <w:lang w:val="sk-SK" w:bidi="bo-CN"/>
        </w:rPr>
        <w:t>Napríklad inovatívne riešenia divízie Adhesive Technologies, ktoré sa používajú pri výrobe elektromobilov, priniesli v prvom polroku 2023 takmer 70 % medziročné zvýšenie organického obratu.</w:t>
      </w:r>
      <w:r w:rsidRPr="0083265F">
        <w:rPr>
          <w:rFonts w:cs="Segoe UI"/>
          <w:bCs/>
          <w:szCs w:val="22"/>
          <w:lang w:val="sk-SK"/>
        </w:rPr>
        <w:t xml:space="preserve"> </w:t>
      </w:r>
      <w:r w:rsidRPr="0083265F">
        <w:rPr>
          <w:rFonts w:cs="Segoe UI"/>
          <w:bCs/>
          <w:szCs w:val="22"/>
          <w:lang w:val="sk-SK" w:bidi="bo-CN"/>
        </w:rPr>
        <w:t>Obchodná divízia Consumer Brands dosiahla so svojou značkou Persil dvojciferný organický rast obratu aj vďaka nasadeniu novej unikátnej technológie na</w:t>
      </w:r>
      <w:r>
        <w:rPr>
          <w:rFonts w:cs="Segoe UI"/>
          <w:bCs/>
          <w:szCs w:val="22"/>
          <w:lang w:val="sk-SK" w:bidi="bo-CN"/>
        </w:rPr>
        <w:t> </w:t>
      </w:r>
      <w:r w:rsidRPr="0083265F">
        <w:rPr>
          <w:rFonts w:cs="Segoe UI"/>
          <w:bCs/>
          <w:szCs w:val="22"/>
          <w:lang w:val="sk-SK" w:bidi="bo-CN"/>
        </w:rPr>
        <w:t>báze enzýmov na trhoch v 30 štátoch.</w:t>
      </w:r>
    </w:p>
    <w:bookmarkEnd w:id="6"/>
    <w:p w14:paraId="196B450B" w14:textId="77777777" w:rsidR="00855E43" w:rsidRPr="00B137D2" w:rsidRDefault="00855E43" w:rsidP="00855E43">
      <w:pPr>
        <w:autoSpaceDE w:val="0"/>
        <w:autoSpaceDN w:val="0"/>
        <w:adjustRightInd w:val="0"/>
        <w:rPr>
          <w:rFonts w:cs="Segoe UI"/>
          <w:b/>
          <w:szCs w:val="22"/>
          <w:lang w:val="sk-SK"/>
        </w:rPr>
      </w:pPr>
    </w:p>
    <w:p w14:paraId="434472F0" w14:textId="77777777" w:rsidR="00855E43" w:rsidRPr="0083265F" w:rsidRDefault="00855E43" w:rsidP="00855E43">
      <w:pPr>
        <w:rPr>
          <w:rFonts w:cs="Segoe UI"/>
          <w:szCs w:val="22"/>
          <w:lang w:val="sk-SK" w:eastAsia="de-DE"/>
        </w:rPr>
      </w:pPr>
      <w:r w:rsidRPr="0083265F">
        <w:rPr>
          <w:rFonts w:cs="Segoe UI"/>
          <w:bCs/>
          <w:szCs w:val="22"/>
          <w:lang w:val="sk-SK" w:bidi="bo-CN"/>
        </w:rPr>
        <w:t xml:space="preserve">Aj v oblasti </w:t>
      </w:r>
      <w:r w:rsidRPr="0083265F">
        <w:rPr>
          <w:rFonts w:cs="Segoe UI"/>
          <w:b/>
          <w:szCs w:val="22"/>
          <w:lang w:val="sk-SK" w:bidi="bo-CN"/>
        </w:rPr>
        <w:t xml:space="preserve">trvalej udržateľnosti </w:t>
      </w:r>
      <w:r w:rsidRPr="0083265F">
        <w:rPr>
          <w:rFonts w:cs="Segoe UI"/>
          <w:bCs/>
          <w:szCs w:val="22"/>
          <w:lang w:val="sk-SK" w:bidi="bo-CN"/>
        </w:rPr>
        <w:t>sa podarilo spoločnosti Henkel dosiahnuť ďalší pokrok.</w:t>
      </w:r>
      <w:r w:rsidRPr="0083265F">
        <w:rPr>
          <w:rFonts w:cs="Segoe UI"/>
          <w:bCs/>
          <w:szCs w:val="22"/>
          <w:lang w:val="sk-SK"/>
        </w:rPr>
        <w:t xml:space="preserve"> </w:t>
      </w:r>
      <w:r w:rsidRPr="0083265F">
        <w:rPr>
          <w:rFonts w:cs="Segoe UI"/>
          <w:bCs/>
          <w:szCs w:val="22"/>
          <w:lang w:val="sk-SK" w:bidi="bo-CN"/>
        </w:rPr>
        <w:t>V rámci plnenia cieľa dosiahnuť do roku 2030 klimaticky pozitívnu uhlíkovú stopu výrobných prevádzok prešlo v prvom polroku 2023 ďalších desať výrobných závodov spoločnosti Henkel na výrobu s neutrálnymi emisiami CO</w:t>
      </w:r>
      <w:r w:rsidRPr="0083265F">
        <w:rPr>
          <w:rFonts w:cs="Segoe UI"/>
          <w:bCs/>
          <w:szCs w:val="22"/>
          <w:vertAlign w:val="subscript"/>
          <w:lang w:val="sk-SK" w:bidi="bo-CN"/>
        </w:rPr>
        <w:t>2</w:t>
      </w:r>
      <w:r w:rsidRPr="0083265F">
        <w:rPr>
          <w:rFonts w:cs="Segoe UI"/>
          <w:bCs/>
          <w:szCs w:val="22"/>
          <w:lang w:val="sk-SK" w:bidi="bo-CN"/>
        </w:rPr>
        <w:t>.</w:t>
      </w:r>
      <w:r w:rsidRPr="0083265F">
        <w:rPr>
          <w:rFonts w:cs="Segoe UI"/>
          <w:bCs/>
          <w:szCs w:val="22"/>
          <w:lang w:val="sk-SK"/>
        </w:rPr>
        <w:t xml:space="preserve"> </w:t>
      </w:r>
      <w:r w:rsidRPr="0083265F">
        <w:rPr>
          <w:rFonts w:cs="Segoe UI"/>
          <w:bCs/>
          <w:szCs w:val="22"/>
          <w:lang w:val="sk-SK" w:bidi="bo-CN"/>
        </w:rPr>
        <w:t xml:space="preserve">Spoločnosť Henkel napreduje s realizáciou dôležitých iniciatív aj v oblasti </w:t>
      </w:r>
      <w:r w:rsidRPr="0083265F">
        <w:rPr>
          <w:rFonts w:cs="Segoe UI"/>
          <w:b/>
          <w:szCs w:val="22"/>
          <w:lang w:val="sk-SK" w:bidi="bo-CN"/>
        </w:rPr>
        <w:t>digitalizácie</w:t>
      </w:r>
      <w:r w:rsidRPr="0083265F">
        <w:rPr>
          <w:rFonts w:cs="Segoe UI"/>
          <w:bCs/>
          <w:szCs w:val="22"/>
          <w:lang w:val="sk-SK" w:bidi="bo-CN"/>
        </w:rPr>
        <w:t>,</w:t>
      </w:r>
      <w:r w:rsidRPr="0083265F">
        <w:rPr>
          <w:rFonts w:cs="Segoe UI"/>
          <w:bCs/>
          <w:szCs w:val="22"/>
          <w:lang w:val="sk-SK"/>
        </w:rPr>
        <w:t xml:space="preserve"> </w:t>
      </w:r>
      <w:r w:rsidRPr="0083265F">
        <w:rPr>
          <w:rFonts w:cs="Segoe UI"/>
          <w:bCs/>
          <w:szCs w:val="22"/>
          <w:lang w:val="sk-SK" w:bidi="bo-CN"/>
        </w:rPr>
        <w:t>pri ktorej zohráva stále významnejšiu úlohu využívanie umelej inteligencie.</w:t>
      </w:r>
    </w:p>
    <w:p w14:paraId="33FA4704" w14:textId="77777777" w:rsidR="00855E43" w:rsidRPr="00B137D2" w:rsidRDefault="00855E43" w:rsidP="00855E43">
      <w:pPr>
        <w:rPr>
          <w:rFonts w:cs="Segoe UI"/>
          <w:szCs w:val="22"/>
          <w:lang w:val="sk-SK" w:eastAsia="de-DE"/>
        </w:rPr>
      </w:pPr>
      <w:bookmarkStart w:id="7" w:name="_Hlk109211145"/>
    </w:p>
    <w:p w14:paraId="03D40B48" w14:textId="227CC232" w:rsidR="00385185" w:rsidRPr="00003D3C" w:rsidRDefault="00855E43" w:rsidP="00643D8A">
      <w:pPr>
        <w:rPr>
          <w:rFonts w:cs="Segoe UI"/>
          <w:i/>
          <w:iCs/>
          <w:szCs w:val="22"/>
          <w:lang w:val="sk-SK" w:eastAsia="de-DE"/>
        </w:rPr>
      </w:pPr>
      <w:r w:rsidRPr="00003D3C">
        <w:rPr>
          <w:rFonts w:cs="Segoe UI"/>
          <w:i/>
          <w:iCs/>
          <w:szCs w:val="22"/>
          <w:lang w:val="sk-SK" w:eastAsia="de-DE" w:bidi="bo-CN"/>
        </w:rPr>
        <w:t>„Celkovo sme hrdí na úspešné obchodné výsledky, ktoré sme v prvom polroku dosiahli, a na pokrok v implementácii našej strategickej agendy, a to aj napriek pretrvávajúcim ťažkostiam v ekonomickom prostredí,“ povedal Carsten Knobel.</w:t>
      </w:r>
      <w:r w:rsidRPr="00003D3C">
        <w:rPr>
          <w:rFonts w:cs="Segoe UI"/>
          <w:i/>
          <w:iCs/>
          <w:szCs w:val="22"/>
          <w:lang w:val="sk-SK" w:eastAsia="de-DE"/>
        </w:rPr>
        <w:t xml:space="preserve"> </w:t>
      </w:r>
      <w:r w:rsidRPr="00003D3C">
        <w:rPr>
          <w:rFonts w:cs="Segoe UI"/>
          <w:i/>
          <w:iCs/>
          <w:szCs w:val="22"/>
          <w:lang w:val="sk-SK" w:eastAsia="de-DE" w:bidi="bo-CN"/>
        </w:rPr>
        <w:t>„Sme hlboko presvedčení, že sa nám podarí úspešne formovať budúcnosť spoločnosti Henkel.</w:t>
      </w:r>
      <w:r w:rsidRPr="00003D3C">
        <w:rPr>
          <w:rFonts w:cs="Segoe UI"/>
          <w:i/>
          <w:iCs/>
          <w:szCs w:val="22"/>
          <w:lang w:val="sk-SK" w:eastAsia="de-DE"/>
        </w:rPr>
        <w:t xml:space="preserve"> </w:t>
      </w:r>
      <w:r w:rsidRPr="00003D3C">
        <w:rPr>
          <w:rFonts w:cs="Segoe UI"/>
          <w:i/>
          <w:iCs/>
          <w:szCs w:val="22"/>
          <w:lang w:val="sk-SK" w:eastAsia="de-DE" w:bidi="bo-CN"/>
        </w:rPr>
        <w:t>Spoločne ako vysoko motivovaný tím, na základe silnej firemnej kultúry a s jasnou stratégiou rastu.</w:t>
      </w:r>
      <w:r w:rsidRPr="00003D3C">
        <w:rPr>
          <w:rFonts w:cs="Segoe UI"/>
          <w:i/>
          <w:iCs/>
          <w:szCs w:val="22"/>
          <w:lang w:val="sk-SK" w:eastAsia="de-DE"/>
        </w:rPr>
        <w:t xml:space="preserve"> </w:t>
      </w:r>
      <w:r w:rsidRPr="00003D3C">
        <w:rPr>
          <w:rFonts w:cs="Segoe UI"/>
          <w:i/>
          <w:iCs/>
          <w:szCs w:val="22"/>
          <w:lang w:val="sk-SK" w:eastAsia="de-DE" w:bidi="bo-CN"/>
        </w:rPr>
        <w:t>S našou divíziou Adhesive Technologies sme globálnym lídrom, ktorý ponúka inovatívne riešenia jednoznačne zmerané na budúce trendy ako mobilita, konektivita a udržateľnosť.</w:t>
      </w:r>
      <w:r w:rsidRPr="00003D3C">
        <w:rPr>
          <w:rFonts w:cs="Segoe UI"/>
          <w:i/>
          <w:iCs/>
          <w:szCs w:val="22"/>
          <w:lang w:val="sk-SK" w:eastAsia="de-DE"/>
        </w:rPr>
        <w:t xml:space="preserve"> </w:t>
      </w:r>
      <w:r w:rsidRPr="00003D3C">
        <w:rPr>
          <w:rFonts w:cs="Segoe UI"/>
          <w:i/>
          <w:iCs/>
          <w:szCs w:val="22"/>
          <w:lang w:val="sk-SK" w:eastAsia="de-DE" w:bidi="bo-CN"/>
        </w:rPr>
        <w:t>A v podobe novej obchodnej divízie Consumer Brands sme položili základy ďalšieho profitabilného rastu v našich spotrebiteľských segmentoch.“</w:t>
      </w:r>
      <w:bookmarkEnd w:id="7"/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77777777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materiálmi, tmelmi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Consumer Brands sa drží na popredných miestach na mnohých svetových trhoch predovšetkým v segmentoch vlasovej kozmetiky a pracích a čistiacich prostriedkov pre domácnosť.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Medzi tri najsilnejšie značky spoločnosti patria Loctite, Persil a Schwarzkopf.</w:t>
      </w:r>
      <w:r w:rsidRPr="00B71239">
        <w:rPr>
          <w:rStyle w:val="AboutandContactBody"/>
          <w:lang w:val="sk-SK"/>
        </w:rPr>
        <w:t xml:space="preserve"> </w:t>
      </w:r>
      <w:r w:rsidRPr="00003D3C">
        <w:rPr>
          <w:rStyle w:val="AboutandContactBody"/>
          <w:lang w:val="sk-SK" w:bidi="bo-CN"/>
        </w:rPr>
        <w:t>Vo finančnom roku 2022 vykázala spoločnosť Henkel obrat vo výške viac než 22 mld. eur a upravený prevádzkový zisk približne vo výške 2,3 mld. eur.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Zuzana Kaňuchová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Riaditeľka korporátnej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="00B71239"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65F8" w14:textId="77777777" w:rsidR="00204A5C" w:rsidRDefault="00204A5C">
      <w:r>
        <w:separator/>
      </w:r>
    </w:p>
  </w:endnote>
  <w:endnote w:type="continuationSeparator" w:id="0">
    <w:p w14:paraId="436F11FD" w14:textId="77777777" w:rsidR="00204A5C" w:rsidRDefault="00204A5C">
      <w:r>
        <w:continuationSeparator/>
      </w:r>
    </w:p>
  </w:endnote>
  <w:endnote w:type="continuationNotice" w:id="1">
    <w:p w14:paraId="2875AE98" w14:textId="77777777" w:rsidR="00204A5C" w:rsidRDefault="00204A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5B35" w14:textId="77777777" w:rsidR="00204A5C" w:rsidRDefault="00204A5C">
      <w:r>
        <w:separator/>
      </w:r>
    </w:p>
  </w:footnote>
  <w:footnote w:type="continuationSeparator" w:id="0">
    <w:p w14:paraId="5AC99D6D" w14:textId="77777777" w:rsidR="00204A5C" w:rsidRDefault="00204A5C">
      <w:r>
        <w:continuationSeparator/>
      </w:r>
    </w:p>
  </w:footnote>
  <w:footnote w:type="continuationNotice" w:id="1">
    <w:p w14:paraId="0D06BC73" w14:textId="77777777" w:rsidR="00204A5C" w:rsidRDefault="00204A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4B6752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6"/>
  </w:num>
  <w:num w:numId="4" w16cid:durableId="1658344630">
    <w:abstractNumId w:val="14"/>
  </w:num>
  <w:num w:numId="5" w16cid:durableId="2132553883">
    <w:abstractNumId w:val="12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9925884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D3C"/>
    <w:rsid w:val="00005267"/>
    <w:rsid w:val="00006346"/>
    <w:rsid w:val="00021C67"/>
    <w:rsid w:val="00030557"/>
    <w:rsid w:val="00030F51"/>
    <w:rsid w:val="00035A84"/>
    <w:rsid w:val="00040CC9"/>
    <w:rsid w:val="00047DF2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831"/>
    <w:rsid w:val="000E2E7C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1E3C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03304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4209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FF5"/>
    <w:rsid w:val="007507B5"/>
    <w:rsid w:val="0075091D"/>
    <w:rsid w:val="00753A24"/>
    <w:rsid w:val="0075720A"/>
    <w:rsid w:val="00767055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290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5E43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26B7"/>
    <w:rsid w:val="008F4D2F"/>
    <w:rsid w:val="009047C6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B626C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05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6E54"/>
    <w:rsid w:val="00F8309B"/>
    <w:rsid w:val="00F833C9"/>
    <w:rsid w:val="00F87A63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34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28EF3-5EA4-4261-A478-5AF0D5323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1101</TotalTime>
  <Pages>7</Pages>
  <Words>2161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20</cp:revision>
  <cp:lastPrinted>2016-11-16T01:11:00Z</cp:lastPrinted>
  <dcterms:created xsi:type="dcterms:W3CDTF">2023-08-01T23:38:00Z</dcterms:created>
  <dcterms:modified xsi:type="dcterms:W3CDTF">2023-08-18T05:34:00Z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