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0B5C86" w:rsidRDefault="004C034F" w:rsidP="00E41377">
      <w:pPr>
        <w:pStyle w:val="MonthDayYear"/>
        <w:tabs>
          <w:tab w:val="left" w:pos="7513"/>
        </w:tabs>
        <w:jc w:val="left"/>
        <w:rPr>
          <w:lang w:val="nl-NL"/>
        </w:rPr>
      </w:pPr>
    </w:p>
    <w:p w14:paraId="55D5E39A" w14:textId="6C7BADFD" w:rsidR="00B422EC" w:rsidRPr="000B5C86" w:rsidRDefault="004423B1" w:rsidP="00011093">
      <w:pPr>
        <w:pStyle w:val="MonthDayYear"/>
        <w:tabs>
          <w:tab w:val="left" w:pos="7513"/>
        </w:tabs>
        <w:ind w:left="7200"/>
        <w:rPr>
          <w:lang w:val="nl-NL"/>
        </w:rPr>
      </w:pPr>
      <w:r w:rsidRPr="000B5C86">
        <w:rPr>
          <w:lang w:val="nl-NL"/>
        </w:rPr>
        <w:t>1</w:t>
      </w:r>
      <w:r w:rsidR="00A16FC1" w:rsidRPr="000B5C86">
        <w:rPr>
          <w:lang w:val="nl-NL"/>
        </w:rPr>
        <w:t>5</w:t>
      </w:r>
      <w:r w:rsidR="00011093" w:rsidRPr="000B5C86">
        <w:rPr>
          <w:lang w:val="nl-NL"/>
        </w:rPr>
        <w:t xml:space="preserve"> augustus</w:t>
      </w:r>
      <w:r w:rsidR="00BF6E82" w:rsidRPr="000B5C86">
        <w:rPr>
          <w:lang w:val="nl-NL"/>
        </w:rPr>
        <w:t xml:space="preserve"> 20</w:t>
      </w:r>
      <w:r w:rsidR="00F635FC" w:rsidRPr="000B5C86">
        <w:rPr>
          <w:lang w:val="nl-NL"/>
        </w:rPr>
        <w:t>2</w:t>
      </w:r>
      <w:r w:rsidR="0001450F" w:rsidRPr="000B5C86">
        <w:rPr>
          <w:lang w:val="nl-NL"/>
        </w:rPr>
        <w:t>2</w:t>
      </w:r>
    </w:p>
    <w:p w14:paraId="09896324" w14:textId="52D947A9" w:rsidR="007F0F63" w:rsidRPr="000B5C86" w:rsidRDefault="009557B5" w:rsidP="00635616">
      <w:pPr>
        <w:pStyle w:val="Topline"/>
        <w:spacing w:after="360"/>
        <w:rPr>
          <w:rFonts w:asciiTheme="majorHAnsi" w:hAnsiTheme="majorHAnsi" w:cstheme="majorHAnsi"/>
          <w:lang w:val="nl-NL"/>
        </w:rPr>
      </w:pPr>
      <w:r w:rsidRPr="000B5C86">
        <w:rPr>
          <w:rFonts w:asciiTheme="majorHAnsi" w:hAnsiTheme="majorHAnsi" w:cstheme="majorHAnsi"/>
          <w:lang w:val="nl-NL"/>
        </w:rPr>
        <w:t>Henkel rapporteert halfjaarresultaten</w:t>
      </w:r>
    </w:p>
    <w:p w14:paraId="6706FA18" w14:textId="5D93D890" w:rsidR="00852511" w:rsidRPr="000B5C86" w:rsidRDefault="007316BE" w:rsidP="00365E44">
      <w:pPr>
        <w:rPr>
          <w:rStyle w:val="Headline"/>
          <w:rFonts w:asciiTheme="majorHAnsi" w:hAnsiTheme="majorHAnsi" w:cstheme="majorHAnsi"/>
          <w:lang w:val="nl-NL"/>
        </w:rPr>
      </w:pPr>
      <w:r w:rsidRPr="000B5C86">
        <w:rPr>
          <w:rStyle w:val="Headline"/>
          <w:rFonts w:asciiTheme="majorHAnsi" w:hAnsiTheme="majorHAnsi" w:cstheme="majorHAnsi"/>
          <w:lang w:val="nl-NL"/>
        </w:rPr>
        <w:t xml:space="preserve">Henkel verhoogt omzet aanzienlijk, </w:t>
      </w:r>
      <w:r w:rsidRPr="000B5C86">
        <w:rPr>
          <w:rStyle w:val="Headline"/>
          <w:rFonts w:asciiTheme="majorHAnsi" w:hAnsiTheme="majorHAnsi" w:cstheme="majorHAnsi"/>
          <w:lang w:val="nl-NL"/>
        </w:rPr>
        <w:t>zet</w:t>
      </w:r>
      <w:r w:rsidRPr="000B5C86">
        <w:rPr>
          <w:rStyle w:val="Headline"/>
          <w:rFonts w:asciiTheme="majorHAnsi" w:hAnsiTheme="majorHAnsi" w:cstheme="majorHAnsi"/>
          <w:lang w:val="nl-NL"/>
        </w:rPr>
        <w:t xml:space="preserve"> strategische agenda </w:t>
      </w:r>
      <w:r w:rsidRPr="000B5C86">
        <w:rPr>
          <w:rStyle w:val="Headline"/>
          <w:rFonts w:asciiTheme="majorHAnsi" w:hAnsiTheme="majorHAnsi" w:cstheme="majorHAnsi"/>
          <w:lang w:val="nl-NL"/>
        </w:rPr>
        <w:t>door</w:t>
      </w:r>
      <w:r w:rsidRPr="000B5C86">
        <w:rPr>
          <w:rStyle w:val="Headline"/>
          <w:rFonts w:asciiTheme="majorHAnsi" w:hAnsiTheme="majorHAnsi" w:cstheme="majorHAnsi"/>
          <w:lang w:val="nl-NL"/>
        </w:rPr>
        <w:t xml:space="preserve"> en verhoogt omzetverwachting voor 2022</w:t>
      </w:r>
    </w:p>
    <w:p w14:paraId="3B02B09B" w14:textId="77777777" w:rsidR="007316BE" w:rsidRPr="000B5C86" w:rsidRDefault="007316BE" w:rsidP="00365E44">
      <w:pPr>
        <w:rPr>
          <w:lang w:val="nl-NL"/>
        </w:rPr>
      </w:pPr>
    </w:p>
    <w:p w14:paraId="1AAEAB78" w14:textId="20C308CF" w:rsidR="006D02E4" w:rsidRPr="000B5C86" w:rsidRDefault="006D02E4" w:rsidP="006D02E4">
      <w:pPr>
        <w:pStyle w:val="Lijstalinea"/>
        <w:numPr>
          <w:ilvl w:val="0"/>
          <w:numId w:val="7"/>
        </w:numPr>
        <w:spacing w:after="80" w:line="266" w:lineRule="auto"/>
        <w:ind w:right="-108"/>
        <w:jc w:val="left"/>
        <w:rPr>
          <w:rFonts w:asciiTheme="majorHAnsi" w:hAnsiTheme="majorHAnsi" w:cstheme="majorHAnsi"/>
          <w:b/>
          <w:szCs w:val="22"/>
          <w:lang w:val="nl-NL"/>
        </w:rPr>
      </w:pPr>
      <w:bookmarkStart w:id="0" w:name="_Hlk43712519"/>
      <w:r w:rsidRPr="000B5C86">
        <w:rPr>
          <w:rFonts w:asciiTheme="majorHAnsi" w:hAnsiTheme="majorHAnsi" w:cstheme="majorHAnsi"/>
          <w:b/>
          <w:szCs w:val="22"/>
          <w:lang w:val="nl-NL"/>
        </w:rPr>
        <w:t>De groepsomzet in de eerste helft van 2022 steeg autonoom met +8,9 procent tot ongeveer 10,9 miljard euro (nominaal +9,9 procent), aangedreven door alle business units en regio's</w:t>
      </w:r>
    </w:p>
    <w:p w14:paraId="39F4D424" w14:textId="423F157E" w:rsidR="006D02E4" w:rsidRPr="000B5C86" w:rsidRDefault="006D02E4" w:rsidP="006D02E4">
      <w:pPr>
        <w:pStyle w:val="Lijstalinea"/>
        <w:numPr>
          <w:ilvl w:val="0"/>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 xml:space="preserve">Resultaten zoals verwacht beïnvloed door drastische </w:t>
      </w:r>
      <w:r w:rsidR="00BD2E09" w:rsidRPr="000B5C86">
        <w:rPr>
          <w:rFonts w:asciiTheme="majorHAnsi" w:hAnsiTheme="majorHAnsi" w:cstheme="majorHAnsi"/>
          <w:b/>
          <w:szCs w:val="22"/>
          <w:lang w:val="nl-NL"/>
        </w:rPr>
        <w:t xml:space="preserve">tegenwind </w:t>
      </w:r>
      <w:r w:rsidRPr="000B5C86">
        <w:rPr>
          <w:rFonts w:asciiTheme="majorHAnsi" w:hAnsiTheme="majorHAnsi" w:cstheme="majorHAnsi"/>
          <w:b/>
          <w:szCs w:val="22"/>
          <w:lang w:val="nl-NL"/>
        </w:rPr>
        <w:t>inputkosten:</w:t>
      </w:r>
    </w:p>
    <w:p w14:paraId="184653C0" w14:textId="77777777" w:rsidR="00585326" w:rsidRPr="000B5C86" w:rsidRDefault="006D02E4" w:rsidP="00585326">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Bedrijfsresultaat (EBIT)* komt uit op 1.166 miljoen euro (-18,5%)</w:t>
      </w:r>
    </w:p>
    <w:p w14:paraId="68D3846F" w14:textId="77777777" w:rsidR="00585326" w:rsidRPr="000B5C86" w:rsidRDefault="006D02E4" w:rsidP="00585326">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EBIT-marge* bedraagt 10,7% (-370 basispunten)</w:t>
      </w:r>
    </w:p>
    <w:p w14:paraId="74EEB260" w14:textId="05BAC2E5" w:rsidR="006D02E4" w:rsidRPr="000B5C86" w:rsidRDefault="006D02E4" w:rsidP="00585326">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Winst per preferent aandeel (EPS)* van 1,95 euro, -20,8% bij constante wisselkoersen</w:t>
      </w:r>
    </w:p>
    <w:p w14:paraId="043DF9CA" w14:textId="0592132E" w:rsidR="006D02E4" w:rsidRPr="000B5C86" w:rsidRDefault="006D02E4" w:rsidP="006D02E4">
      <w:pPr>
        <w:pStyle w:val="Lijstalinea"/>
        <w:numPr>
          <w:ilvl w:val="0"/>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 xml:space="preserve">Goede vooruitgang bij de </w:t>
      </w:r>
      <w:r w:rsidR="005B1645" w:rsidRPr="000B5C86">
        <w:rPr>
          <w:rFonts w:asciiTheme="majorHAnsi" w:hAnsiTheme="majorHAnsi" w:cstheme="majorHAnsi"/>
          <w:b/>
          <w:szCs w:val="22"/>
          <w:lang w:val="nl-NL"/>
        </w:rPr>
        <w:t xml:space="preserve">implementatie </w:t>
      </w:r>
      <w:r w:rsidRPr="000B5C86">
        <w:rPr>
          <w:rFonts w:asciiTheme="majorHAnsi" w:hAnsiTheme="majorHAnsi" w:cstheme="majorHAnsi"/>
          <w:b/>
          <w:szCs w:val="22"/>
          <w:lang w:val="nl-NL"/>
        </w:rPr>
        <w:t xml:space="preserve">van de agenda voor </w:t>
      </w:r>
      <w:r w:rsidR="00FF2269" w:rsidRPr="000B5C86">
        <w:rPr>
          <w:rFonts w:asciiTheme="majorHAnsi" w:hAnsiTheme="majorHAnsi" w:cstheme="majorHAnsi"/>
          <w:b/>
          <w:szCs w:val="22"/>
          <w:lang w:val="nl-NL"/>
        </w:rPr>
        <w:t>D</w:t>
      </w:r>
      <w:r w:rsidRPr="000B5C86">
        <w:rPr>
          <w:rFonts w:asciiTheme="majorHAnsi" w:hAnsiTheme="majorHAnsi" w:cstheme="majorHAnsi"/>
          <w:b/>
          <w:szCs w:val="22"/>
          <w:lang w:val="nl-NL"/>
        </w:rPr>
        <w:t xml:space="preserve">oelgerichte </w:t>
      </w:r>
      <w:r w:rsidR="00FF2269" w:rsidRPr="000B5C86">
        <w:rPr>
          <w:rFonts w:asciiTheme="majorHAnsi" w:hAnsiTheme="majorHAnsi" w:cstheme="majorHAnsi"/>
          <w:b/>
          <w:szCs w:val="22"/>
          <w:lang w:val="nl-NL"/>
        </w:rPr>
        <w:t>G</w:t>
      </w:r>
      <w:r w:rsidRPr="000B5C86">
        <w:rPr>
          <w:rFonts w:asciiTheme="majorHAnsi" w:hAnsiTheme="majorHAnsi" w:cstheme="majorHAnsi"/>
          <w:b/>
          <w:szCs w:val="22"/>
          <w:lang w:val="nl-NL"/>
        </w:rPr>
        <w:t>roei en bij het samenvoegen van de consumentenactiviteiten tot Henkel Consumer Brands</w:t>
      </w:r>
    </w:p>
    <w:p w14:paraId="07BD0841" w14:textId="27F3561E" w:rsidR="00CC0802" w:rsidRPr="000B5C86" w:rsidRDefault="006D02E4" w:rsidP="00CC0802">
      <w:pPr>
        <w:pStyle w:val="Lijstalinea"/>
        <w:numPr>
          <w:ilvl w:val="0"/>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Vooruitzichten voor boekjaar 2022 ge</w:t>
      </w:r>
      <w:r w:rsidR="00143759" w:rsidRPr="000B5C86">
        <w:rPr>
          <w:rFonts w:asciiTheme="majorHAnsi" w:hAnsiTheme="majorHAnsi" w:cstheme="majorHAnsi"/>
          <w:b/>
          <w:szCs w:val="22"/>
          <w:lang w:val="nl-NL"/>
        </w:rPr>
        <w:t>üpdatet</w:t>
      </w:r>
      <w:r w:rsidRPr="000B5C86">
        <w:rPr>
          <w:rFonts w:asciiTheme="majorHAnsi" w:hAnsiTheme="majorHAnsi" w:cstheme="majorHAnsi"/>
          <w:b/>
          <w:szCs w:val="22"/>
          <w:lang w:val="nl-NL"/>
        </w:rPr>
        <w:t xml:space="preserve">: </w:t>
      </w:r>
    </w:p>
    <w:p w14:paraId="116B0992" w14:textId="77777777" w:rsidR="00CC0802" w:rsidRPr="000B5C86" w:rsidRDefault="006D02E4" w:rsidP="00CC0802">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Organische omzetgroei: gestegen naar +4,5 tot +6,5 procent</w:t>
      </w:r>
    </w:p>
    <w:p w14:paraId="51F54D66" w14:textId="77777777" w:rsidR="00CC0802" w:rsidRPr="000B5C86" w:rsidRDefault="006D02E4" w:rsidP="00CC0802">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EBIT-marge*: ongewijzigd op 9,0 tot 11,0 procent</w:t>
      </w:r>
    </w:p>
    <w:p w14:paraId="319D8E9D" w14:textId="0260ADB9" w:rsidR="006D02E4" w:rsidRPr="000B5C86" w:rsidRDefault="006D02E4" w:rsidP="00CC0802">
      <w:pPr>
        <w:pStyle w:val="Lijstalinea"/>
        <w:numPr>
          <w:ilvl w:val="1"/>
          <w:numId w:val="7"/>
        </w:numPr>
        <w:spacing w:after="80" w:line="266" w:lineRule="auto"/>
        <w:ind w:right="-108"/>
        <w:jc w:val="left"/>
        <w:rPr>
          <w:rFonts w:asciiTheme="majorHAnsi" w:hAnsiTheme="majorHAnsi" w:cstheme="majorHAnsi"/>
          <w:b/>
          <w:szCs w:val="22"/>
          <w:lang w:val="nl-NL"/>
        </w:rPr>
      </w:pPr>
      <w:r w:rsidRPr="000B5C86">
        <w:rPr>
          <w:rFonts w:asciiTheme="majorHAnsi" w:hAnsiTheme="majorHAnsi" w:cstheme="majorHAnsi"/>
          <w:b/>
          <w:szCs w:val="22"/>
          <w:lang w:val="nl-NL"/>
        </w:rPr>
        <w:t>Winst per preferent aandeel (EPS)* bij constante wisselkoersen: onveranderd een daling tussen -35 en -15 procent</w:t>
      </w:r>
    </w:p>
    <w:p w14:paraId="2F609B08" w14:textId="77777777" w:rsidR="000A23CD" w:rsidRPr="000B5C86" w:rsidRDefault="000A23CD" w:rsidP="00D56358">
      <w:pPr>
        <w:rPr>
          <w:rFonts w:cs="Segoe UI"/>
          <w:b/>
          <w:bCs/>
          <w:szCs w:val="22"/>
          <w:lang w:val="nl-NL"/>
        </w:rPr>
      </w:pPr>
    </w:p>
    <w:bookmarkEnd w:id="0"/>
    <w:p w14:paraId="7B6381C0" w14:textId="19732D9F" w:rsidR="001A211A" w:rsidRPr="000B5C86" w:rsidRDefault="001A211A" w:rsidP="001A211A">
      <w:pPr>
        <w:rPr>
          <w:rFonts w:cs="Segoe UI"/>
          <w:b/>
          <w:bCs/>
          <w:szCs w:val="22"/>
          <w:lang w:val="nl-NL"/>
        </w:rPr>
      </w:pPr>
      <w:r w:rsidRPr="000B5C86">
        <w:rPr>
          <w:rFonts w:cs="Segoe UI"/>
          <w:b/>
          <w:bCs/>
          <w:szCs w:val="22"/>
          <w:lang w:val="nl-NL"/>
        </w:rPr>
        <w:t xml:space="preserve">Düsseldorf - In de eerste helft van 2022 heeft Henkel de </w:t>
      </w:r>
      <w:r w:rsidRPr="000B5C86">
        <w:rPr>
          <w:rFonts w:cs="Segoe UI"/>
          <w:b/>
          <w:bCs/>
          <w:szCs w:val="22"/>
          <w:lang w:val="nl-NL"/>
        </w:rPr>
        <w:t>g</w:t>
      </w:r>
      <w:r w:rsidRPr="000B5C86">
        <w:rPr>
          <w:rFonts w:cs="Segoe UI"/>
          <w:b/>
          <w:bCs/>
          <w:szCs w:val="22"/>
          <w:lang w:val="nl-NL"/>
        </w:rPr>
        <w:t>roepsomzet verhoogd tot ongeveer 10,9 miljard euro. Dit komt overeen met een aanzienlijke organische omzetgroei van +8,9 procent. Deze positieve ontwikkeling werd aangedreven door alle business units en regio's. Zoals verwacht werden de resultaten in de eerste helft van het jaar beïnvloed door de drastische stijging van de materiaal- en logistieke prijzen. Ondanks aanzienlijke prijsverhogingen, een strikt kostenbeheer en verdere efficiëntieverbeteringen konden deze effecten niet volledig worden gecompenseerd.</w:t>
      </w:r>
    </w:p>
    <w:p w14:paraId="11EE4C23" w14:textId="72A9F823" w:rsidR="00503620" w:rsidRPr="000B5C86" w:rsidRDefault="00330612" w:rsidP="00DA4D27">
      <w:pPr>
        <w:rPr>
          <w:rFonts w:cs="Segoe UI"/>
          <w:b/>
          <w:bCs/>
          <w:szCs w:val="22"/>
          <w:lang w:val="nl-NL"/>
        </w:rPr>
      </w:pPr>
      <w:r w:rsidRPr="000B5C86">
        <w:rPr>
          <w:rFonts w:asciiTheme="majorHAnsi" w:hAnsiTheme="majorHAnsi" w:cstheme="majorHAnsi"/>
          <w:sz w:val="24"/>
          <w:lang w:val="nl-NL"/>
        </w:rPr>
        <mc:AlternateContent>
          <mc:Choice Requires="wps">
            <w:drawing>
              <wp:anchor distT="45720" distB="45720" distL="114300" distR="114300" simplePos="0" relativeHeight="251661312" behindDoc="0" locked="0" layoutInCell="1" allowOverlap="1" wp14:anchorId="47DC80B1" wp14:editId="76EABE90">
                <wp:simplePos x="0" y="0"/>
                <wp:positionH relativeFrom="margin">
                  <wp:posOffset>-60960</wp:posOffset>
                </wp:positionH>
                <wp:positionV relativeFrom="paragraph">
                  <wp:posOffset>87968</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53259F71" w:rsidR="0001002C" w:rsidRPr="00330612" w:rsidRDefault="0001002C" w:rsidP="00044E68">
                            <w:pPr>
                              <w:autoSpaceDE w:val="0"/>
                              <w:autoSpaceDN w:val="0"/>
                              <w:adjustRightInd w:val="0"/>
                              <w:spacing w:after="60" w:line="240" w:lineRule="auto"/>
                              <w:rPr>
                                <w:sz w:val="16"/>
                                <w:szCs w:val="16"/>
                                <w:lang w:val="nl-BE"/>
                              </w:rPr>
                            </w:pPr>
                            <w:r w:rsidRPr="00330612">
                              <w:rPr>
                                <w:sz w:val="16"/>
                                <w:szCs w:val="16"/>
                                <w:lang w:val="nl-BE"/>
                              </w:rPr>
                              <w:t xml:space="preserve">* </w:t>
                            </w:r>
                            <w:r w:rsidR="00330612" w:rsidRPr="00330612">
                              <w:rPr>
                                <w:rFonts w:ascii="SegoeUI" w:hAnsi="SegoeUI" w:cs="SegoeUI"/>
                                <w:sz w:val="16"/>
                                <w:szCs w:val="16"/>
                                <w:lang w:val="nl-BE"/>
                              </w:rPr>
                              <w:t>Aangepast voor eenmalige kosten en opbrengsten, en voor herstructureringskosten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left:0;text-align:left;margin-left:-4.8pt;margin-top:6.95pt;width:423.25pt;height:2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" stroked="f">
                <v:textbox>
                  <w:txbxContent>
                    <w:p w14:paraId="384D2642" w14:textId="53259F71" w:rsidR="0001002C" w:rsidRPr="00330612" w:rsidRDefault="0001002C" w:rsidP="00044E68">
                      <w:pPr>
                        <w:autoSpaceDE w:val="0"/>
                        <w:autoSpaceDN w:val="0"/>
                        <w:adjustRightInd w:val="0"/>
                        <w:spacing w:after="60" w:line="240" w:lineRule="auto"/>
                        <w:rPr>
                          <w:sz w:val="16"/>
                          <w:szCs w:val="16"/>
                          <w:lang w:val="nl-BE"/>
                        </w:rPr>
                      </w:pPr>
                      <w:r w:rsidRPr="00330612">
                        <w:rPr>
                          <w:sz w:val="16"/>
                          <w:szCs w:val="16"/>
                          <w:lang w:val="nl-BE"/>
                        </w:rPr>
                        <w:t xml:space="preserve">* </w:t>
                      </w:r>
                      <w:r w:rsidR="00330612" w:rsidRPr="00330612">
                        <w:rPr>
                          <w:rFonts w:ascii="SegoeUI" w:hAnsi="SegoeUI" w:cs="SegoeUI"/>
                          <w:sz w:val="16"/>
                          <w:szCs w:val="16"/>
                          <w:lang w:val="nl-BE"/>
                        </w:rPr>
                        <w:t>Aangepast voor eenmalige kosten en opbrengsten, en voor herstructureringskosten</w:t>
                      </w:r>
                    </w:p>
                  </w:txbxContent>
                </v:textbox>
                <w10:wrap anchorx="margin"/>
              </v:shape>
            </w:pict>
          </mc:Fallback>
        </mc:AlternateContent>
      </w:r>
    </w:p>
    <w:p w14:paraId="059A8BC5" w14:textId="4EADF267" w:rsidR="00503620" w:rsidRPr="000B5C86" w:rsidRDefault="00503620" w:rsidP="00503620">
      <w:pPr>
        <w:rPr>
          <w:rFonts w:cs="Segoe UI"/>
          <w:b/>
          <w:bCs/>
          <w:szCs w:val="22"/>
          <w:lang w:val="nl-NL"/>
        </w:rPr>
      </w:pPr>
      <w:r w:rsidRPr="000B5C86">
        <w:rPr>
          <w:rFonts w:cs="Segoe UI"/>
          <w:b/>
          <w:bCs/>
          <w:szCs w:val="22"/>
          <w:lang w:val="nl-NL"/>
        </w:rPr>
        <w:lastRenderedPageBreak/>
        <w:t>"In zeer uitdagende om</w:t>
      </w:r>
      <w:r w:rsidR="00E4257C" w:rsidRPr="000B5C86">
        <w:rPr>
          <w:rFonts w:cs="Segoe UI"/>
          <w:b/>
          <w:bCs/>
          <w:szCs w:val="22"/>
          <w:lang w:val="nl-NL"/>
        </w:rPr>
        <w:t>standi</w:t>
      </w:r>
      <w:r w:rsidR="0059036F" w:rsidRPr="000B5C86">
        <w:rPr>
          <w:rFonts w:cs="Segoe UI"/>
          <w:b/>
          <w:bCs/>
          <w:szCs w:val="22"/>
          <w:lang w:val="nl-NL"/>
        </w:rPr>
        <w:t>gheden</w:t>
      </w:r>
      <w:r w:rsidRPr="000B5C86">
        <w:rPr>
          <w:rFonts w:cs="Segoe UI"/>
          <w:b/>
          <w:bCs/>
          <w:szCs w:val="22"/>
          <w:lang w:val="nl-NL"/>
        </w:rPr>
        <w:t xml:space="preserve"> overtrof</w:t>
      </w:r>
      <w:r w:rsidR="00423081">
        <w:rPr>
          <w:rFonts w:cs="Segoe UI"/>
          <w:b/>
          <w:bCs/>
          <w:szCs w:val="22"/>
          <w:lang w:val="nl-NL"/>
        </w:rPr>
        <w:t xml:space="preserve"> de omzet</w:t>
      </w:r>
      <w:r w:rsidRPr="000B5C86">
        <w:rPr>
          <w:rFonts w:cs="Segoe UI"/>
          <w:b/>
          <w:bCs/>
          <w:szCs w:val="22"/>
          <w:lang w:val="nl-NL"/>
        </w:rPr>
        <w:t xml:space="preserve"> in de eerste zes maanden de eerdere verwachtingen voor het volledige jaar, terwijl de winst zich ontwikkelde in lijn met </w:t>
      </w:r>
      <w:r w:rsidR="0059036F" w:rsidRPr="000B5C86">
        <w:rPr>
          <w:rFonts w:cs="Segoe UI"/>
          <w:b/>
          <w:bCs/>
          <w:szCs w:val="22"/>
          <w:lang w:val="nl-NL"/>
        </w:rPr>
        <w:t>de vooruitzichten van de Groep</w:t>
      </w:r>
      <w:r w:rsidRPr="000B5C86">
        <w:rPr>
          <w:rFonts w:cs="Segoe UI"/>
          <w:b/>
          <w:bCs/>
          <w:szCs w:val="22"/>
          <w:lang w:val="nl-NL"/>
        </w:rPr>
        <w:t xml:space="preserve"> voor boekjaar 2022. In het licht van deze ontwikkeling hebben we onze v</w:t>
      </w:r>
      <w:r w:rsidR="00BF0727">
        <w:rPr>
          <w:rFonts w:cs="Segoe UI"/>
          <w:b/>
          <w:bCs/>
          <w:szCs w:val="22"/>
          <w:lang w:val="nl-NL"/>
        </w:rPr>
        <w:t>erwachtingen</w:t>
      </w:r>
      <w:r w:rsidRPr="000B5C86">
        <w:rPr>
          <w:rFonts w:cs="Segoe UI"/>
          <w:b/>
          <w:bCs/>
          <w:szCs w:val="22"/>
          <w:lang w:val="nl-NL"/>
        </w:rPr>
        <w:t xml:space="preserve"> voor het volledige jaar voor de organische omzetgroei van de Groep verhoogd en onze verwachtingen voor de EBIT-marge en de winst per preferent aandeel bevestigd", zei Henkel CEO Carsten Knobel.</w:t>
      </w:r>
    </w:p>
    <w:p w14:paraId="14F0C442" w14:textId="77777777" w:rsidR="00503620" w:rsidRPr="000B5C86" w:rsidRDefault="00503620" w:rsidP="00503620">
      <w:pPr>
        <w:rPr>
          <w:rFonts w:cs="Segoe UI"/>
          <w:b/>
          <w:bCs/>
          <w:szCs w:val="22"/>
          <w:lang w:val="nl-NL"/>
        </w:rPr>
      </w:pPr>
    </w:p>
    <w:p w14:paraId="1B43487D" w14:textId="0AB87E93" w:rsidR="008E5D13" w:rsidRPr="000B5C86" w:rsidRDefault="00503620" w:rsidP="00CE5D8B">
      <w:pPr>
        <w:rPr>
          <w:rFonts w:cs="Segoe UI"/>
          <w:b/>
          <w:bCs/>
          <w:szCs w:val="22"/>
          <w:lang w:val="nl-NL"/>
        </w:rPr>
      </w:pPr>
      <w:r w:rsidRPr="000B5C86">
        <w:rPr>
          <w:rFonts w:cs="Segoe UI"/>
          <w:b/>
          <w:bCs/>
          <w:szCs w:val="22"/>
          <w:lang w:val="nl-NL"/>
        </w:rPr>
        <w:t xml:space="preserve">"We </w:t>
      </w:r>
      <w:r w:rsidR="007E147F" w:rsidRPr="000B5C86">
        <w:rPr>
          <w:rFonts w:cs="Segoe UI"/>
          <w:b/>
          <w:bCs/>
          <w:szCs w:val="22"/>
          <w:lang w:val="nl-NL"/>
        </w:rPr>
        <w:t xml:space="preserve">zetten </w:t>
      </w:r>
      <w:r w:rsidR="007F0350">
        <w:rPr>
          <w:rFonts w:cs="Segoe UI"/>
          <w:b/>
          <w:bCs/>
          <w:szCs w:val="22"/>
          <w:lang w:val="nl-NL"/>
        </w:rPr>
        <w:t>consistent</w:t>
      </w:r>
      <w:r w:rsidR="00986806" w:rsidRPr="000B5C86">
        <w:rPr>
          <w:rFonts w:cs="Segoe UI"/>
          <w:b/>
          <w:bCs/>
          <w:szCs w:val="22"/>
          <w:lang w:val="nl-NL"/>
        </w:rPr>
        <w:t xml:space="preserve"> verdere stappen met</w:t>
      </w:r>
      <w:r w:rsidRPr="000B5C86">
        <w:rPr>
          <w:rFonts w:cs="Segoe UI"/>
          <w:b/>
          <w:bCs/>
          <w:szCs w:val="22"/>
          <w:lang w:val="nl-NL"/>
        </w:rPr>
        <w:t xml:space="preserve"> onze strategie voor </w:t>
      </w:r>
      <w:r w:rsidR="007F0350">
        <w:rPr>
          <w:rFonts w:cs="Segoe UI"/>
          <w:b/>
          <w:bCs/>
          <w:szCs w:val="22"/>
          <w:lang w:val="nl-NL"/>
        </w:rPr>
        <w:t>D</w:t>
      </w:r>
      <w:r w:rsidRPr="000B5C86">
        <w:rPr>
          <w:rFonts w:cs="Segoe UI"/>
          <w:b/>
          <w:bCs/>
          <w:szCs w:val="22"/>
          <w:lang w:val="nl-NL"/>
        </w:rPr>
        <w:t xml:space="preserve">oelgerichte </w:t>
      </w:r>
      <w:r w:rsidR="007F0350">
        <w:rPr>
          <w:rFonts w:cs="Segoe UI"/>
          <w:b/>
          <w:bCs/>
          <w:szCs w:val="22"/>
          <w:lang w:val="nl-NL"/>
        </w:rPr>
        <w:t>G</w:t>
      </w:r>
      <w:r w:rsidRPr="000B5C86">
        <w:rPr>
          <w:rFonts w:cs="Segoe UI"/>
          <w:b/>
          <w:bCs/>
          <w:szCs w:val="22"/>
          <w:lang w:val="nl-NL"/>
        </w:rPr>
        <w:t>roei</w:t>
      </w:r>
      <w:r w:rsidR="007F0350">
        <w:rPr>
          <w:rFonts w:cs="Segoe UI"/>
          <w:b/>
          <w:bCs/>
          <w:szCs w:val="22"/>
          <w:lang w:val="nl-NL"/>
        </w:rPr>
        <w:t xml:space="preserve"> (</w:t>
      </w:r>
      <w:proofErr w:type="spellStart"/>
      <w:r w:rsidR="007F0350">
        <w:rPr>
          <w:rFonts w:cs="Segoe UI"/>
          <w:b/>
          <w:bCs/>
          <w:szCs w:val="22"/>
          <w:lang w:val="nl-NL"/>
        </w:rPr>
        <w:t>Purposeful</w:t>
      </w:r>
      <w:proofErr w:type="spellEnd"/>
      <w:r w:rsidR="007F0350">
        <w:rPr>
          <w:rFonts w:cs="Segoe UI"/>
          <w:b/>
          <w:bCs/>
          <w:szCs w:val="22"/>
          <w:lang w:val="nl-NL"/>
        </w:rPr>
        <w:t xml:space="preserve"> </w:t>
      </w:r>
      <w:proofErr w:type="spellStart"/>
      <w:r w:rsidR="007F0350">
        <w:rPr>
          <w:rFonts w:cs="Segoe UI"/>
          <w:b/>
          <w:bCs/>
          <w:szCs w:val="22"/>
          <w:lang w:val="nl-NL"/>
        </w:rPr>
        <w:t>Growth</w:t>
      </w:r>
      <w:proofErr w:type="spellEnd"/>
      <w:r w:rsidR="007F0350">
        <w:rPr>
          <w:rFonts w:cs="Segoe UI"/>
          <w:b/>
          <w:bCs/>
          <w:szCs w:val="22"/>
          <w:lang w:val="nl-NL"/>
        </w:rPr>
        <w:t>)</w:t>
      </w:r>
      <w:r w:rsidRPr="000B5C86">
        <w:rPr>
          <w:rFonts w:cs="Segoe UI"/>
          <w:b/>
          <w:bCs/>
          <w:szCs w:val="22"/>
          <w:lang w:val="nl-NL"/>
        </w:rPr>
        <w:t xml:space="preserve"> en hebben goede vooruitgang geboekt bij de </w:t>
      </w:r>
      <w:r w:rsidR="00A578D4" w:rsidRPr="000B5C86">
        <w:rPr>
          <w:rFonts w:cs="Segoe UI"/>
          <w:b/>
          <w:bCs/>
          <w:szCs w:val="22"/>
          <w:lang w:val="nl-NL"/>
        </w:rPr>
        <w:t>implementatie</w:t>
      </w:r>
      <w:r w:rsidRPr="000B5C86">
        <w:rPr>
          <w:rFonts w:cs="Segoe UI"/>
          <w:b/>
          <w:bCs/>
          <w:szCs w:val="22"/>
          <w:lang w:val="nl-NL"/>
        </w:rPr>
        <w:t xml:space="preserve"> in de eerste helft van 2022 - </w:t>
      </w:r>
      <w:r w:rsidR="00324BDE" w:rsidRPr="000B5C86">
        <w:rPr>
          <w:rFonts w:cs="Segoe UI"/>
          <w:b/>
          <w:bCs/>
          <w:szCs w:val="22"/>
          <w:lang w:val="nl-NL"/>
        </w:rPr>
        <w:t>bovenal</w:t>
      </w:r>
      <w:r w:rsidRPr="000B5C86">
        <w:rPr>
          <w:rFonts w:cs="Segoe UI"/>
          <w:b/>
          <w:bCs/>
          <w:szCs w:val="22"/>
          <w:lang w:val="nl-NL"/>
        </w:rPr>
        <w:t xml:space="preserve"> dankzij </w:t>
      </w:r>
      <w:r w:rsidR="00324BDE" w:rsidRPr="000B5C86">
        <w:rPr>
          <w:rFonts w:cs="Segoe UI"/>
          <w:b/>
          <w:bCs/>
          <w:szCs w:val="22"/>
          <w:lang w:val="nl-NL"/>
        </w:rPr>
        <w:t>het grote engagement</w:t>
      </w:r>
      <w:r w:rsidRPr="000B5C86">
        <w:rPr>
          <w:rFonts w:cs="Segoe UI"/>
          <w:b/>
          <w:bCs/>
          <w:szCs w:val="22"/>
          <w:lang w:val="nl-NL"/>
        </w:rPr>
        <w:t xml:space="preserve"> van onze medewerkers wereldwijd. Met onze </w:t>
      </w:r>
      <w:proofErr w:type="spellStart"/>
      <w:r w:rsidRPr="000B5C86">
        <w:rPr>
          <w:rFonts w:cs="Segoe UI"/>
          <w:b/>
          <w:bCs/>
          <w:szCs w:val="22"/>
          <w:lang w:val="nl-NL"/>
        </w:rPr>
        <w:t>Adhesive</w:t>
      </w:r>
      <w:proofErr w:type="spellEnd"/>
      <w:r w:rsidRPr="000B5C86">
        <w:rPr>
          <w:rFonts w:cs="Segoe UI"/>
          <w:b/>
          <w:bCs/>
          <w:szCs w:val="22"/>
          <w:lang w:val="nl-NL"/>
        </w:rPr>
        <w:t xml:space="preserve"> Technologies </w:t>
      </w:r>
      <w:r w:rsidR="005D115E">
        <w:rPr>
          <w:rFonts w:cs="Segoe UI"/>
          <w:b/>
          <w:bCs/>
          <w:szCs w:val="22"/>
          <w:lang w:val="nl-NL"/>
        </w:rPr>
        <w:t xml:space="preserve">business </w:t>
      </w:r>
      <w:r w:rsidRPr="000B5C86">
        <w:rPr>
          <w:rFonts w:cs="Segoe UI"/>
          <w:b/>
          <w:bCs/>
          <w:szCs w:val="22"/>
          <w:lang w:val="nl-NL"/>
        </w:rPr>
        <w:t xml:space="preserve">zijn we een wereldleider in het leveren van innovatieve oplossingen, gericht op toekomstige trends zoals mobiliteit, connectiviteit en duurzaamheid. Door de samenvoeging van </w:t>
      </w:r>
      <w:proofErr w:type="spellStart"/>
      <w:r w:rsidR="00AC403D" w:rsidRPr="000B5C86">
        <w:rPr>
          <w:rFonts w:cs="Segoe UI"/>
          <w:b/>
          <w:bCs/>
          <w:szCs w:val="22"/>
          <w:lang w:val="nl-NL"/>
        </w:rPr>
        <w:t>Laundry</w:t>
      </w:r>
      <w:proofErr w:type="spellEnd"/>
      <w:r w:rsidR="00AC403D" w:rsidRPr="000B5C86">
        <w:rPr>
          <w:rFonts w:cs="Segoe UI"/>
          <w:b/>
          <w:bCs/>
          <w:szCs w:val="22"/>
          <w:lang w:val="nl-NL"/>
        </w:rPr>
        <w:t xml:space="preserve"> &amp; Home Care</w:t>
      </w:r>
      <w:r w:rsidRPr="000B5C86">
        <w:rPr>
          <w:rFonts w:cs="Segoe UI"/>
          <w:b/>
          <w:bCs/>
          <w:szCs w:val="22"/>
          <w:lang w:val="nl-NL"/>
        </w:rPr>
        <w:t xml:space="preserve"> en </w:t>
      </w:r>
      <w:r w:rsidR="00AC403D" w:rsidRPr="000B5C86">
        <w:rPr>
          <w:rFonts w:cs="Segoe UI"/>
          <w:b/>
          <w:bCs/>
          <w:szCs w:val="22"/>
          <w:lang w:val="nl-NL"/>
        </w:rPr>
        <w:t>Beau</w:t>
      </w:r>
      <w:r w:rsidR="00E124CC" w:rsidRPr="000B5C86">
        <w:rPr>
          <w:rFonts w:cs="Segoe UI"/>
          <w:b/>
          <w:bCs/>
          <w:szCs w:val="22"/>
          <w:lang w:val="nl-NL"/>
        </w:rPr>
        <w:t>ty Care</w:t>
      </w:r>
      <w:r w:rsidRPr="000B5C86">
        <w:rPr>
          <w:rFonts w:cs="Segoe UI"/>
          <w:b/>
          <w:bCs/>
          <w:szCs w:val="22"/>
          <w:lang w:val="nl-NL"/>
        </w:rPr>
        <w:t xml:space="preserve"> creëren we nu een </w:t>
      </w:r>
      <w:proofErr w:type="spellStart"/>
      <w:r w:rsidRPr="000B5C86">
        <w:rPr>
          <w:rFonts w:cs="Segoe UI"/>
          <w:b/>
          <w:bCs/>
          <w:szCs w:val="22"/>
          <w:lang w:val="nl-NL"/>
        </w:rPr>
        <w:t>multicategorieplatform</w:t>
      </w:r>
      <w:proofErr w:type="spellEnd"/>
      <w:r w:rsidRPr="000B5C86">
        <w:rPr>
          <w:rFonts w:cs="Segoe UI"/>
          <w:b/>
          <w:bCs/>
          <w:szCs w:val="22"/>
          <w:lang w:val="nl-NL"/>
        </w:rPr>
        <w:t xml:space="preserve"> met een omzet van ongeveer 10 miljard euro. We liggen goed op schema en streven ernaar onze toekomstige Consumer Brands </w:t>
      </w:r>
      <w:r w:rsidR="00B42E14" w:rsidRPr="000B5C86">
        <w:rPr>
          <w:rFonts w:cs="Segoe UI"/>
          <w:b/>
          <w:bCs/>
          <w:szCs w:val="22"/>
          <w:lang w:val="nl-NL"/>
        </w:rPr>
        <w:t xml:space="preserve">business </w:t>
      </w:r>
      <w:r w:rsidRPr="000B5C86">
        <w:rPr>
          <w:rFonts w:cs="Segoe UI"/>
          <w:b/>
          <w:bCs/>
          <w:szCs w:val="22"/>
          <w:lang w:val="nl-NL"/>
        </w:rPr>
        <w:t>uiterlijk begin 2023 te hebben opgericht. De gecombineerde eenheid zal een bredere basis bieden om onze portefeuille consequenter te optimaliseren en zal de business vooruithelpen naar een hoger groei- en margeprofiel."</w:t>
      </w:r>
    </w:p>
    <w:p w14:paraId="7B94B954" w14:textId="77777777" w:rsidR="00CE5D8B" w:rsidRPr="000B5C86" w:rsidRDefault="00CE5D8B" w:rsidP="00CE5D8B">
      <w:pPr>
        <w:rPr>
          <w:rFonts w:cs="Segoe UI"/>
          <w:b/>
          <w:bCs/>
          <w:szCs w:val="22"/>
          <w:lang w:val="nl-NL"/>
        </w:rPr>
      </w:pPr>
    </w:p>
    <w:p w14:paraId="48808BA0" w14:textId="6CB8EFCB" w:rsidR="003F2FFB" w:rsidRDefault="003F2FFB" w:rsidP="003F2FFB">
      <w:pPr>
        <w:spacing w:line="240" w:lineRule="auto"/>
        <w:jc w:val="left"/>
        <w:rPr>
          <w:rFonts w:ascii="SegoeUI-Bold" w:hAnsi="SegoeUI-Bold" w:cs="SegoeUI-Bold"/>
          <w:b/>
          <w:bCs/>
          <w:szCs w:val="22"/>
          <w:lang w:val="nl-NL"/>
        </w:rPr>
      </w:pPr>
      <w:r w:rsidRPr="000B5C86">
        <w:rPr>
          <w:rFonts w:ascii="SegoeUI-Bold" w:hAnsi="SegoeUI-Bold" w:cs="SegoeUI-Bold"/>
          <w:b/>
          <w:bCs/>
          <w:szCs w:val="22"/>
          <w:lang w:val="nl-NL"/>
        </w:rPr>
        <w:t>Vooruitzichten voor boekjaar 2022 ge</w:t>
      </w:r>
      <w:r w:rsidR="00B11FEA">
        <w:rPr>
          <w:rFonts w:ascii="SegoeUI-Bold" w:hAnsi="SegoeUI-Bold" w:cs="SegoeUI-Bold"/>
          <w:b/>
          <w:bCs/>
          <w:szCs w:val="22"/>
          <w:lang w:val="nl-NL"/>
        </w:rPr>
        <w:t>üpdat</w:t>
      </w:r>
      <w:r w:rsidR="00D6308E">
        <w:rPr>
          <w:rFonts w:ascii="SegoeUI-Bold" w:hAnsi="SegoeUI-Bold" w:cs="SegoeUI-Bold"/>
          <w:b/>
          <w:bCs/>
          <w:szCs w:val="22"/>
          <w:lang w:val="nl-NL"/>
        </w:rPr>
        <w:t>et</w:t>
      </w:r>
    </w:p>
    <w:p w14:paraId="7998A1F3" w14:textId="77777777" w:rsidR="00B11FEA" w:rsidRPr="000B5C86" w:rsidRDefault="00B11FEA" w:rsidP="003F2FFB">
      <w:pPr>
        <w:spacing w:line="240" w:lineRule="auto"/>
        <w:jc w:val="left"/>
        <w:rPr>
          <w:rFonts w:ascii="SegoeUI-Bold" w:hAnsi="SegoeUI-Bold" w:cs="SegoeUI-Bold"/>
          <w:b/>
          <w:bCs/>
          <w:szCs w:val="22"/>
          <w:lang w:val="nl-NL"/>
        </w:rPr>
      </w:pPr>
    </w:p>
    <w:p w14:paraId="06795FEE" w14:textId="77777777" w:rsidR="003F2FFB" w:rsidRPr="000B5C86" w:rsidRDefault="003F2FFB" w:rsidP="003F2FFB">
      <w:pPr>
        <w:rPr>
          <w:rFonts w:cs="Segoe UI"/>
          <w:b/>
          <w:bCs/>
          <w:szCs w:val="22"/>
          <w:lang w:val="nl-NL"/>
        </w:rPr>
      </w:pPr>
      <w:r w:rsidRPr="000B5C86">
        <w:rPr>
          <w:rFonts w:cs="Segoe UI"/>
          <w:b/>
          <w:bCs/>
          <w:szCs w:val="22"/>
          <w:lang w:val="nl-NL"/>
        </w:rPr>
        <w:t xml:space="preserve">Henkel verwacht nu een organische omzetgroei van +4,5 tot +6,5 procent in het boekjaar 2022 (voorheen: +3,5 tot +5,5 procent). Voor de business unit </w:t>
      </w:r>
      <w:proofErr w:type="spellStart"/>
      <w:r w:rsidRPr="000B5C86">
        <w:rPr>
          <w:rFonts w:cs="Segoe UI"/>
          <w:b/>
          <w:bCs/>
          <w:szCs w:val="22"/>
          <w:lang w:val="nl-NL"/>
        </w:rPr>
        <w:t>Adhesive</w:t>
      </w:r>
      <w:proofErr w:type="spellEnd"/>
      <w:r w:rsidRPr="000B5C86">
        <w:rPr>
          <w:rFonts w:cs="Segoe UI"/>
          <w:b/>
          <w:bCs/>
          <w:szCs w:val="22"/>
          <w:lang w:val="nl-NL"/>
        </w:rPr>
        <w:t xml:space="preserve"> Technologies wordt nog steeds een organische omzetgroei van +8,0 tot +10,0 procent verwacht. Voor Beauty Care voorziet Henkel nu een organische omzetgroei van -3,0 tot -1,0 procent (voorheen: -5,0 tot -3,0 procent). Voor de business unit </w:t>
      </w:r>
      <w:proofErr w:type="spellStart"/>
      <w:r w:rsidRPr="000B5C86">
        <w:rPr>
          <w:rFonts w:cs="Segoe UI"/>
          <w:b/>
          <w:bCs/>
          <w:szCs w:val="22"/>
          <w:lang w:val="nl-NL"/>
        </w:rPr>
        <w:t>Laundry</w:t>
      </w:r>
      <w:proofErr w:type="spellEnd"/>
      <w:r w:rsidRPr="000B5C86">
        <w:rPr>
          <w:rFonts w:cs="Segoe UI"/>
          <w:b/>
          <w:bCs/>
          <w:szCs w:val="22"/>
          <w:lang w:val="nl-NL"/>
        </w:rPr>
        <w:t xml:space="preserve"> &amp; Home Care verwacht Henkel nu een organische omzetgroei van +4,0 tot +6,0 procent (voordien: +2,0 tot +4,0 procent). De aangepaste EBIT-marge op groepsniveau zal naar verwachting ongewijzigd tussen 9,0 en 11,0 procent blijven. Voor de ontwikkeling van de aangepaste winst per preferent aandeel (EPS) bij constante wisselkoersen blijft Henkel rekenen op een daling in de orde van -35 tot -15 procent.</w:t>
      </w:r>
    </w:p>
    <w:p w14:paraId="7961E907" w14:textId="77777777" w:rsidR="003F2FFB" w:rsidRPr="000B5C86" w:rsidRDefault="003F2FFB" w:rsidP="003F2FFB">
      <w:pPr>
        <w:spacing w:line="240" w:lineRule="auto"/>
        <w:jc w:val="left"/>
        <w:rPr>
          <w:rFonts w:ascii="SegoeUI-Bold" w:hAnsi="SegoeUI-Bold" w:cs="SegoeUI-Bold"/>
          <w:b/>
          <w:bCs/>
          <w:szCs w:val="22"/>
          <w:lang w:val="nl-NL"/>
        </w:rPr>
      </w:pPr>
    </w:p>
    <w:p w14:paraId="3C359AE5" w14:textId="77777777" w:rsidR="003F2FFB" w:rsidRDefault="003F2FFB" w:rsidP="003F2FFB">
      <w:pPr>
        <w:spacing w:line="240" w:lineRule="auto"/>
        <w:jc w:val="left"/>
        <w:rPr>
          <w:rFonts w:ascii="SegoeUI-Bold" w:hAnsi="SegoeUI-Bold" w:cs="SegoeUI-Bold"/>
          <w:b/>
          <w:bCs/>
          <w:szCs w:val="22"/>
          <w:lang w:val="nl-NL"/>
        </w:rPr>
      </w:pPr>
      <w:r w:rsidRPr="000B5C86">
        <w:rPr>
          <w:rFonts w:ascii="SegoeUI-Bold" w:hAnsi="SegoeUI-Bold" w:cs="SegoeUI-Bold"/>
          <w:b/>
          <w:bCs/>
          <w:szCs w:val="22"/>
          <w:lang w:val="nl-NL"/>
        </w:rPr>
        <w:t>Stopzetting van activiteiten in Rusland en Wit-Rusland in uitvoering</w:t>
      </w:r>
    </w:p>
    <w:p w14:paraId="3017122D" w14:textId="77777777" w:rsidR="0004126C" w:rsidRPr="000B5C86" w:rsidRDefault="0004126C" w:rsidP="003F2FFB">
      <w:pPr>
        <w:spacing w:line="240" w:lineRule="auto"/>
        <w:jc w:val="left"/>
        <w:rPr>
          <w:rFonts w:ascii="SegoeUI-Bold" w:hAnsi="SegoeUI-Bold" w:cs="SegoeUI-Bold"/>
          <w:b/>
          <w:bCs/>
          <w:szCs w:val="22"/>
          <w:lang w:val="nl-NL"/>
        </w:rPr>
      </w:pPr>
    </w:p>
    <w:p w14:paraId="1E296B87" w14:textId="0890E2BE" w:rsidR="00226640" w:rsidRPr="000B5C86" w:rsidRDefault="003F2FFB" w:rsidP="00AF58EA">
      <w:pPr>
        <w:spacing w:line="240" w:lineRule="auto"/>
        <w:jc w:val="left"/>
        <w:rPr>
          <w:rFonts w:ascii="SegoeUI-Bold" w:hAnsi="SegoeUI-Bold" w:cs="SegoeUI-Bold"/>
          <w:b/>
          <w:bCs/>
          <w:szCs w:val="22"/>
          <w:lang w:val="nl-NL"/>
        </w:rPr>
      </w:pPr>
      <w:r w:rsidRPr="000B5C86">
        <w:rPr>
          <w:rFonts w:ascii="SegoeUI-Bold" w:hAnsi="SegoeUI-Bold" w:cs="SegoeUI-Bold"/>
          <w:b/>
          <w:bCs/>
          <w:szCs w:val="22"/>
          <w:lang w:val="nl-NL"/>
        </w:rPr>
        <w:t>In april 2022 heeft Henkel beslist om haar bedrijfsactiviteiten in Rusland en Wit-Rusland stop te zetten. Henkel evalueert grondig alle opties en wil het proces tegen het einde van het jaar hebben afgerond.</w:t>
      </w:r>
      <w:r w:rsidR="00B02550" w:rsidRPr="000B5C86">
        <w:rPr>
          <w:rFonts w:ascii="SegoeUI-Bold" w:hAnsi="SegoeUI-Bold" w:cs="SegoeUI-Bold"/>
          <w:b/>
          <w:bCs/>
          <w:szCs w:val="22"/>
          <w:lang w:val="nl-NL"/>
        </w:rPr>
        <w:br w:type="page"/>
      </w:r>
    </w:p>
    <w:p w14:paraId="7FE5A6D9" w14:textId="77777777" w:rsidR="00B15C3A" w:rsidRPr="000B5C86" w:rsidRDefault="00B15C3A" w:rsidP="00CB1E3F">
      <w:pPr>
        <w:spacing w:after="120"/>
        <w:rPr>
          <w:rFonts w:ascii="SegoeUI-Bold" w:hAnsi="SegoeUI-Bold" w:cs="SegoeUI-Bold"/>
          <w:b/>
          <w:bCs/>
          <w:szCs w:val="22"/>
          <w:lang w:val="nl-NL"/>
        </w:rPr>
      </w:pPr>
      <w:r w:rsidRPr="000B5C86">
        <w:rPr>
          <w:rFonts w:ascii="SegoeUI-Bold" w:hAnsi="SegoeUI-Bold" w:cs="SegoeUI-Bold"/>
          <w:b/>
          <w:bCs/>
          <w:szCs w:val="22"/>
          <w:lang w:val="nl-NL"/>
        </w:rPr>
        <w:lastRenderedPageBreak/>
        <w:t>Omzet en resultaat van de Groep in de eerste helft van 2022</w:t>
      </w:r>
    </w:p>
    <w:p w14:paraId="283ECE8A" w14:textId="36F4A6EB" w:rsidR="00B15C3A" w:rsidRPr="000B5C86" w:rsidRDefault="00B15C3A" w:rsidP="00B15C3A">
      <w:pPr>
        <w:rPr>
          <w:rFonts w:cs="Segoe UI"/>
          <w:szCs w:val="22"/>
          <w:lang w:val="nl-NL"/>
        </w:rPr>
      </w:pPr>
      <w:r w:rsidRPr="000B5C86">
        <w:rPr>
          <w:rFonts w:cs="Segoe UI"/>
          <w:szCs w:val="22"/>
          <w:lang w:val="nl-NL"/>
        </w:rPr>
        <w:t>Met 10</w:t>
      </w:r>
      <w:r w:rsidR="008A54A0">
        <w:rPr>
          <w:rFonts w:cs="Segoe UI"/>
          <w:szCs w:val="22"/>
          <w:lang w:val="nl-NL"/>
        </w:rPr>
        <w:t>.</w:t>
      </w:r>
      <w:r w:rsidRPr="000B5C86">
        <w:rPr>
          <w:rFonts w:cs="Segoe UI"/>
          <w:szCs w:val="22"/>
          <w:lang w:val="nl-NL"/>
        </w:rPr>
        <w:t xml:space="preserve">913 miljoen euro lag de </w:t>
      </w:r>
      <w:r w:rsidRPr="000B5C86">
        <w:rPr>
          <w:rFonts w:cs="Segoe UI"/>
          <w:b/>
          <w:bCs/>
          <w:szCs w:val="22"/>
          <w:lang w:val="nl-NL"/>
        </w:rPr>
        <w:t>omzet van de Groep</w:t>
      </w:r>
      <w:r w:rsidRPr="000B5C86">
        <w:rPr>
          <w:rFonts w:cs="Segoe UI"/>
          <w:szCs w:val="22"/>
          <w:lang w:val="nl-NL"/>
        </w:rPr>
        <w:t xml:space="preserve"> in de eerste helft van 2022 +9,9 procent boven het niveau van het voorgaande jaar (Q2: 5</w:t>
      </w:r>
      <w:r w:rsidR="002075E9">
        <w:rPr>
          <w:rFonts w:cs="Segoe UI"/>
          <w:szCs w:val="22"/>
          <w:lang w:val="nl-NL"/>
        </w:rPr>
        <w:t>.</w:t>
      </w:r>
      <w:r w:rsidRPr="000B5C86">
        <w:rPr>
          <w:rFonts w:cs="Segoe UI"/>
          <w:szCs w:val="22"/>
          <w:lang w:val="nl-NL"/>
        </w:rPr>
        <w:t xml:space="preserve">642 miljoen euro, +13,8 procent). De </w:t>
      </w:r>
      <w:r w:rsidRPr="000B5C86">
        <w:rPr>
          <w:rFonts w:cs="Segoe UI"/>
          <w:b/>
          <w:bCs/>
          <w:szCs w:val="22"/>
          <w:lang w:val="nl-NL"/>
        </w:rPr>
        <w:t>organische omzet</w:t>
      </w:r>
      <w:r w:rsidRPr="000B5C86">
        <w:rPr>
          <w:rFonts w:cs="Segoe UI"/>
          <w:szCs w:val="22"/>
          <w:lang w:val="nl-NL"/>
        </w:rPr>
        <w:t xml:space="preserve">, </w:t>
      </w:r>
      <w:r w:rsidR="00335D8C" w:rsidRPr="000B5C86">
        <w:rPr>
          <w:rFonts w:cs="Segoe UI"/>
          <w:szCs w:val="22"/>
          <w:lang w:val="nl-NL"/>
        </w:rPr>
        <w:t>die geen rekening houdt met het</w:t>
      </w:r>
      <w:r w:rsidRPr="000B5C86">
        <w:rPr>
          <w:rFonts w:cs="Segoe UI"/>
          <w:szCs w:val="22"/>
          <w:lang w:val="nl-NL"/>
        </w:rPr>
        <w:t xml:space="preserve"> effect van wisselkoerseffecten en overnames/desinvesteringen, vertoonde een aanzienlijke groei van +8,9 procent (Q2: +10,9 procent). Overnames en desinvesteringen hadden een negatief effect van -1,4 procent op de omzet (Q2: -1,8 procent). Sinds het begin van het tweede kwartaal zijn hierin de effecten begrepen van de aangekondigde beëindiging van activiteiten in Rusland en Wit-Rusland. Door wisselkoerseffecten steeg de omzet met +2,4 procent (Q2: +4,7 procent). Hierin zijn ook de effecten begrepen van de toepassing van IAS 29 (Financial Reporting in </w:t>
      </w:r>
      <w:proofErr w:type="spellStart"/>
      <w:r w:rsidRPr="000B5C86">
        <w:rPr>
          <w:rFonts w:cs="Segoe UI"/>
          <w:szCs w:val="22"/>
          <w:lang w:val="nl-NL"/>
        </w:rPr>
        <w:t>Hyperinflationary</w:t>
      </w:r>
      <w:proofErr w:type="spellEnd"/>
      <w:r w:rsidRPr="000B5C86">
        <w:rPr>
          <w:rFonts w:cs="Segoe UI"/>
          <w:szCs w:val="22"/>
          <w:lang w:val="nl-NL"/>
        </w:rPr>
        <w:t xml:space="preserve"> </w:t>
      </w:r>
      <w:proofErr w:type="spellStart"/>
      <w:r w:rsidRPr="000B5C86">
        <w:rPr>
          <w:rFonts w:cs="Segoe UI"/>
          <w:szCs w:val="22"/>
          <w:lang w:val="nl-NL"/>
        </w:rPr>
        <w:t>Economies</w:t>
      </w:r>
      <w:proofErr w:type="spellEnd"/>
      <w:r w:rsidRPr="000B5C86">
        <w:rPr>
          <w:rFonts w:cs="Segoe UI"/>
          <w:szCs w:val="22"/>
          <w:lang w:val="nl-NL"/>
        </w:rPr>
        <w:t>) die sinds het begin van de verslagperiode voor Turkije verplicht is.</w:t>
      </w:r>
    </w:p>
    <w:p w14:paraId="0C8659C8" w14:textId="77777777" w:rsidR="00B15C3A" w:rsidRPr="000B5C86" w:rsidRDefault="00B15C3A" w:rsidP="00B15C3A">
      <w:pPr>
        <w:rPr>
          <w:rFonts w:cs="Segoe UI"/>
          <w:szCs w:val="22"/>
          <w:lang w:val="nl-NL"/>
        </w:rPr>
      </w:pPr>
    </w:p>
    <w:p w14:paraId="642FD813" w14:textId="64E60C66" w:rsidR="00B15C3A" w:rsidRPr="000B5C86" w:rsidRDefault="00B15C3A" w:rsidP="00B15C3A">
      <w:pPr>
        <w:rPr>
          <w:rFonts w:cs="Segoe UI"/>
          <w:szCs w:val="22"/>
          <w:lang w:val="nl-NL"/>
        </w:rPr>
      </w:pPr>
      <w:r w:rsidRPr="000B5C86">
        <w:rPr>
          <w:rFonts w:cs="Segoe UI"/>
          <w:szCs w:val="22"/>
          <w:lang w:val="nl-NL"/>
        </w:rPr>
        <w:t xml:space="preserve">De omzetgroei in het eerste halfjaar werd vooral gedragen door de business unit </w:t>
      </w:r>
      <w:proofErr w:type="spellStart"/>
      <w:r w:rsidRPr="000B5C86">
        <w:rPr>
          <w:rFonts w:cs="Segoe UI"/>
          <w:b/>
          <w:bCs/>
          <w:szCs w:val="22"/>
          <w:lang w:val="nl-NL"/>
        </w:rPr>
        <w:t>Adhesive</w:t>
      </w:r>
      <w:proofErr w:type="spellEnd"/>
      <w:r w:rsidRPr="000B5C86">
        <w:rPr>
          <w:rFonts w:cs="Segoe UI"/>
          <w:b/>
          <w:bCs/>
          <w:szCs w:val="22"/>
          <w:lang w:val="nl-NL"/>
        </w:rPr>
        <w:t xml:space="preserve"> Technologies</w:t>
      </w:r>
      <w:r w:rsidRPr="000B5C86">
        <w:rPr>
          <w:rFonts w:cs="Segoe UI"/>
          <w:szCs w:val="22"/>
          <w:lang w:val="nl-NL"/>
        </w:rPr>
        <w:t xml:space="preserve">, die een tweecijferige organische groei van +12,2 procent realiseerde. Hier </w:t>
      </w:r>
      <w:r w:rsidR="00A66755" w:rsidRPr="000B5C86">
        <w:rPr>
          <w:rFonts w:cs="Segoe UI"/>
          <w:szCs w:val="22"/>
          <w:lang w:val="nl-NL"/>
        </w:rPr>
        <w:t>realiseerden</w:t>
      </w:r>
      <w:r w:rsidRPr="000B5C86">
        <w:rPr>
          <w:rFonts w:cs="Segoe UI"/>
          <w:szCs w:val="22"/>
          <w:lang w:val="nl-NL"/>
        </w:rPr>
        <w:t xml:space="preserve"> alle </w:t>
      </w:r>
      <w:r w:rsidR="000078F4" w:rsidRPr="000B5C86">
        <w:rPr>
          <w:rFonts w:cs="Segoe UI"/>
          <w:szCs w:val="22"/>
          <w:lang w:val="nl-NL"/>
        </w:rPr>
        <w:t>d</w:t>
      </w:r>
      <w:r w:rsidR="00A66755" w:rsidRPr="000B5C86">
        <w:rPr>
          <w:rFonts w:cs="Segoe UI"/>
          <w:szCs w:val="22"/>
          <w:lang w:val="nl-NL"/>
        </w:rPr>
        <w:t>ivisies van de business</w:t>
      </w:r>
      <w:r w:rsidRPr="000B5C86">
        <w:rPr>
          <w:rFonts w:cs="Segoe UI"/>
          <w:szCs w:val="22"/>
          <w:lang w:val="nl-NL"/>
        </w:rPr>
        <w:t xml:space="preserve"> een organische omzetgroei. De business unit </w:t>
      </w:r>
      <w:r w:rsidRPr="000B5C86">
        <w:rPr>
          <w:rFonts w:cs="Segoe UI"/>
          <w:b/>
          <w:bCs/>
          <w:szCs w:val="22"/>
          <w:lang w:val="nl-NL"/>
        </w:rPr>
        <w:t>Beauty Care</w:t>
      </w:r>
      <w:r w:rsidRPr="000B5C86">
        <w:rPr>
          <w:rFonts w:cs="Segoe UI"/>
          <w:szCs w:val="22"/>
          <w:lang w:val="nl-NL"/>
        </w:rPr>
        <w:t xml:space="preserve"> </w:t>
      </w:r>
      <w:r w:rsidR="00A66755" w:rsidRPr="000B5C86">
        <w:rPr>
          <w:rFonts w:cs="Segoe UI"/>
          <w:szCs w:val="22"/>
          <w:lang w:val="nl-NL"/>
        </w:rPr>
        <w:t>liet</w:t>
      </w:r>
      <w:r w:rsidRPr="000B5C86">
        <w:rPr>
          <w:rFonts w:cs="Segoe UI"/>
          <w:szCs w:val="22"/>
          <w:lang w:val="nl-NL"/>
        </w:rPr>
        <w:t xml:space="preserve"> een organische omzetgroei </w:t>
      </w:r>
      <w:r w:rsidR="00A66755" w:rsidRPr="000B5C86">
        <w:rPr>
          <w:rFonts w:cs="Segoe UI"/>
          <w:szCs w:val="22"/>
          <w:lang w:val="nl-NL"/>
        </w:rPr>
        <w:t xml:space="preserve">optekenen </w:t>
      </w:r>
      <w:r w:rsidRPr="000B5C86">
        <w:rPr>
          <w:rFonts w:cs="Segoe UI"/>
          <w:szCs w:val="22"/>
          <w:lang w:val="nl-NL"/>
        </w:rPr>
        <w:t xml:space="preserve">van +0,4 procent in de eerste jaarhelft. De kapsalonactiviteiten realiseerden een organische omzetgroei met dubbele cijfers. Daarentegen bleven de consumentenactiviteiten onder het niveau van het voorgaande jaar, voornamelijk als gevolg van de aangekondigde maatregelen ter verbetering van de productportefeuille. De business unit </w:t>
      </w:r>
      <w:proofErr w:type="spellStart"/>
      <w:r w:rsidRPr="000B5C86">
        <w:rPr>
          <w:rFonts w:cs="Segoe UI"/>
          <w:b/>
          <w:bCs/>
          <w:szCs w:val="22"/>
          <w:lang w:val="nl-NL"/>
        </w:rPr>
        <w:t>Laundry</w:t>
      </w:r>
      <w:proofErr w:type="spellEnd"/>
      <w:r w:rsidRPr="000B5C86">
        <w:rPr>
          <w:rFonts w:cs="Segoe UI"/>
          <w:b/>
          <w:bCs/>
          <w:szCs w:val="22"/>
          <w:lang w:val="nl-NL"/>
        </w:rPr>
        <w:t xml:space="preserve"> &amp; Home Care</w:t>
      </w:r>
      <w:r w:rsidRPr="000B5C86">
        <w:rPr>
          <w:rFonts w:cs="Segoe UI"/>
          <w:szCs w:val="22"/>
          <w:lang w:val="nl-NL"/>
        </w:rPr>
        <w:t xml:space="preserve"> realiseerde een aanzienlijke organische omzetstijging van +7,4 procent, vooral dankzij een </w:t>
      </w:r>
      <w:r w:rsidR="00A22675" w:rsidRPr="000B5C86">
        <w:rPr>
          <w:rFonts w:cs="Segoe UI"/>
          <w:szCs w:val="22"/>
          <w:lang w:val="nl-NL"/>
        </w:rPr>
        <w:t>tweecijferige</w:t>
      </w:r>
      <w:r w:rsidR="00A22675" w:rsidRPr="000B5C86">
        <w:rPr>
          <w:rFonts w:cs="Segoe UI"/>
          <w:szCs w:val="22"/>
          <w:lang w:val="nl-NL"/>
        </w:rPr>
        <w:t xml:space="preserve"> </w:t>
      </w:r>
      <w:r w:rsidRPr="000B5C86">
        <w:rPr>
          <w:rFonts w:cs="Segoe UI"/>
          <w:szCs w:val="22"/>
          <w:lang w:val="nl-NL"/>
        </w:rPr>
        <w:t xml:space="preserve">groei in de </w:t>
      </w:r>
      <w:proofErr w:type="spellStart"/>
      <w:r w:rsidR="00AF58EA" w:rsidRPr="000B5C86">
        <w:rPr>
          <w:rFonts w:cs="Segoe UI"/>
          <w:szCs w:val="22"/>
          <w:lang w:val="nl-NL"/>
        </w:rPr>
        <w:t>Laundry</w:t>
      </w:r>
      <w:proofErr w:type="spellEnd"/>
      <w:r w:rsidR="00AF58EA" w:rsidRPr="000B5C86">
        <w:rPr>
          <w:rFonts w:cs="Segoe UI"/>
          <w:szCs w:val="22"/>
          <w:lang w:val="nl-NL"/>
        </w:rPr>
        <w:t xml:space="preserve"> divisie</w:t>
      </w:r>
      <w:r w:rsidRPr="000B5C86">
        <w:rPr>
          <w:rFonts w:cs="Segoe UI"/>
          <w:szCs w:val="22"/>
          <w:lang w:val="nl-NL"/>
        </w:rPr>
        <w:t xml:space="preserve">. De Home Care </w:t>
      </w:r>
      <w:r w:rsidR="00AF58EA" w:rsidRPr="000B5C86">
        <w:rPr>
          <w:rFonts w:cs="Segoe UI"/>
          <w:szCs w:val="22"/>
          <w:lang w:val="nl-NL"/>
        </w:rPr>
        <w:t>divisie</w:t>
      </w:r>
      <w:r w:rsidRPr="000B5C86">
        <w:rPr>
          <w:rFonts w:cs="Segoe UI"/>
          <w:szCs w:val="22"/>
          <w:lang w:val="nl-NL"/>
        </w:rPr>
        <w:t xml:space="preserve"> </w:t>
      </w:r>
      <w:r w:rsidR="00A7362B">
        <w:rPr>
          <w:rFonts w:cs="Segoe UI"/>
          <w:szCs w:val="22"/>
          <w:lang w:val="nl-NL"/>
        </w:rPr>
        <w:t>realiseerde</w:t>
      </w:r>
      <w:r w:rsidRPr="000B5C86">
        <w:rPr>
          <w:rFonts w:cs="Segoe UI"/>
          <w:szCs w:val="22"/>
          <w:lang w:val="nl-NL"/>
        </w:rPr>
        <w:t xml:space="preserve"> een positieve autonome omzetontwikkeling in de eerste helft van het jaar.</w:t>
      </w:r>
    </w:p>
    <w:p w14:paraId="11632DD7" w14:textId="77777777" w:rsidR="00226640" w:rsidRPr="000B5C86" w:rsidRDefault="00226640" w:rsidP="00226640">
      <w:pPr>
        <w:rPr>
          <w:rFonts w:cs="Segoe UI"/>
          <w:szCs w:val="22"/>
          <w:lang w:val="nl-NL"/>
        </w:rPr>
      </w:pPr>
    </w:p>
    <w:p w14:paraId="7EB0E73A" w14:textId="2BFB9BDE" w:rsidR="00413D3C" w:rsidRPr="000B5C86" w:rsidRDefault="00413D3C" w:rsidP="00413D3C">
      <w:pPr>
        <w:rPr>
          <w:rFonts w:cs="Segoe UI"/>
          <w:bCs/>
          <w:szCs w:val="22"/>
          <w:lang w:val="nl-NL"/>
        </w:rPr>
      </w:pPr>
      <w:r w:rsidRPr="000B5C86">
        <w:rPr>
          <w:rFonts w:cs="Segoe UI"/>
          <w:bCs/>
          <w:szCs w:val="22"/>
          <w:lang w:val="nl-NL"/>
        </w:rPr>
        <w:t xml:space="preserve">In de </w:t>
      </w:r>
      <w:r w:rsidRPr="000B5C86">
        <w:rPr>
          <w:rFonts w:cs="Segoe UI"/>
          <w:b/>
          <w:szCs w:val="22"/>
          <w:lang w:val="nl-NL"/>
        </w:rPr>
        <w:t>opkomende markten</w:t>
      </w:r>
      <w:r w:rsidRPr="000B5C86">
        <w:rPr>
          <w:rFonts w:cs="Segoe UI"/>
          <w:bCs/>
          <w:szCs w:val="22"/>
          <w:lang w:val="nl-NL"/>
        </w:rPr>
        <w:t xml:space="preserve"> groeide de organische omzet met dubbele cijfers </w:t>
      </w:r>
      <w:r w:rsidR="00CE3992">
        <w:rPr>
          <w:rFonts w:cs="Segoe UI"/>
          <w:bCs/>
          <w:szCs w:val="22"/>
          <w:lang w:val="nl-NL"/>
        </w:rPr>
        <w:t>met</w:t>
      </w:r>
      <w:r w:rsidRPr="000B5C86">
        <w:rPr>
          <w:rFonts w:cs="Segoe UI"/>
          <w:bCs/>
          <w:szCs w:val="22"/>
          <w:lang w:val="nl-NL"/>
        </w:rPr>
        <w:t xml:space="preserve"> +12,9 procent (Q2: +14,6 procent). De activiteiten in de </w:t>
      </w:r>
      <w:proofErr w:type="spellStart"/>
      <w:r w:rsidR="00F716EA" w:rsidRPr="000B5C86">
        <w:rPr>
          <w:rFonts w:cs="Segoe UI"/>
          <w:b/>
          <w:szCs w:val="22"/>
          <w:lang w:val="nl-NL"/>
        </w:rPr>
        <w:t>mature</w:t>
      </w:r>
      <w:proofErr w:type="spellEnd"/>
      <w:r w:rsidRPr="000B5C86">
        <w:rPr>
          <w:rFonts w:cs="Segoe UI"/>
          <w:b/>
          <w:szCs w:val="22"/>
          <w:lang w:val="nl-NL"/>
        </w:rPr>
        <w:t xml:space="preserve"> markten </w:t>
      </w:r>
      <w:r w:rsidRPr="000B5C86">
        <w:rPr>
          <w:rFonts w:cs="Segoe UI"/>
          <w:bCs/>
          <w:szCs w:val="22"/>
          <w:lang w:val="nl-NL"/>
        </w:rPr>
        <w:t>vertoonden een zeer sterke autonome omzetontwikkeling van +5,5 procent (Q2: +7,8 procent).</w:t>
      </w:r>
    </w:p>
    <w:p w14:paraId="63A39A9F" w14:textId="77777777" w:rsidR="00413D3C" w:rsidRPr="000B5C86" w:rsidRDefault="00413D3C" w:rsidP="00413D3C">
      <w:pPr>
        <w:rPr>
          <w:rFonts w:cs="Segoe UI"/>
          <w:bCs/>
          <w:szCs w:val="22"/>
          <w:lang w:val="nl-NL"/>
        </w:rPr>
      </w:pPr>
    </w:p>
    <w:p w14:paraId="57D9B41C" w14:textId="6FCBFA21" w:rsidR="00413D3C" w:rsidRPr="000B5C86" w:rsidRDefault="00413D3C" w:rsidP="00413D3C">
      <w:pPr>
        <w:rPr>
          <w:rFonts w:cs="Segoe UI"/>
          <w:bCs/>
          <w:szCs w:val="22"/>
          <w:lang w:val="nl-NL"/>
        </w:rPr>
      </w:pPr>
      <w:r w:rsidRPr="000B5C86">
        <w:rPr>
          <w:rFonts w:cs="Segoe UI"/>
          <w:bCs/>
          <w:szCs w:val="22"/>
          <w:lang w:val="nl-NL"/>
        </w:rPr>
        <w:t xml:space="preserve">De omzet in de eerste helft van het jaar in </w:t>
      </w:r>
      <w:r w:rsidRPr="000B5C86">
        <w:rPr>
          <w:rFonts w:cs="Segoe UI"/>
          <w:b/>
          <w:szCs w:val="22"/>
          <w:lang w:val="nl-NL"/>
        </w:rPr>
        <w:t>West-Europa</w:t>
      </w:r>
      <w:r w:rsidRPr="000B5C86">
        <w:rPr>
          <w:rFonts w:cs="Segoe UI"/>
          <w:bCs/>
          <w:szCs w:val="22"/>
          <w:lang w:val="nl-NL"/>
        </w:rPr>
        <w:t xml:space="preserve"> vertoonde een autonome ontwikkeling van +2,2 procent (Q2: +4,8 procent). In </w:t>
      </w:r>
      <w:r w:rsidRPr="000B5C86">
        <w:rPr>
          <w:rFonts w:cs="Segoe UI"/>
          <w:b/>
          <w:szCs w:val="22"/>
          <w:lang w:val="nl-NL"/>
        </w:rPr>
        <w:t>Oost-Europa</w:t>
      </w:r>
      <w:r w:rsidRPr="000B5C86">
        <w:rPr>
          <w:rFonts w:cs="Segoe UI"/>
          <w:bCs/>
          <w:szCs w:val="22"/>
          <w:lang w:val="nl-NL"/>
        </w:rPr>
        <w:t xml:space="preserve"> bedroeg de autonome omzetgroei </w:t>
      </w:r>
    </w:p>
    <w:p w14:paraId="0E02213D" w14:textId="1C9387D7" w:rsidR="00413D3C" w:rsidRPr="000B5C86" w:rsidRDefault="00413D3C" w:rsidP="00413D3C">
      <w:pPr>
        <w:rPr>
          <w:rFonts w:cs="Segoe UI"/>
          <w:bCs/>
          <w:szCs w:val="22"/>
          <w:lang w:val="nl-NL"/>
        </w:rPr>
      </w:pPr>
      <w:r w:rsidRPr="000B5C86">
        <w:rPr>
          <w:rFonts w:cs="Segoe UI"/>
          <w:bCs/>
          <w:szCs w:val="22"/>
          <w:lang w:val="nl-NL"/>
        </w:rPr>
        <w:t xml:space="preserve">+23,2 procent (Q2: +26,3 procent). In </w:t>
      </w:r>
      <w:r w:rsidRPr="000B5C86">
        <w:rPr>
          <w:rFonts w:cs="Segoe UI"/>
          <w:b/>
          <w:szCs w:val="22"/>
          <w:lang w:val="nl-NL"/>
        </w:rPr>
        <w:t>Afrika/Midden-Oosten</w:t>
      </w:r>
      <w:r w:rsidRPr="000B5C86">
        <w:rPr>
          <w:rFonts w:cs="Segoe UI"/>
          <w:bCs/>
          <w:szCs w:val="22"/>
          <w:lang w:val="nl-NL"/>
        </w:rPr>
        <w:t xml:space="preserve"> steeg de autonome omzet met +3,2 procent (Q2: +5,1 procent). De autonome omzetgroei in </w:t>
      </w:r>
      <w:r w:rsidRPr="000B5C86">
        <w:rPr>
          <w:rFonts w:cs="Segoe UI"/>
          <w:b/>
          <w:szCs w:val="22"/>
          <w:lang w:val="nl-NL"/>
        </w:rPr>
        <w:t xml:space="preserve">Noord-Amerika </w:t>
      </w:r>
      <w:r w:rsidRPr="000B5C86">
        <w:rPr>
          <w:rFonts w:cs="Segoe UI"/>
          <w:bCs/>
          <w:szCs w:val="22"/>
          <w:lang w:val="nl-NL"/>
        </w:rPr>
        <w:t xml:space="preserve">bedroeg +9,2 procent (Q2: +11,7 procent). </w:t>
      </w:r>
      <w:r w:rsidRPr="000B5C86">
        <w:rPr>
          <w:rFonts w:cs="Segoe UI"/>
          <w:b/>
          <w:szCs w:val="22"/>
          <w:lang w:val="nl-NL"/>
        </w:rPr>
        <w:t>Latijns-Amerika</w:t>
      </w:r>
      <w:r w:rsidRPr="000B5C86">
        <w:rPr>
          <w:rFonts w:cs="Segoe UI"/>
          <w:bCs/>
          <w:szCs w:val="22"/>
          <w:lang w:val="nl-NL"/>
        </w:rPr>
        <w:t xml:space="preserve"> </w:t>
      </w:r>
      <w:r w:rsidR="007C49CA" w:rsidRPr="000B5C86">
        <w:rPr>
          <w:rFonts w:cs="Segoe UI"/>
          <w:bCs/>
          <w:szCs w:val="22"/>
          <w:lang w:val="nl-NL"/>
        </w:rPr>
        <w:t>liet</w:t>
      </w:r>
      <w:r w:rsidRPr="000B5C86">
        <w:rPr>
          <w:rFonts w:cs="Segoe UI"/>
          <w:bCs/>
          <w:szCs w:val="22"/>
          <w:lang w:val="nl-NL"/>
        </w:rPr>
        <w:t xml:space="preserve"> een organische omzetgroei </w:t>
      </w:r>
      <w:r w:rsidR="007C49CA" w:rsidRPr="000B5C86">
        <w:rPr>
          <w:rFonts w:cs="Segoe UI"/>
          <w:bCs/>
          <w:szCs w:val="22"/>
          <w:lang w:val="nl-NL"/>
        </w:rPr>
        <w:t xml:space="preserve">optekenen </w:t>
      </w:r>
      <w:r w:rsidRPr="000B5C86">
        <w:rPr>
          <w:rFonts w:cs="Segoe UI"/>
          <w:bCs/>
          <w:szCs w:val="22"/>
          <w:lang w:val="nl-NL"/>
        </w:rPr>
        <w:t xml:space="preserve">van +16,9 procent (Q2: +18,5 procent). In de regio </w:t>
      </w:r>
      <w:r w:rsidRPr="000B5C86">
        <w:rPr>
          <w:rFonts w:cs="Segoe UI"/>
          <w:b/>
          <w:szCs w:val="22"/>
          <w:lang w:val="nl-NL"/>
        </w:rPr>
        <w:t>Azië-Pacific</w:t>
      </w:r>
      <w:r w:rsidRPr="000B5C86">
        <w:rPr>
          <w:rFonts w:cs="Segoe UI"/>
          <w:bCs/>
          <w:szCs w:val="22"/>
          <w:lang w:val="nl-NL"/>
        </w:rPr>
        <w:t xml:space="preserve"> steeg de autonome omzet met +6,1 procent (Q2: +6,9 procent).</w:t>
      </w:r>
    </w:p>
    <w:p w14:paraId="02C1EAAB" w14:textId="77777777" w:rsidR="00413D3C" w:rsidRPr="000B5C86" w:rsidRDefault="00413D3C" w:rsidP="00413D3C">
      <w:pPr>
        <w:rPr>
          <w:rFonts w:cs="Segoe UI"/>
          <w:bCs/>
          <w:szCs w:val="22"/>
          <w:lang w:val="nl-NL"/>
        </w:rPr>
      </w:pPr>
    </w:p>
    <w:p w14:paraId="376A4D18" w14:textId="563459EA" w:rsidR="00074CD5" w:rsidRPr="000B5C86" w:rsidRDefault="00413D3C" w:rsidP="00B87B38">
      <w:pPr>
        <w:rPr>
          <w:rFonts w:cs="Segoe UI"/>
          <w:bCs/>
          <w:szCs w:val="22"/>
          <w:lang w:val="nl-NL"/>
        </w:rPr>
      </w:pPr>
      <w:r w:rsidRPr="000B5C86">
        <w:rPr>
          <w:rFonts w:cs="Segoe UI"/>
          <w:bCs/>
          <w:szCs w:val="22"/>
          <w:lang w:val="nl-NL"/>
        </w:rPr>
        <w:t xml:space="preserve">Het </w:t>
      </w:r>
      <w:r w:rsidRPr="000B5C86">
        <w:rPr>
          <w:rFonts w:cs="Segoe UI"/>
          <w:b/>
          <w:szCs w:val="22"/>
          <w:lang w:val="nl-NL"/>
        </w:rPr>
        <w:t>aangepaste bedrijfsresultaat</w:t>
      </w:r>
      <w:r w:rsidRPr="000B5C86">
        <w:rPr>
          <w:rFonts w:cs="Segoe UI"/>
          <w:bCs/>
          <w:szCs w:val="22"/>
          <w:lang w:val="nl-NL"/>
        </w:rPr>
        <w:t xml:space="preserve"> (</w:t>
      </w:r>
      <w:proofErr w:type="spellStart"/>
      <w:r w:rsidRPr="000B5C86">
        <w:rPr>
          <w:rFonts w:cs="Segoe UI"/>
          <w:bCs/>
          <w:szCs w:val="22"/>
          <w:lang w:val="nl-NL"/>
        </w:rPr>
        <w:t>adjusted</w:t>
      </w:r>
      <w:proofErr w:type="spellEnd"/>
      <w:r w:rsidRPr="000B5C86">
        <w:rPr>
          <w:rFonts w:cs="Segoe UI"/>
          <w:bCs/>
          <w:szCs w:val="22"/>
          <w:lang w:val="nl-NL"/>
        </w:rPr>
        <w:t xml:space="preserve"> EBIT) bedroeg 1.166 miljoen euro in de eerste helft van het jaar, tegenover 1.430 miljoen euro in de</w:t>
      </w:r>
      <w:r w:rsidR="0015372F" w:rsidRPr="000B5C86">
        <w:rPr>
          <w:rFonts w:cs="Segoe UI"/>
          <w:bCs/>
          <w:szCs w:val="22"/>
          <w:lang w:val="nl-NL"/>
        </w:rPr>
        <w:t>zelfde</w:t>
      </w:r>
      <w:r w:rsidRPr="000B5C86">
        <w:rPr>
          <w:rFonts w:cs="Segoe UI"/>
          <w:bCs/>
          <w:szCs w:val="22"/>
          <w:lang w:val="nl-NL"/>
        </w:rPr>
        <w:t xml:space="preserve"> periode van het voorgaande jaar. De daling was vooral te wijten aan de aanzienlijk hogere prijzen voor directe materialen</w:t>
      </w:r>
      <w:r w:rsidR="00B87B38" w:rsidRPr="000B5C86">
        <w:rPr>
          <w:rFonts w:cs="Segoe UI"/>
          <w:bCs/>
          <w:szCs w:val="22"/>
          <w:lang w:val="nl-NL"/>
        </w:rPr>
        <w:t>.</w:t>
      </w:r>
    </w:p>
    <w:p w14:paraId="14330A73" w14:textId="77777777" w:rsidR="00074CD5" w:rsidRPr="000B5C86" w:rsidRDefault="00074CD5" w:rsidP="00074CD5">
      <w:pPr>
        <w:autoSpaceDE w:val="0"/>
        <w:autoSpaceDN w:val="0"/>
        <w:adjustRightInd w:val="0"/>
        <w:rPr>
          <w:rFonts w:cs="Segoe UI"/>
          <w:szCs w:val="22"/>
          <w:lang w:val="nl-NL"/>
        </w:rPr>
      </w:pPr>
      <w:r w:rsidRPr="000B5C86">
        <w:rPr>
          <w:rFonts w:cs="Segoe UI"/>
          <w:b/>
          <w:bCs/>
          <w:szCs w:val="22"/>
          <w:lang w:val="nl-NL"/>
        </w:rPr>
        <w:lastRenderedPageBreak/>
        <w:t>Het aangepaste rendement op omzet</w:t>
      </w:r>
      <w:r w:rsidRPr="000B5C86">
        <w:rPr>
          <w:rFonts w:cs="Segoe UI"/>
          <w:szCs w:val="22"/>
          <w:lang w:val="nl-NL"/>
        </w:rPr>
        <w:t xml:space="preserve"> (aangepaste EBIT-marge) daalde van 14,4 procent tot </w:t>
      </w:r>
    </w:p>
    <w:p w14:paraId="05248C16" w14:textId="77777777" w:rsidR="00074CD5" w:rsidRDefault="00074CD5" w:rsidP="00074CD5">
      <w:pPr>
        <w:autoSpaceDE w:val="0"/>
        <w:autoSpaceDN w:val="0"/>
        <w:adjustRightInd w:val="0"/>
        <w:rPr>
          <w:rFonts w:cs="Segoe UI"/>
          <w:szCs w:val="22"/>
          <w:lang w:val="nl-NL"/>
        </w:rPr>
      </w:pPr>
      <w:r w:rsidRPr="000B5C86">
        <w:rPr>
          <w:rFonts w:cs="Segoe UI"/>
          <w:szCs w:val="22"/>
          <w:lang w:val="nl-NL"/>
        </w:rPr>
        <w:t>10,7 procent als gevolg van aanzienlijk hogere prijzen voor directe materialen.</w:t>
      </w:r>
    </w:p>
    <w:p w14:paraId="0FFDA8F2" w14:textId="77777777" w:rsidR="00947786" w:rsidRPr="000B5C86" w:rsidRDefault="00947786" w:rsidP="00074CD5">
      <w:pPr>
        <w:autoSpaceDE w:val="0"/>
        <w:autoSpaceDN w:val="0"/>
        <w:adjustRightInd w:val="0"/>
        <w:rPr>
          <w:rFonts w:cs="Segoe UI"/>
          <w:szCs w:val="22"/>
          <w:lang w:val="nl-NL"/>
        </w:rPr>
      </w:pPr>
    </w:p>
    <w:p w14:paraId="661EE535" w14:textId="7E086A06" w:rsidR="00074CD5" w:rsidRPr="000B5C86" w:rsidRDefault="00074CD5" w:rsidP="00074CD5">
      <w:pPr>
        <w:autoSpaceDE w:val="0"/>
        <w:autoSpaceDN w:val="0"/>
        <w:adjustRightInd w:val="0"/>
        <w:rPr>
          <w:rFonts w:cs="Segoe UI"/>
          <w:szCs w:val="22"/>
          <w:lang w:val="nl-NL"/>
        </w:rPr>
      </w:pPr>
      <w:r w:rsidRPr="000B5C86">
        <w:rPr>
          <w:rFonts w:cs="Segoe UI"/>
          <w:b/>
          <w:bCs/>
          <w:szCs w:val="22"/>
          <w:lang w:val="nl-NL"/>
        </w:rPr>
        <w:t>De aangepaste winst per preferent aandeel</w:t>
      </w:r>
      <w:r w:rsidRPr="000B5C86">
        <w:rPr>
          <w:rFonts w:cs="Segoe UI"/>
          <w:szCs w:val="22"/>
          <w:lang w:val="nl-NL"/>
        </w:rPr>
        <w:t xml:space="preserve"> bedroeg 1,95 euro in de eerste helft van 2022. Bij constante wisselkoersen betekent dit een daling van -20,8 procent ten opzichte van de</w:t>
      </w:r>
      <w:r w:rsidR="006E5372">
        <w:rPr>
          <w:rFonts w:cs="Segoe UI"/>
          <w:szCs w:val="22"/>
          <w:lang w:val="nl-NL"/>
        </w:rPr>
        <w:t>zelfde</w:t>
      </w:r>
      <w:r w:rsidRPr="000B5C86">
        <w:rPr>
          <w:rFonts w:cs="Segoe UI"/>
          <w:szCs w:val="22"/>
          <w:lang w:val="nl-NL"/>
        </w:rPr>
        <w:t xml:space="preserve"> periode van het voorgaande jaar. De ontwikkeling wa</w:t>
      </w:r>
      <w:r w:rsidR="006E5372">
        <w:rPr>
          <w:rFonts w:cs="Segoe UI"/>
          <w:szCs w:val="22"/>
          <w:lang w:val="nl-NL"/>
        </w:rPr>
        <w:t>s eveneens</w:t>
      </w:r>
      <w:r w:rsidRPr="000B5C86">
        <w:rPr>
          <w:rFonts w:cs="Segoe UI"/>
          <w:szCs w:val="22"/>
          <w:lang w:val="nl-NL"/>
        </w:rPr>
        <w:t xml:space="preserve"> vooral te wijten aan de aanzienlijke stijging van de prijzen voor directe materialen.</w:t>
      </w:r>
    </w:p>
    <w:p w14:paraId="4A4C0B74" w14:textId="77777777" w:rsidR="00074CD5" w:rsidRPr="000B5C86" w:rsidRDefault="00074CD5" w:rsidP="00074CD5">
      <w:pPr>
        <w:autoSpaceDE w:val="0"/>
        <w:autoSpaceDN w:val="0"/>
        <w:adjustRightInd w:val="0"/>
        <w:rPr>
          <w:rFonts w:cs="Segoe UI"/>
          <w:szCs w:val="22"/>
          <w:lang w:val="nl-NL"/>
        </w:rPr>
      </w:pPr>
    </w:p>
    <w:p w14:paraId="62603BE1" w14:textId="2818A284" w:rsidR="00074CD5" w:rsidRPr="000B5C86" w:rsidRDefault="00074CD5" w:rsidP="00074CD5">
      <w:pPr>
        <w:autoSpaceDE w:val="0"/>
        <w:autoSpaceDN w:val="0"/>
        <w:adjustRightInd w:val="0"/>
        <w:rPr>
          <w:rFonts w:cs="Segoe UI"/>
          <w:szCs w:val="22"/>
          <w:lang w:val="nl-NL"/>
        </w:rPr>
      </w:pPr>
      <w:r w:rsidRPr="000B5C86">
        <w:rPr>
          <w:rFonts w:cs="Segoe UI"/>
          <w:szCs w:val="22"/>
          <w:lang w:val="nl-NL"/>
        </w:rPr>
        <w:t xml:space="preserve">Het </w:t>
      </w:r>
      <w:r w:rsidR="00EF62A3" w:rsidRPr="000B5C86">
        <w:rPr>
          <w:rFonts w:cs="Segoe UI"/>
          <w:b/>
          <w:bCs/>
          <w:szCs w:val="22"/>
          <w:lang w:val="nl-NL"/>
        </w:rPr>
        <w:t>netto werkkapitaal</w:t>
      </w:r>
      <w:r w:rsidRPr="000B5C86">
        <w:rPr>
          <w:rFonts w:cs="Segoe UI"/>
          <w:b/>
          <w:bCs/>
          <w:szCs w:val="22"/>
          <w:lang w:val="nl-NL"/>
        </w:rPr>
        <w:t xml:space="preserve"> </w:t>
      </w:r>
      <w:r w:rsidRPr="000B5C86">
        <w:rPr>
          <w:rFonts w:cs="Segoe UI"/>
          <w:szCs w:val="22"/>
          <w:lang w:val="nl-NL"/>
        </w:rPr>
        <w:t>steeg met 1,6 procentpunt tot 5,2 procent van de omzet (</w:t>
      </w:r>
      <w:r w:rsidR="00EF62A3">
        <w:rPr>
          <w:rFonts w:cs="Segoe UI"/>
          <w:szCs w:val="22"/>
          <w:lang w:val="nl-NL"/>
        </w:rPr>
        <w:t xml:space="preserve">dezelfde </w:t>
      </w:r>
      <w:r w:rsidRPr="000B5C86">
        <w:rPr>
          <w:rFonts w:cs="Segoe UI"/>
          <w:szCs w:val="22"/>
          <w:lang w:val="nl-NL"/>
        </w:rPr>
        <w:t xml:space="preserve">periode vorig jaar: 3,6 procent), </w:t>
      </w:r>
      <w:r w:rsidR="003208B1" w:rsidRPr="000B5C86">
        <w:rPr>
          <w:rFonts w:cs="Segoe UI"/>
          <w:szCs w:val="22"/>
          <w:lang w:val="nl-NL"/>
        </w:rPr>
        <w:t>ook</w:t>
      </w:r>
      <w:r w:rsidRPr="000B5C86">
        <w:rPr>
          <w:rFonts w:cs="Segoe UI"/>
          <w:szCs w:val="22"/>
          <w:lang w:val="nl-NL"/>
        </w:rPr>
        <w:t xml:space="preserve"> onder invloed van de sterk gestegen grondstofprijzen.</w:t>
      </w:r>
    </w:p>
    <w:p w14:paraId="20E5FF4E" w14:textId="77777777" w:rsidR="00074CD5" w:rsidRPr="000B5C86" w:rsidRDefault="00074CD5" w:rsidP="00074CD5">
      <w:pPr>
        <w:autoSpaceDE w:val="0"/>
        <w:autoSpaceDN w:val="0"/>
        <w:adjustRightInd w:val="0"/>
        <w:rPr>
          <w:rFonts w:cs="Segoe UI"/>
          <w:szCs w:val="22"/>
          <w:lang w:val="nl-NL"/>
        </w:rPr>
      </w:pPr>
    </w:p>
    <w:p w14:paraId="4F6E749B" w14:textId="5EC93376" w:rsidR="00074CD5" w:rsidRPr="000B5C86" w:rsidRDefault="00074CD5" w:rsidP="00074CD5">
      <w:pPr>
        <w:autoSpaceDE w:val="0"/>
        <w:autoSpaceDN w:val="0"/>
        <w:adjustRightInd w:val="0"/>
        <w:rPr>
          <w:rFonts w:cs="Segoe UI"/>
          <w:szCs w:val="22"/>
          <w:lang w:val="nl-NL"/>
        </w:rPr>
      </w:pPr>
      <w:r w:rsidRPr="000B5C86">
        <w:rPr>
          <w:rFonts w:cs="Segoe UI"/>
          <w:szCs w:val="22"/>
          <w:lang w:val="nl-NL"/>
        </w:rPr>
        <w:t xml:space="preserve">De </w:t>
      </w:r>
      <w:r w:rsidRPr="000B5C86">
        <w:rPr>
          <w:rFonts w:cs="Segoe UI"/>
          <w:b/>
          <w:bCs/>
          <w:szCs w:val="22"/>
          <w:lang w:val="nl-NL"/>
        </w:rPr>
        <w:t>vrije kasstroom</w:t>
      </w:r>
      <w:r w:rsidRPr="000B5C86">
        <w:rPr>
          <w:rFonts w:cs="Segoe UI"/>
          <w:szCs w:val="22"/>
          <w:lang w:val="nl-NL"/>
        </w:rPr>
        <w:t xml:space="preserve"> van 46 miljoen euro was lager dan in de eerste helft van 2021 (471 miljoen euro) door een lagere kasstroom uit bedrijfsactiviteiten als gevolg van de lagere bedrijfswinst en het hogere netto</w:t>
      </w:r>
      <w:r w:rsidR="00EF0E2F">
        <w:rPr>
          <w:rFonts w:cs="Segoe UI"/>
          <w:szCs w:val="22"/>
          <w:lang w:val="nl-NL"/>
        </w:rPr>
        <w:t xml:space="preserve"> </w:t>
      </w:r>
      <w:r w:rsidRPr="000B5C86">
        <w:rPr>
          <w:rFonts w:cs="Segoe UI"/>
          <w:szCs w:val="22"/>
          <w:lang w:val="nl-NL"/>
        </w:rPr>
        <w:t>werkkapitaal.</w:t>
      </w:r>
    </w:p>
    <w:p w14:paraId="35F2C594" w14:textId="77777777" w:rsidR="00226640" w:rsidRPr="000B5C86" w:rsidRDefault="00226640" w:rsidP="00226640">
      <w:pPr>
        <w:rPr>
          <w:rFonts w:cs="Segoe UI"/>
          <w:szCs w:val="22"/>
          <w:highlight w:val="yellow"/>
          <w:lang w:val="nl-NL"/>
        </w:rPr>
      </w:pPr>
    </w:p>
    <w:p w14:paraId="1BDA9AF5" w14:textId="48205CEA" w:rsidR="00797C17" w:rsidRPr="000B5C86" w:rsidRDefault="00797C17" w:rsidP="00797C17">
      <w:pPr>
        <w:rPr>
          <w:lang w:val="nl-NL"/>
        </w:rPr>
      </w:pPr>
      <w:r w:rsidRPr="000B5C86">
        <w:rPr>
          <w:lang w:val="nl-NL"/>
        </w:rPr>
        <w:t xml:space="preserve">Per 30 juni 2022 bedroeg de </w:t>
      </w:r>
      <w:r w:rsidRPr="000B5C86">
        <w:rPr>
          <w:b/>
          <w:bCs/>
          <w:lang w:val="nl-NL"/>
        </w:rPr>
        <w:t>netto financiële positie</w:t>
      </w:r>
      <w:r w:rsidRPr="000B5C86">
        <w:rPr>
          <w:lang w:val="nl-NL"/>
        </w:rPr>
        <w:t xml:space="preserve"> -1.441 miljoen euro (31 december 2021: -292 miljoen euro). Deze ontwikkeling omvat ook uitgaven van ongeveer 430 miljoen euro in het kader van het in februari 2022 gelanceerde </w:t>
      </w:r>
      <w:r w:rsidR="001702CD" w:rsidRPr="000B5C86">
        <w:rPr>
          <w:lang w:val="nl-NL"/>
        </w:rPr>
        <w:t xml:space="preserve">share </w:t>
      </w:r>
      <w:proofErr w:type="spellStart"/>
      <w:r w:rsidR="001702CD" w:rsidRPr="000B5C86">
        <w:rPr>
          <w:lang w:val="nl-NL"/>
        </w:rPr>
        <w:t>buyback</w:t>
      </w:r>
      <w:proofErr w:type="spellEnd"/>
      <w:r w:rsidR="001702CD" w:rsidRPr="000B5C86">
        <w:rPr>
          <w:lang w:val="nl-NL"/>
        </w:rPr>
        <w:t xml:space="preserve"> </w:t>
      </w:r>
      <w:r w:rsidRPr="000B5C86">
        <w:rPr>
          <w:lang w:val="nl-NL"/>
        </w:rPr>
        <w:t>programma, alsook dividendbetalingen van ongeveer 800 miljoen euro in het tweede kwartaal.</w:t>
      </w:r>
    </w:p>
    <w:p w14:paraId="3F91CC6E" w14:textId="77777777" w:rsidR="001702CD" w:rsidRPr="000B5C86" w:rsidRDefault="001702CD" w:rsidP="00797C17">
      <w:pPr>
        <w:rPr>
          <w:lang w:val="nl-NL"/>
        </w:rPr>
      </w:pPr>
    </w:p>
    <w:p w14:paraId="5F887CF0" w14:textId="1AA89D3A" w:rsidR="008C0C74" w:rsidRPr="000B5C86" w:rsidRDefault="00C21C04" w:rsidP="008C0C74">
      <w:pPr>
        <w:rPr>
          <w:rFonts w:cs="Segoe UI"/>
          <w:b/>
          <w:bCs/>
          <w:szCs w:val="22"/>
          <w:lang w:val="nl-NL"/>
        </w:rPr>
      </w:pPr>
      <w:bookmarkStart w:id="1" w:name="_Hlk78300139"/>
      <w:r>
        <w:rPr>
          <w:rFonts w:cs="Segoe UI"/>
          <w:b/>
          <w:bCs/>
          <w:szCs w:val="22"/>
          <w:lang w:val="nl-NL"/>
        </w:rPr>
        <w:t>P</w:t>
      </w:r>
      <w:r w:rsidRPr="000B5C86">
        <w:rPr>
          <w:rFonts w:cs="Segoe UI"/>
          <w:b/>
          <w:bCs/>
          <w:szCs w:val="22"/>
          <w:lang w:val="nl-NL"/>
        </w:rPr>
        <w:t>restaties</w:t>
      </w:r>
      <w:r w:rsidRPr="000B5C86">
        <w:rPr>
          <w:rFonts w:cs="Segoe UI"/>
          <w:b/>
          <w:bCs/>
          <w:szCs w:val="22"/>
          <w:lang w:val="nl-NL"/>
        </w:rPr>
        <w:t xml:space="preserve"> </w:t>
      </w:r>
      <w:r>
        <w:rPr>
          <w:rFonts w:cs="Segoe UI"/>
          <w:b/>
          <w:bCs/>
          <w:szCs w:val="22"/>
          <w:lang w:val="nl-NL"/>
        </w:rPr>
        <w:t>b</w:t>
      </w:r>
      <w:r w:rsidR="005357EB" w:rsidRPr="000B5C86">
        <w:rPr>
          <w:rFonts w:cs="Segoe UI"/>
          <w:b/>
          <w:bCs/>
          <w:szCs w:val="22"/>
          <w:lang w:val="nl-NL"/>
        </w:rPr>
        <w:t xml:space="preserve">usiness unit </w:t>
      </w:r>
      <w:r w:rsidR="008C0C74" w:rsidRPr="000B5C86">
        <w:rPr>
          <w:rFonts w:cs="Segoe UI"/>
          <w:b/>
          <w:bCs/>
          <w:szCs w:val="22"/>
          <w:lang w:val="nl-NL"/>
        </w:rPr>
        <w:t>in de eerste helft van 2022</w:t>
      </w:r>
    </w:p>
    <w:p w14:paraId="122DF41C" w14:textId="1A4887D0" w:rsidR="008C0C74" w:rsidRPr="000B5C86" w:rsidRDefault="008C0C74" w:rsidP="008C0C74">
      <w:pPr>
        <w:rPr>
          <w:rFonts w:cs="Segoe UI"/>
          <w:szCs w:val="22"/>
          <w:lang w:val="nl-NL"/>
        </w:rPr>
      </w:pPr>
      <w:r w:rsidRPr="000B5C86">
        <w:rPr>
          <w:rFonts w:cs="Segoe UI"/>
          <w:szCs w:val="22"/>
          <w:lang w:val="nl-NL"/>
        </w:rPr>
        <w:t xml:space="preserve">In de eerste helft van 2022 steeg de omzet van de business unit </w:t>
      </w:r>
      <w:proofErr w:type="spellStart"/>
      <w:r w:rsidRPr="000B5C86">
        <w:rPr>
          <w:rFonts w:cs="Segoe UI"/>
          <w:b/>
          <w:bCs/>
          <w:szCs w:val="22"/>
          <w:lang w:val="nl-NL"/>
        </w:rPr>
        <w:t>Adhesive</w:t>
      </w:r>
      <w:proofErr w:type="spellEnd"/>
      <w:r w:rsidRPr="000B5C86">
        <w:rPr>
          <w:rFonts w:cs="Segoe UI"/>
          <w:b/>
          <w:bCs/>
          <w:szCs w:val="22"/>
          <w:lang w:val="nl-NL"/>
        </w:rPr>
        <w:t xml:space="preserve"> Technologies</w:t>
      </w:r>
      <w:r w:rsidRPr="000B5C86">
        <w:rPr>
          <w:rFonts w:cs="Segoe UI"/>
          <w:szCs w:val="22"/>
          <w:lang w:val="nl-NL"/>
        </w:rPr>
        <w:t xml:space="preserve"> nominaal met +15,0 procent tot 5.467 miljoen euro (Q2: 2.836 miljoen euro, +18,5 procent). De </w:t>
      </w:r>
      <w:r w:rsidRPr="000B5C86">
        <w:rPr>
          <w:rFonts w:cs="Segoe UI"/>
          <w:b/>
          <w:bCs/>
          <w:szCs w:val="22"/>
          <w:lang w:val="nl-NL"/>
        </w:rPr>
        <w:t>organische omzet</w:t>
      </w:r>
      <w:r w:rsidRPr="000B5C86">
        <w:rPr>
          <w:rFonts w:cs="Segoe UI"/>
          <w:szCs w:val="22"/>
          <w:lang w:val="nl-NL"/>
        </w:rPr>
        <w:t xml:space="preserve"> steeg met +12,2 procent (Q2: +13,7 procent). Deze ontwikkeling werd aangedreven door alle </w:t>
      </w:r>
      <w:r w:rsidR="00257D04" w:rsidRPr="000B5C86">
        <w:rPr>
          <w:rFonts w:cs="Segoe UI"/>
          <w:szCs w:val="22"/>
          <w:lang w:val="nl-NL"/>
        </w:rPr>
        <w:t xml:space="preserve">divisies </w:t>
      </w:r>
      <w:r w:rsidRPr="000B5C86">
        <w:rPr>
          <w:rFonts w:cs="Segoe UI"/>
          <w:szCs w:val="22"/>
          <w:lang w:val="nl-NL"/>
        </w:rPr>
        <w:t xml:space="preserve">en regio's. Het </w:t>
      </w:r>
      <w:r w:rsidRPr="000B5C86">
        <w:rPr>
          <w:rFonts w:cs="Segoe UI"/>
          <w:b/>
          <w:bCs/>
          <w:szCs w:val="22"/>
          <w:lang w:val="nl-NL"/>
        </w:rPr>
        <w:t>aangepaste bedrijfsresultaat</w:t>
      </w:r>
      <w:r w:rsidRPr="000B5C86">
        <w:rPr>
          <w:rFonts w:cs="Segoe UI"/>
          <w:szCs w:val="22"/>
          <w:lang w:val="nl-NL"/>
        </w:rPr>
        <w:t xml:space="preserve"> bedroeg in de eerste helft van 2022 743 miljoen euro, tegenover 820 miljoen euro in de periode van vorig jaar. Met 13,6 procent lag het </w:t>
      </w:r>
      <w:r w:rsidRPr="000B5C86">
        <w:rPr>
          <w:rFonts w:cs="Segoe UI"/>
          <w:b/>
          <w:bCs/>
          <w:szCs w:val="22"/>
          <w:lang w:val="nl-NL"/>
        </w:rPr>
        <w:t>aangepaste rendement</w:t>
      </w:r>
      <w:r w:rsidRPr="000B5C86">
        <w:rPr>
          <w:rFonts w:cs="Segoe UI"/>
          <w:szCs w:val="22"/>
          <w:lang w:val="nl-NL"/>
        </w:rPr>
        <w:t xml:space="preserve"> </w:t>
      </w:r>
      <w:r w:rsidRPr="000B5C86">
        <w:rPr>
          <w:rFonts w:cs="Segoe UI"/>
          <w:b/>
          <w:bCs/>
          <w:szCs w:val="22"/>
          <w:lang w:val="nl-NL"/>
        </w:rPr>
        <w:t>op de omzet</w:t>
      </w:r>
      <w:r w:rsidRPr="000B5C86">
        <w:rPr>
          <w:rFonts w:cs="Segoe UI"/>
          <w:szCs w:val="22"/>
          <w:lang w:val="nl-NL"/>
        </w:rPr>
        <w:t xml:space="preserve"> 3,7 procentpunt onder het cijfer voor het eerste halfjaar van 2021, waarbij de winstcijfers werden beïnvloed door de aanzienlijke stijging van de prijzen voor directe materialen.</w:t>
      </w:r>
    </w:p>
    <w:p w14:paraId="07FA8ADA" w14:textId="77777777" w:rsidR="008C0C74" w:rsidRPr="000B5C86" w:rsidRDefault="008C0C74" w:rsidP="008C0C74">
      <w:pPr>
        <w:rPr>
          <w:rFonts w:cs="Segoe UI"/>
          <w:szCs w:val="22"/>
          <w:lang w:val="nl-NL"/>
        </w:rPr>
      </w:pPr>
    </w:p>
    <w:p w14:paraId="5E99920F" w14:textId="4C394446" w:rsidR="00BD71F4" w:rsidRDefault="008C0C74" w:rsidP="003B40A1">
      <w:pPr>
        <w:rPr>
          <w:rFonts w:cs="Segoe UI"/>
          <w:szCs w:val="22"/>
          <w:lang w:val="nl-NL"/>
        </w:rPr>
      </w:pPr>
      <w:r w:rsidRPr="000B5C86">
        <w:rPr>
          <w:rFonts w:cs="Segoe UI"/>
          <w:szCs w:val="22"/>
          <w:lang w:val="nl-NL"/>
        </w:rPr>
        <w:t xml:space="preserve">In de business unit </w:t>
      </w:r>
      <w:r w:rsidRPr="000B5C86">
        <w:rPr>
          <w:rFonts w:cs="Segoe UI"/>
          <w:b/>
          <w:bCs/>
          <w:szCs w:val="22"/>
          <w:lang w:val="nl-NL"/>
        </w:rPr>
        <w:t>Beauty Care</w:t>
      </w:r>
      <w:r w:rsidRPr="000B5C86">
        <w:rPr>
          <w:rFonts w:cs="Segoe UI"/>
          <w:szCs w:val="22"/>
          <w:lang w:val="nl-NL"/>
        </w:rPr>
        <w:t xml:space="preserve"> steeg de </w:t>
      </w:r>
      <w:r w:rsidRPr="008C49C4">
        <w:rPr>
          <w:rFonts w:cs="Segoe UI"/>
          <w:b/>
          <w:bCs/>
          <w:szCs w:val="22"/>
          <w:lang w:val="nl-NL"/>
        </w:rPr>
        <w:t>omzet</w:t>
      </w:r>
      <w:r w:rsidRPr="000B5C86">
        <w:rPr>
          <w:rFonts w:cs="Segoe UI"/>
          <w:szCs w:val="22"/>
          <w:lang w:val="nl-NL"/>
        </w:rPr>
        <w:t xml:space="preserve"> in de eerste zes maanden van 2022 </w:t>
      </w:r>
      <w:r w:rsidRPr="008C49C4">
        <w:rPr>
          <w:rFonts w:cs="Segoe UI"/>
          <w:b/>
          <w:bCs/>
          <w:szCs w:val="22"/>
          <w:lang w:val="nl-NL"/>
        </w:rPr>
        <w:t>autonoom</w:t>
      </w:r>
      <w:r w:rsidRPr="000B5C86">
        <w:rPr>
          <w:rFonts w:cs="Segoe UI"/>
          <w:szCs w:val="22"/>
          <w:lang w:val="nl-NL"/>
        </w:rPr>
        <w:t xml:space="preserve"> met +0,4 procent (Q2: +2,1 procent). Nominaal steeg de omzet met +0,2 procent en kwam uit op 1.842 miljoen euro (Q2: 950 miljoen euro, +3,9 procent). Deze groei was vooral te danken aan de sterke prestatie van de </w:t>
      </w:r>
      <w:r w:rsidR="007F2DDB">
        <w:rPr>
          <w:rFonts w:cs="Segoe UI"/>
          <w:szCs w:val="22"/>
          <w:lang w:val="nl-NL"/>
        </w:rPr>
        <w:t>k</w:t>
      </w:r>
      <w:r w:rsidRPr="000B5C86">
        <w:rPr>
          <w:rFonts w:cs="Segoe UI"/>
          <w:szCs w:val="22"/>
          <w:lang w:val="nl-NL"/>
        </w:rPr>
        <w:t xml:space="preserve">apsalonactiviteiten, die konden voortbouwen op hun sterke prestatie van het voorgaande jaar. De consumentenactiviteiten daarentegen bleven onder het niveau van het voorgaande jaar, voornamelijk als gevolg van de uitvoering van de voor 2022 aangekondigde maatregelen ter verbetering van de portefeuille. Het </w:t>
      </w:r>
      <w:r w:rsidRPr="000B5C86">
        <w:rPr>
          <w:rFonts w:cs="Segoe UI"/>
          <w:b/>
          <w:bCs/>
          <w:szCs w:val="22"/>
          <w:lang w:val="nl-NL"/>
        </w:rPr>
        <w:t>aangepaste bedrijfsresultaat</w:t>
      </w:r>
      <w:r w:rsidRPr="000B5C86">
        <w:rPr>
          <w:rFonts w:cs="Segoe UI"/>
          <w:szCs w:val="22"/>
          <w:lang w:val="nl-NL"/>
        </w:rPr>
        <w:t xml:space="preserve"> bedroeg 169 miljoen euro in het eerste halfjaar van 2022, tegen 183 miljoen </w:t>
      </w:r>
      <w:r w:rsidRPr="000B5C86">
        <w:rPr>
          <w:rFonts w:cs="Segoe UI"/>
          <w:szCs w:val="22"/>
          <w:lang w:val="nl-NL"/>
        </w:rPr>
        <w:lastRenderedPageBreak/>
        <w:t xml:space="preserve">euro in het eerste halfjaar van 2021. Het </w:t>
      </w:r>
      <w:r w:rsidRPr="000B5C86">
        <w:rPr>
          <w:rFonts w:cs="Segoe UI"/>
          <w:b/>
          <w:bCs/>
          <w:szCs w:val="22"/>
          <w:lang w:val="nl-NL"/>
        </w:rPr>
        <w:t>aangepaste rendement op omzet</w:t>
      </w:r>
      <w:r w:rsidRPr="000B5C86">
        <w:rPr>
          <w:rFonts w:cs="Segoe UI"/>
          <w:szCs w:val="22"/>
          <w:lang w:val="nl-NL"/>
        </w:rPr>
        <w:t xml:space="preserve"> lag met 9,2 procent 0,8 procentpunt onder het niveau van het voorgaande jaar, </w:t>
      </w:r>
      <w:r w:rsidR="00201F28" w:rsidRPr="000B5C86">
        <w:rPr>
          <w:rFonts w:cs="Segoe UI"/>
          <w:szCs w:val="22"/>
          <w:lang w:val="nl-NL"/>
        </w:rPr>
        <w:t xml:space="preserve">ook </w:t>
      </w:r>
      <w:r w:rsidRPr="000B5C86">
        <w:rPr>
          <w:rFonts w:cs="Segoe UI"/>
          <w:szCs w:val="22"/>
          <w:lang w:val="nl-NL"/>
        </w:rPr>
        <w:t>onder invloed van hogere prijzen voor directe materialen.</w:t>
      </w:r>
      <w:bookmarkEnd w:id="1"/>
    </w:p>
    <w:p w14:paraId="30C3BE45" w14:textId="77777777" w:rsidR="003B40A1" w:rsidRPr="003B40A1" w:rsidRDefault="003B40A1" w:rsidP="003B40A1">
      <w:pPr>
        <w:rPr>
          <w:rFonts w:cs="Segoe UI"/>
          <w:szCs w:val="22"/>
          <w:lang w:val="nl-NL"/>
        </w:rPr>
      </w:pPr>
    </w:p>
    <w:p w14:paraId="79363DB7" w14:textId="28117D2B" w:rsidR="000773C2" w:rsidRPr="000B5C86" w:rsidRDefault="000773C2" w:rsidP="000773C2">
      <w:pPr>
        <w:rPr>
          <w:rFonts w:cs="Segoe UI"/>
          <w:szCs w:val="22"/>
          <w:lang w:val="nl-NL"/>
        </w:rPr>
      </w:pPr>
      <w:bookmarkStart w:id="2" w:name="_Hlk109204760"/>
      <w:r w:rsidRPr="000B5C86">
        <w:rPr>
          <w:rFonts w:cs="Segoe UI"/>
          <w:szCs w:val="22"/>
          <w:lang w:val="nl-NL"/>
        </w:rPr>
        <w:t xml:space="preserve">De business unit </w:t>
      </w:r>
      <w:proofErr w:type="spellStart"/>
      <w:r w:rsidRPr="000B5C86">
        <w:rPr>
          <w:rFonts w:cs="Segoe UI"/>
          <w:b/>
          <w:bCs/>
          <w:szCs w:val="22"/>
          <w:lang w:val="nl-NL"/>
        </w:rPr>
        <w:t>Laundry</w:t>
      </w:r>
      <w:proofErr w:type="spellEnd"/>
      <w:r w:rsidRPr="000B5C86">
        <w:rPr>
          <w:rFonts w:cs="Segoe UI"/>
          <w:b/>
          <w:bCs/>
          <w:szCs w:val="22"/>
          <w:lang w:val="nl-NL"/>
        </w:rPr>
        <w:t xml:space="preserve"> &amp; Home Care</w:t>
      </w:r>
      <w:r w:rsidRPr="000B5C86">
        <w:rPr>
          <w:rFonts w:cs="Segoe UI"/>
          <w:szCs w:val="22"/>
          <w:lang w:val="nl-NL"/>
        </w:rPr>
        <w:t xml:space="preserve"> realiseerde een aanzienlijke </w:t>
      </w:r>
      <w:r w:rsidRPr="000B5C86">
        <w:rPr>
          <w:rFonts w:cs="Segoe UI"/>
          <w:b/>
          <w:bCs/>
          <w:szCs w:val="22"/>
          <w:lang w:val="nl-NL"/>
        </w:rPr>
        <w:t>organische omzet</w:t>
      </w:r>
      <w:r w:rsidRPr="000B5C86">
        <w:rPr>
          <w:rFonts w:cs="Segoe UI"/>
          <w:szCs w:val="22"/>
          <w:lang w:val="nl-NL"/>
        </w:rPr>
        <w:t xml:space="preserve">stijging van +7,4 procent in de eerste helft van 2022 (Q2: +10,1 procent). De groei werd vooral gedreven door een </w:t>
      </w:r>
      <w:r w:rsidR="008B0900">
        <w:rPr>
          <w:rFonts w:cs="Segoe UI"/>
          <w:szCs w:val="22"/>
          <w:lang w:val="nl-NL"/>
        </w:rPr>
        <w:t>twee</w:t>
      </w:r>
      <w:r w:rsidRPr="000B5C86">
        <w:rPr>
          <w:rFonts w:cs="Segoe UI"/>
          <w:szCs w:val="22"/>
          <w:lang w:val="nl-NL"/>
        </w:rPr>
        <w:t xml:space="preserve">cijferige stijging van de omzet in de </w:t>
      </w:r>
      <w:proofErr w:type="spellStart"/>
      <w:r w:rsidR="00494D2D" w:rsidRPr="000B5C86">
        <w:rPr>
          <w:rFonts w:cs="Segoe UI"/>
          <w:szCs w:val="22"/>
          <w:lang w:val="nl-NL"/>
        </w:rPr>
        <w:t>Laundry</w:t>
      </w:r>
      <w:proofErr w:type="spellEnd"/>
      <w:r w:rsidR="00494D2D" w:rsidRPr="000B5C86">
        <w:rPr>
          <w:rFonts w:cs="Segoe UI"/>
          <w:szCs w:val="22"/>
          <w:lang w:val="nl-NL"/>
        </w:rPr>
        <w:t xml:space="preserve"> divisie</w:t>
      </w:r>
      <w:r w:rsidRPr="000B5C86">
        <w:rPr>
          <w:rFonts w:cs="Segoe UI"/>
          <w:szCs w:val="22"/>
          <w:lang w:val="nl-NL"/>
        </w:rPr>
        <w:t xml:space="preserve">. In nominale termen steeg de omzet met +6,7 procent tot 3.494 miljoen euro (Q2: 1.802 miljoen euro, +11,3 procent). Het </w:t>
      </w:r>
      <w:r w:rsidRPr="000B5C86">
        <w:rPr>
          <w:rFonts w:cs="Segoe UI"/>
          <w:b/>
          <w:bCs/>
          <w:szCs w:val="22"/>
          <w:lang w:val="nl-NL"/>
        </w:rPr>
        <w:t>gecorrigeerde bedrijfsresultaat</w:t>
      </w:r>
      <w:r w:rsidRPr="000B5C86">
        <w:rPr>
          <w:rFonts w:cs="Segoe UI"/>
          <w:szCs w:val="22"/>
          <w:lang w:val="nl-NL"/>
        </w:rPr>
        <w:t xml:space="preserve"> bedroeg 313 miljoen euro, tegenover 490 miljoen euro in de periode van het voorgaande jaar. Het </w:t>
      </w:r>
      <w:r w:rsidRPr="000B5C86">
        <w:rPr>
          <w:rFonts w:cs="Segoe UI"/>
          <w:b/>
          <w:bCs/>
          <w:szCs w:val="22"/>
          <w:lang w:val="nl-NL"/>
        </w:rPr>
        <w:t>gecorrigeerde rendement op de omzet</w:t>
      </w:r>
      <w:r w:rsidRPr="000B5C86">
        <w:rPr>
          <w:rFonts w:cs="Segoe UI"/>
          <w:szCs w:val="22"/>
          <w:lang w:val="nl-NL"/>
        </w:rPr>
        <w:t xml:space="preserve"> bedroeg 9,0 procent, eveneens onder het niveau van de eerste helft van 2021, met name als gevolg van de aanzienlijke stijging van de prijzen voor directe materialen.</w:t>
      </w:r>
    </w:p>
    <w:p w14:paraId="30EA8FB1" w14:textId="77777777" w:rsidR="000773C2" w:rsidRPr="000B5C86" w:rsidRDefault="000773C2" w:rsidP="000773C2">
      <w:pPr>
        <w:rPr>
          <w:rFonts w:cs="Segoe UI"/>
          <w:szCs w:val="22"/>
          <w:lang w:val="nl-NL"/>
        </w:rPr>
      </w:pPr>
    </w:p>
    <w:p w14:paraId="319736AB" w14:textId="39418004" w:rsidR="000773C2" w:rsidRPr="000B5C86" w:rsidRDefault="000773C2" w:rsidP="000773C2">
      <w:pPr>
        <w:rPr>
          <w:rFonts w:cs="Segoe UI"/>
          <w:b/>
          <w:bCs/>
          <w:szCs w:val="22"/>
          <w:lang w:val="nl-NL"/>
        </w:rPr>
      </w:pPr>
      <w:r w:rsidRPr="000B5C86">
        <w:rPr>
          <w:rFonts w:cs="Segoe UI"/>
          <w:b/>
          <w:bCs/>
          <w:szCs w:val="22"/>
          <w:lang w:val="nl-NL"/>
        </w:rPr>
        <w:t xml:space="preserve">Agenda voor </w:t>
      </w:r>
      <w:r w:rsidR="005A682B">
        <w:rPr>
          <w:rFonts w:cs="Segoe UI"/>
          <w:b/>
          <w:bCs/>
          <w:szCs w:val="22"/>
          <w:lang w:val="nl-NL"/>
        </w:rPr>
        <w:t>D</w:t>
      </w:r>
      <w:r w:rsidRPr="000B5C86">
        <w:rPr>
          <w:rFonts w:cs="Segoe UI"/>
          <w:b/>
          <w:bCs/>
          <w:szCs w:val="22"/>
          <w:lang w:val="nl-NL"/>
        </w:rPr>
        <w:t xml:space="preserve">oelgerichte </w:t>
      </w:r>
      <w:r w:rsidR="005A682B">
        <w:rPr>
          <w:rFonts w:cs="Segoe UI"/>
          <w:b/>
          <w:bCs/>
          <w:szCs w:val="22"/>
          <w:lang w:val="nl-NL"/>
        </w:rPr>
        <w:t>G</w:t>
      </w:r>
      <w:r w:rsidRPr="000B5C86">
        <w:rPr>
          <w:rFonts w:cs="Segoe UI"/>
          <w:b/>
          <w:bCs/>
          <w:szCs w:val="22"/>
          <w:lang w:val="nl-NL"/>
        </w:rPr>
        <w:t>roei: goede vooruitgang</w:t>
      </w:r>
    </w:p>
    <w:p w14:paraId="11190EE6" w14:textId="2D41D9CB" w:rsidR="000773C2" w:rsidRPr="000B5C86" w:rsidRDefault="000773C2" w:rsidP="000773C2">
      <w:pPr>
        <w:rPr>
          <w:rFonts w:cs="Segoe UI"/>
          <w:szCs w:val="22"/>
          <w:lang w:val="nl-NL"/>
        </w:rPr>
      </w:pPr>
      <w:r w:rsidRPr="000B5C86">
        <w:rPr>
          <w:rFonts w:cs="Segoe UI"/>
          <w:szCs w:val="22"/>
          <w:lang w:val="nl-NL"/>
        </w:rPr>
        <w:t xml:space="preserve">Henkel streeft een agenda voor </w:t>
      </w:r>
      <w:r w:rsidR="008A33A6">
        <w:rPr>
          <w:rFonts w:cs="Segoe UI"/>
          <w:szCs w:val="22"/>
          <w:lang w:val="nl-NL"/>
        </w:rPr>
        <w:t>D</w:t>
      </w:r>
      <w:r w:rsidRPr="000B5C86">
        <w:rPr>
          <w:rFonts w:cs="Segoe UI"/>
          <w:szCs w:val="22"/>
          <w:lang w:val="nl-NL"/>
        </w:rPr>
        <w:t xml:space="preserve">oelgerichte </w:t>
      </w:r>
      <w:r w:rsidR="008A33A6">
        <w:rPr>
          <w:rFonts w:cs="Segoe UI"/>
          <w:szCs w:val="22"/>
          <w:lang w:val="nl-NL"/>
        </w:rPr>
        <w:t>G</w:t>
      </w:r>
      <w:r w:rsidRPr="000B5C86">
        <w:rPr>
          <w:rFonts w:cs="Segoe UI"/>
          <w:szCs w:val="22"/>
          <w:lang w:val="nl-NL"/>
        </w:rPr>
        <w:t xml:space="preserve">roei </w:t>
      </w:r>
      <w:r w:rsidR="007C0B02" w:rsidRPr="000B5C86">
        <w:rPr>
          <w:rFonts w:cs="Segoe UI"/>
          <w:szCs w:val="22"/>
          <w:lang w:val="nl-NL"/>
        </w:rPr>
        <w:t>(</w:t>
      </w:r>
      <w:proofErr w:type="spellStart"/>
      <w:r w:rsidR="007C0B02" w:rsidRPr="000B5C86">
        <w:rPr>
          <w:rFonts w:cs="Segoe UI"/>
          <w:szCs w:val="22"/>
          <w:lang w:val="nl-NL"/>
        </w:rPr>
        <w:t>Purposeful</w:t>
      </w:r>
      <w:proofErr w:type="spellEnd"/>
      <w:r w:rsidR="007C0B02" w:rsidRPr="000B5C86">
        <w:rPr>
          <w:rFonts w:cs="Segoe UI"/>
          <w:szCs w:val="22"/>
          <w:lang w:val="nl-NL"/>
        </w:rPr>
        <w:t xml:space="preserve"> </w:t>
      </w:r>
      <w:proofErr w:type="spellStart"/>
      <w:r w:rsidR="007C0B02" w:rsidRPr="000B5C86">
        <w:rPr>
          <w:rFonts w:cs="Segoe UI"/>
          <w:szCs w:val="22"/>
          <w:lang w:val="nl-NL"/>
        </w:rPr>
        <w:t>Growth</w:t>
      </w:r>
      <w:proofErr w:type="spellEnd"/>
      <w:r w:rsidR="007C0B02" w:rsidRPr="000B5C86">
        <w:rPr>
          <w:rFonts w:cs="Segoe UI"/>
          <w:szCs w:val="22"/>
          <w:lang w:val="nl-NL"/>
        </w:rPr>
        <w:t xml:space="preserve">) </w:t>
      </w:r>
      <w:r w:rsidRPr="000B5C86">
        <w:rPr>
          <w:rFonts w:cs="Segoe UI"/>
          <w:szCs w:val="22"/>
          <w:lang w:val="nl-NL"/>
        </w:rPr>
        <w:t xml:space="preserve">na en heeft daarvoor een duidelijk strategisch kader ontwikkeld. Kernelementen van het strategisch kader zijn een succesvolle portefeuille, een duidelijk concurrentievoordeel op het gebied van innovatie, duurzaamheid en digitalisering, alsmede toekomstbestendige bedrijfsmodellen - gebaseerd op een sterke bedrijfscultuur. </w:t>
      </w:r>
    </w:p>
    <w:p w14:paraId="095D39B1" w14:textId="77777777" w:rsidR="000773C2" w:rsidRPr="000B5C86" w:rsidRDefault="000773C2" w:rsidP="000773C2">
      <w:pPr>
        <w:rPr>
          <w:rFonts w:cs="Segoe UI"/>
          <w:szCs w:val="22"/>
          <w:lang w:val="nl-NL"/>
        </w:rPr>
      </w:pPr>
    </w:p>
    <w:p w14:paraId="587AEE40" w14:textId="04669638" w:rsidR="000773C2" w:rsidRPr="000B5C86" w:rsidRDefault="000773C2" w:rsidP="000773C2">
      <w:pPr>
        <w:rPr>
          <w:rFonts w:cs="Segoe UI"/>
          <w:szCs w:val="22"/>
          <w:lang w:val="nl-NL"/>
        </w:rPr>
      </w:pPr>
      <w:r w:rsidRPr="000B5C86">
        <w:rPr>
          <w:rFonts w:cs="Segoe UI"/>
          <w:szCs w:val="22"/>
          <w:lang w:val="nl-NL"/>
        </w:rPr>
        <w:t xml:space="preserve">In de eerste helft van 2022 bleef Henkel consequent werken aan de uitvoering van zijn groei-agenda en boekte het goede vooruitgang </w:t>
      </w:r>
      <w:r w:rsidR="004A69FA">
        <w:rPr>
          <w:rFonts w:cs="Segoe UI"/>
          <w:szCs w:val="22"/>
          <w:lang w:val="nl-NL"/>
        </w:rPr>
        <w:t>over</w:t>
      </w:r>
      <w:r w:rsidRPr="000B5C86">
        <w:rPr>
          <w:rFonts w:cs="Segoe UI"/>
          <w:szCs w:val="22"/>
          <w:lang w:val="nl-NL"/>
        </w:rPr>
        <w:t xml:space="preserve"> alle pijlers</w:t>
      </w:r>
      <w:r w:rsidR="004A69FA">
        <w:rPr>
          <w:rFonts w:cs="Segoe UI"/>
          <w:szCs w:val="22"/>
          <w:lang w:val="nl-NL"/>
        </w:rPr>
        <w:t xml:space="preserve"> heen</w:t>
      </w:r>
      <w:r w:rsidRPr="000B5C86">
        <w:rPr>
          <w:rFonts w:cs="Segoe UI"/>
          <w:szCs w:val="22"/>
          <w:lang w:val="nl-NL"/>
        </w:rPr>
        <w:t>. Met de samenvoeging van de business</w:t>
      </w:r>
      <w:r w:rsidR="000D24BE" w:rsidRPr="000B5C86">
        <w:rPr>
          <w:rFonts w:cs="Segoe UI"/>
          <w:szCs w:val="22"/>
          <w:lang w:val="nl-NL"/>
        </w:rPr>
        <w:t xml:space="preserve"> </w:t>
      </w:r>
      <w:r w:rsidRPr="000B5C86">
        <w:rPr>
          <w:rFonts w:cs="Segoe UI"/>
          <w:szCs w:val="22"/>
          <w:lang w:val="nl-NL"/>
        </w:rPr>
        <w:t xml:space="preserve">units </w:t>
      </w:r>
      <w:proofErr w:type="spellStart"/>
      <w:r w:rsidR="000D24BE" w:rsidRPr="000B5C86">
        <w:rPr>
          <w:rFonts w:cs="Segoe UI"/>
          <w:szCs w:val="22"/>
          <w:lang w:val="nl-NL"/>
        </w:rPr>
        <w:t>Laundry</w:t>
      </w:r>
      <w:proofErr w:type="spellEnd"/>
      <w:r w:rsidR="000D24BE" w:rsidRPr="000B5C86">
        <w:rPr>
          <w:rFonts w:cs="Segoe UI"/>
          <w:szCs w:val="22"/>
          <w:lang w:val="nl-NL"/>
        </w:rPr>
        <w:t xml:space="preserve"> &amp; Home Care</w:t>
      </w:r>
      <w:r w:rsidRPr="000B5C86">
        <w:rPr>
          <w:rFonts w:cs="Segoe UI"/>
          <w:szCs w:val="22"/>
          <w:lang w:val="nl-NL"/>
        </w:rPr>
        <w:t xml:space="preserve"> en </w:t>
      </w:r>
      <w:r w:rsidR="000D24BE" w:rsidRPr="000B5C86">
        <w:rPr>
          <w:rFonts w:cs="Segoe UI"/>
          <w:szCs w:val="22"/>
          <w:lang w:val="nl-NL"/>
        </w:rPr>
        <w:t>Beauty Care</w:t>
      </w:r>
      <w:r w:rsidRPr="000B5C86">
        <w:rPr>
          <w:rFonts w:cs="Segoe UI"/>
          <w:szCs w:val="22"/>
          <w:lang w:val="nl-NL"/>
        </w:rPr>
        <w:t xml:space="preserve"> tot de nieuwe business</w:t>
      </w:r>
      <w:r w:rsidR="000D24BE" w:rsidRPr="000B5C86">
        <w:rPr>
          <w:rFonts w:cs="Segoe UI"/>
          <w:szCs w:val="22"/>
          <w:lang w:val="nl-NL"/>
        </w:rPr>
        <w:t xml:space="preserve"> </w:t>
      </w:r>
      <w:r w:rsidRPr="000B5C86">
        <w:rPr>
          <w:rFonts w:cs="Segoe UI"/>
          <w:szCs w:val="22"/>
          <w:lang w:val="nl-NL"/>
        </w:rPr>
        <w:t xml:space="preserve">unit </w:t>
      </w:r>
      <w:r w:rsidRPr="000B5C86">
        <w:rPr>
          <w:rFonts w:cs="Segoe UI"/>
          <w:b/>
          <w:bCs/>
          <w:szCs w:val="22"/>
          <w:lang w:val="nl-NL"/>
        </w:rPr>
        <w:t>Henkel Consumer Brands</w:t>
      </w:r>
      <w:r w:rsidRPr="000B5C86">
        <w:rPr>
          <w:rFonts w:cs="Segoe UI"/>
          <w:szCs w:val="22"/>
          <w:lang w:val="nl-NL"/>
        </w:rPr>
        <w:t xml:space="preserve">, tilt Henkel zijn </w:t>
      </w:r>
      <w:r w:rsidR="004A69FA">
        <w:rPr>
          <w:rFonts w:cs="Segoe UI"/>
          <w:szCs w:val="22"/>
          <w:lang w:val="nl-NL"/>
        </w:rPr>
        <w:t>D</w:t>
      </w:r>
      <w:r w:rsidRPr="000B5C86">
        <w:rPr>
          <w:rFonts w:cs="Segoe UI"/>
          <w:szCs w:val="22"/>
          <w:lang w:val="nl-NL"/>
        </w:rPr>
        <w:t xml:space="preserve">oelgerichte </w:t>
      </w:r>
      <w:r w:rsidR="004A69FA">
        <w:rPr>
          <w:rFonts w:cs="Segoe UI"/>
          <w:szCs w:val="22"/>
          <w:lang w:val="nl-NL"/>
        </w:rPr>
        <w:t>G</w:t>
      </w:r>
      <w:r w:rsidRPr="000B5C86">
        <w:rPr>
          <w:rFonts w:cs="Segoe UI"/>
          <w:szCs w:val="22"/>
          <w:lang w:val="nl-NL"/>
        </w:rPr>
        <w:t xml:space="preserve">roei-agenda naar een hoger niveau. De structuur van de nieuwe business unit omvat de twee wereldwijde categorieën </w:t>
      </w:r>
      <w:proofErr w:type="spellStart"/>
      <w:r w:rsidRPr="000B5C86">
        <w:rPr>
          <w:rFonts w:cs="Segoe UI"/>
          <w:szCs w:val="22"/>
          <w:lang w:val="nl-NL"/>
        </w:rPr>
        <w:t>Laundry</w:t>
      </w:r>
      <w:proofErr w:type="spellEnd"/>
      <w:r w:rsidRPr="000B5C86">
        <w:rPr>
          <w:rFonts w:cs="Segoe UI"/>
          <w:szCs w:val="22"/>
          <w:lang w:val="nl-NL"/>
        </w:rPr>
        <w:t xml:space="preserve"> &amp; Home Care en Hair Care, ondersteund door centrale functies, en vier regio's. Andere categorieën zullen onder regionaal beheer komen. De eerste vier managementniveaus zijn nu gedefinieerd. In Henkels grootste afzonderlijke markt, de VS, zal de nieuwe organisatie naar verwachting reeds vanaf september volledig operationeel zijn.</w:t>
      </w:r>
    </w:p>
    <w:p w14:paraId="7F12FADE" w14:textId="77777777" w:rsidR="000773C2" w:rsidRPr="000B5C86" w:rsidRDefault="000773C2" w:rsidP="000773C2">
      <w:pPr>
        <w:rPr>
          <w:rFonts w:cs="Segoe UI"/>
          <w:szCs w:val="22"/>
          <w:lang w:val="nl-NL"/>
        </w:rPr>
      </w:pPr>
    </w:p>
    <w:p w14:paraId="49344111" w14:textId="45BFEED8" w:rsidR="005A2CCC" w:rsidRPr="000B5C86" w:rsidRDefault="000773C2" w:rsidP="002B5594">
      <w:pPr>
        <w:rPr>
          <w:rFonts w:cs="Segoe UI"/>
          <w:szCs w:val="22"/>
          <w:lang w:val="nl-NL"/>
        </w:rPr>
      </w:pPr>
      <w:r w:rsidRPr="000B5C86">
        <w:rPr>
          <w:rFonts w:cs="Segoe UI"/>
          <w:szCs w:val="22"/>
          <w:lang w:val="nl-NL"/>
        </w:rPr>
        <w:t xml:space="preserve">In de context van de fusie van de twee consumentenactiviteiten en als onderdeel van een </w:t>
      </w:r>
      <w:r w:rsidRPr="000B5C86">
        <w:rPr>
          <w:rFonts w:cs="Segoe UI"/>
          <w:b/>
          <w:bCs/>
          <w:szCs w:val="22"/>
          <w:lang w:val="nl-NL"/>
        </w:rPr>
        <w:t>actief portefeuillebeheer</w:t>
      </w:r>
      <w:r w:rsidRPr="000B5C86">
        <w:rPr>
          <w:rFonts w:cs="Segoe UI"/>
          <w:szCs w:val="22"/>
          <w:lang w:val="nl-NL"/>
        </w:rPr>
        <w:t xml:space="preserve">, worden momenteel activiteiten en merken met een totale omzet tot 1 miljard euro opnieuw bekeken. Dit omvat de afstoting of stopzetting van activiteiten die niet voldoen aan de criteria van Henkel op het gebied van groei en winstgevendheid. In de eerste helft van 2022 heeft Henkel al goede vooruitgang geboekt door een aantal niet-kernactiviteiten in </w:t>
      </w:r>
      <w:r w:rsidR="00EE619D" w:rsidRPr="000B5C86">
        <w:rPr>
          <w:rFonts w:cs="Segoe UI"/>
          <w:szCs w:val="22"/>
          <w:lang w:val="nl-NL"/>
        </w:rPr>
        <w:t>Beauty Care</w:t>
      </w:r>
      <w:r w:rsidRPr="000B5C86">
        <w:rPr>
          <w:rFonts w:cs="Segoe UI"/>
          <w:szCs w:val="22"/>
          <w:lang w:val="nl-NL"/>
        </w:rPr>
        <w:t xml:space="preserve"> af te stoten. Deze maken deel uit van de portfoliomaatregelen in Beauty Care met een omzetvolume van ongeveer 200 miljoen euro, die tegen het einde van het jaar moeten zijn uitgevoerd.</w:t>
      </w:r>
      <w:bookmarkStart w:id="3" w:name="_Hlk109206660"/>
      <w:bookmarkEnd w:id="2"/>
    </w:p>
    <w:bookmarkEnd w:id="3"/>
    <w:p w14:paraId="7867A2EB" w14:textId="1E46056D" w:rsidR="004C1A0F" w:rsidRPr="000B5C86" w:rsidRDefault="004C1A0F" w:rsidP="004C1A0F">
      <w:pPr>
        <w:rPr>
          <w:rFonts w:cs="Segoe UI"/>
          <w:szCs w:val="22"/>
          <w:lang w:val="nl-NL" w:eastAsia="de-DE"/>
        </w:rPr>
      </w:pPr>
      <w:r w:rsidRPr="000B5C86">
        <w:rPr>
          <w:rFonts w:cs="Segoe UI"/>
          <w:szCs w:val="22"/>
          <w:lang w:val="nl-NL" w:eastAsia="de-DE"/>
        </w:rPr>
        <w:lastRenderedPageBreak/>
        <w:t xml:space="preserve">Henkel heeft ook zijn portefeuille verder versterkt door </w:t>
      </w:r>
      <w:r w:rsidRPr="000B5C86">
        <w:rPr>
          <w:rFonts w:cs="Segoe UI"/>
          <w:b/>
          <w:bCs/>
          <w:szCs w:val="22"/>
          <w:lang w:val="nl-NL" w:eastAsia="de-DE"/>
        </w:rPr>
        <w:t>overnames</w:t>
      </w:r>
      <w:r w:rsidRPr="000B5C86">
        <w:rPr>
          <w:rFonts w:cs="Segoe UI"/>
          <w:szCs w:val="22"/>
          <w:lang w:val="nl-NL" w:eastAsia="de-DE"/>
        </w:rPr>
        <w:t xml:space="preserve">. In juli 2022 werd de overname van de Hair Professional-activiteiten van </w:t>
      </w:r>
      <w:proofErr w:type="spellStart"/>
      <w:r w:rsidRPr="000B5C86">
        <w:rPr>
          <w:rFonts w:cs="Segoe UI"/>
          <w:szCs w:val="22"/>
          <w:lang w:val="nl-NL" w:eastAsia="de-DE"/>
        </w:rPr>
        <w:t>Shiseido</w:t>
      </w:r>
      <w:proofErr w:type="spellEnd"/>
      <w:r w:rsidRPr="000B5C86">
        <w:rPr>
          <w:rFonts w:cs="Segoe UI"/>
          <w:szCs w:val="22"/>
          <w:lang w:val="nl-NL" w:eastAsia="de-DE"/>
        </w:rPr>
        <w:t xml:space="preserve"> in de regio </w:t>
      </w:r>
      <w:r w:rsidR="00BF6F34" w:rsidRPr="000B5C86">
        <w:rPr>
          <w:rFonts w:cs="Segoe UI"/>
          <w:szCs w:val="22"/>
          <w:lang w:val="nl-NL" w:eastAsia="de-DE"/>
        </w:rPr>
        <w:t>Azië-Pacific</w:t>
      </w:r>
      <w:r w:rsidR="00586AFF" w:rsidRPr="000B5C86">
        <w:rPr>
          <w:rFonts w:cs="Segoe UI"/>
          <w:szCs w:val="22"/>
          <w:lang w:val="nl-NL" w:eastAsia="de-DE"/>
        </w:rPr>
        <w:t xml:space="preserve"> </w:t>
      </w:r>
      <w:r w:rsidRPr="000B5C86">
        <w:rPr>
          <w:rFonts w:cs="Segoe UI"/>
          <w:szCs w:val="22"/>
          <w:lang w:val="nl-NL" w:eastAsia="de-DE"/>
        </w:rPr>
        <w:t xml:space="preserve">afgerond. Hierdoor </w:t>
      </w:r>
      <w:r w:rsidR="00482306" w:rsidRPr="000B5C86">
        <w:rPr>
          <w:rFonts w:cs="Segoe UI"/>
          <w:szCs w:val="22"/>
          <w:lang w:val="nl-NL" w:eastAsia="de-DE"/>
        </w:rPr>
        <w:t xml:space="preserve">kwam </w:t>
      </w:r>
      <w:r w:rsidRPr="000B5C86">
        <w:rPr>
          <w:rFonts w:cs="Segoe UI"/>
          <w:szCs w:val="22"/>
          <w:lang w:val="nl-NL" w:eastAsia="de-DE"/>
        </w:rPr>
        <w:t>Henkel de wereldwijd</w:t>
      </w:r>
      <w:r w:rsidR="00482306" w:rsidRPr="000B5C86">
        <w:rPr>
          <w:rFonts w:cs="Segoe UI"/>
          <w:szCs w:val="22"/>
          <w:lang w:val="nl-NL" w:eastAsia="de-DE"/>
        </w:rPr>
        <w:t xml:space="preserve"> op een gedeelde</w:t>
      </w:r>
      <w:r w:rsidRPr="000B5C86">
        <w:rPr>
          <w:rFonts w:cs="Segoe UI"/>
          <w:szCs w:val="22"/>
          <w:lang w:val="nl-NL" w:eastAsia="de-DE"/>
        </w:rPr>
        <w:t xml:space="preserve"> nummer 2</w:t>
      </w:r>
      <w:r w:rsidR="00482306" w:rsidRPr="000B5C86">
        <w:rPr>
          <w:rFonts w:cs="Segoe UI"/>
          <w:szCs w:val="22"/>
          <w:lang w:val="nl-NL" w:eastAsia="de-DE"/>
        </w:rPr>
        <w:t>-positie</w:t>
      </w:r>
      <w:r w:rsidRPr="000B5C86">
        <w:rPr>
          <w:rFonts w:cs="Segoe UI"/>
          <w:szCs w:val="22"/>
          <w:lang w:val="nl-NL" w:eastAsia="de-DE"/>
        </w:rPr>
        <w:t xml:space="preserve"> in de Hair Professional business. </w:t>
      </w:r>
    </w:p>
    <w:p w14:paraId="3AE21BB0" w14:textId="77777777" w:rsidR="004C1A0F" w:rsidRPr="000B5C86" w:rsidRDefault="004C1A0F" w:rsidP="004C1A0F">
      <w:pPr>
        <w:rPr>
          <w:rFonts w:cs="Segoe UI"/>
          <w:szCs w:val="22"/>
          <w:lang w:val="nl-NL" w:eastAsia="de-DE"/>
        </w:rPr>
      </w:pPr>
    </w:p>
    <w:p w14:paraId="0F4D14C5" w14:textId="77777777" w:rsidR="004C1A0F" w:rsidRPr="000B5C86" w:rsidRDefault="004C1A0F" w:rsidP="004C1A0F">
      <w:pPr>
        <w:rPr>
          <w:rFonts w:cs="Segoe UI"/>
          <w:szCs w:val="22"/>
          <w:lang w:val="nl-NL" w:eastAsia="de-DE"/>
        </w:rPr>
      </w:pPr>
      <w:r w:rsidRPr="000B5C86">
        <w:rPr>
          <w:rFonts w:cs="Segoe UI"/>
          <w:szCs w:val="22"/>
          <w:lang w:val="nl-NL" w:eastAsia="de-DE"/>
        </w:rPr>
        <w:t xml:space="preserve">Om zijn </w:t>
      </w:r>
      <w:r w:rsidRPr="000B5C86">
        <w:rPr>
          <w:rFonts w:cs="Segoe UI"/>
          <w:b/>
          <w:bCs/>
          <w:szCs w:val="22"/>
          <w:lang w:val="nl-NL" w:eastAsia="de-DE"/>
        </w:rPr>
        <w:t>concurrentievoordeel</w:t>
      </w:r>
      <w:r w:rsidRPr="000B5C86">
        <w:rPr>
          <w:rFonts w:cs="Segoe UI"/>
          <w:szCs w:val="22"/>
          <w:lang w:val="nl-NL" w:eastAsia="de-DE"/>
        </w:rPr>
        <w:t xml:space="preserve"> te versterken, concentreerde Henkel zich op het verder versnellen van </w:t>
      </w:r>
      <w:r w:rsidRPr="000B5C86">
        <w:rPr>
          <w:rFonts w:cs="Segoe UI"/>
          <w:b/>
          <w:bCs/>
          <w:szCs w:val="22"/>
          <w:lang w:val="nl-NL" w:eastAsia="de-DE"/>
        </w:rPr>
        <w:t>innovaties</w:t>
      </w:r>
      <w:r w:rsidRPr="000B5C86">
        <w:rPr>
          <w:rFonts w:cs="Segoe UI"/>
          <w:szCs w:val="22"/>
          <w:lang w:val="nl-NL" w:eastAsia="de-DE"/>
        </w:rPr>
        <w:t xml:space="preserve">, het stimuleren van </w:t>
      </w:r>
      <w:r w:rsidRPr="000B5C86">
        <w:rPr>
          <w:rFonts w:cs="Segoe UI"/>
          <w:b/>
          <w:bCs/>
          <w:szCs w:val="22"/>
          <w:lang w:val="nl-NL" w:eastAsia="de-DE"/>
        </w:rPr>
        <w:t>duurzaamheid</w:t>
      </w:r>
      <w:r w:rsidRPr="000B5C86">
        <w:rPr>
          <w:rFonts w:cs="Segoe UI"/>
          <w:szCs w:val="22"/>
          <w:lang w:val="nl-NL" w:eastAsia="de-DE"/>
        </w:rPr>
        <w:t xml:space="preserve"> als differentiërende factor, en op het verhogen van de </w:t>
      </w:r>
      <w:proofErr w:type="spellStart"/>
      <w:r w:rsidRPr="000B5C86">
        <w:rPr>
          <w:rFonts w:cs="Segoe UI"/>
          <w:szCs w:val="22"/>
          <w:lang w:val="nl-NL" w:eastAsia="de-DE"/>
        </w:rPr>
        <w:t>waardecreatie</w:t>
      </w:r>
      <w:proofErr w:type="spellEnd"/>
      <w:r w:rsidRPr="000B5C86">
        <w:rPr>
          <w:rFonts w:cs="Segoe UI"/>
          <w:szCs w:val="22"/>
          <w:lang w:val="nl-NL" w:eastAsia="de-DE"/>
        </w:rPr>
        <w:t xml:space="preserve"> voor klanten en consumenten door middel van </w:t>
      </w:r>
      <w:r w:rsidRPr="000B5C86">
        <w:rPr>
          <w:rFonts w:cs="Segoe UI"/>
          <w:b/>
          <w:bCs/>
          <w:szCs w:val="22"/>
          <w:lang w:val="nl-NL" w:eastAsia="de-DE"/>
        </w:rPr>
        <w:t>digitalisering</w:t>
      </w:r>
      <w:r w:rsidRPr="000B5C86">
        <w:rPr>
          <w:rFonts w:cs="Segoe UI"/>
          <w:szCs w:val="22"/>
          <w:lang w:val="nl-NL" w:eastAsia="de-DE"/>
        </w:rPr>
        <w:t>.</w:t>
      </w:r>
    </w:p>
    <w:p w14:paraId="1B227746" w14:textId="77777777" w:rsidR="004C1A0F" w:rsidRPr="000B5C86" w:rsidRDefault="004C1A0F" w:rsidP="004C1A0F">
      <w:pPr>
        <w:rPr>
          <w:rFonts w:cs="Segoe UI"/>
          <w:szCs w:val="22"/>
          <w:lang w:val="nl-NL" w:eastAsia="de-DE"/>
        </w:rPr>
      </w:pPr>
    </w:p>
    <w:p w14:paraId="14468AA1" w14:textId="7F17B86E" w:rsidR="004C1A0F" w:rsidRPr="000B5C86" w:rsidRDefault="004C1A0F" w:rsidP="004C1A0F">
      <w:pPr>
        <w:rPr>
          <w:rFonts w:cs="Segoe UI"/>
          <w:szCs w:val="22"/>
          <w:lang w:val="nl-NL" w:eastAsia="de-DE"/>
        </w:rPr>
      </w:pPr>
      <w:r w:rsidRPr="000B5C86">
        <w:rPr>
          <w:rFonts w:cs="Segoe UI"/>
          <w:szCs w:val="22"/>
          <w:lang w:val="nl-NL" w:eastAsia="de-DE"/>
        </w:rPr>
        <w:t xml:space="preserve">Een belangrijke pijler van de strategie van Henkel is een duidelijke differentiatie in de markt door </w:t>
      </w:r>
      <w:r w:rsidRPr="000B5C86">
        <w:rPr>
          <w:rFonts w:cs="Segoe UI"/>
          <w:b/>
          <w:bCs/>
          <w:szCs w:val="22"/>
          <w:lang w:val="nl-NL" w:eastAsia="de-DE"/>
        </w:rPr>
        <w:t>succesvolle innovaties</w:t>
      </w:r>
      <w:r w:rsidRPr="000B5C86">
        <w:rPr>
          <w:rFonts w:cs="Segoe UI"/>
          <w:szCs w:val="22"/>
          <w:lang w:val="nl-NL" w:eastAsia="de-DE"/>
        </w:rPr>
        <w:t xml:space="preserve">. Deze hebben de groei in de eerste helft van het jaar aanzienlijk </w:t>
      </w:r>
      <w:r w:rsidR="007A7353">
        <w:rPr>
          <w:rFonts w:cs="Segoe UI"/>
          <w:szCs w:val="22"/>
          <w:lang w:val="nl-NL" w:eastAsia="de-DE"/>
        </w:rPr>
        <w:t>versterkt</w:t>
      </w:r>
      <w:r w:rsidRPr="000B5C86">
        <w:rPr>
          <w:rFonts w:cs="Segoe UI"/>
          <w:szCs w:val="22"/>
          <w:lang w:val="nl-NL" w:eastAsia="de-DE"/>
        </w:rPr>
        <w:t xml:space="preserve">. In </w:t>
      </w:r>
      <w:proofErr w:type="spellStart"/>
      <w:r w:rsidRPr="000B5C86">
        <w:rPr>
          <w:rFonts w:cs="Segoe UI"/>
          <w:szCs w:val="22"/>
          <w:lang w:val="nl-NL" w:eastAsia="de-DE"/>
        </w:rPr>
        <w:t>Adhesive</w:t>
      </w:r>
      <w:proofErr w:type="spellEnd"/>
      <w:r w:rsidRPr="000B5C86">
        <w:rPr>
          <w:rFonts w:cs="Segoe UI"/>
          <w:szCs w:val="22"/>
          <w:lang w:val="nl-NL" w:eastAsia="de-DE"/>
        </w:rPr>
        <w:t xml:space="preserve"> Technologies bijvoorbeeld, heeft Henkel nieuwe brandwerende coatings ontwikkeld voor accu's van elektrische voertuigen. Ze verhogen niet alleen de veiligheid van de passagiers aanzienlijk, maar stellen de klanten in de automobielindustrie ook in staat om kosteneff</w:t>
      </w:r>
      <w:r w:rsidR="00B0125F">
        <w:rPr>
          <w:rFonts w:cs="Segoe UI"/>
          <w:szCs w:val="22"/>
          <w:lang w:val="nl-NL" w:eastAsia="de-DE"/>
        </w:rPr>
        <w:t>iciënt</w:t>
      </w:r>
      <w:r w:rsidRPr="000B5C86">
        <w:rPr>
          <w:rFonts w:cs="Segoe UI"/>
          <w:szCs w:val="22"/>
          <w:lang w:val="nl-NL" w:eastAsia="de-DE"/>
        </w:rPr>
        <w:t xml:space="preserve"> te produceren. In </w:t>
      </w:r>
      <w:r w:rsidR="00A102B0" w:rsidRPr="000B5C86">
        <w:rPr>
          <w:rFonts w:cs="Segoe UI"/>
          <w:szCs w:val="22"/>
          <w:lang w:val="nl-NL" w:eastAsia="de-DE"/>
        </w:rPr>
        <w:t>Beauty Care</w:t>
      </w:r>
      <w:r w:rsidRPr="000B5C86">
        <w:rPr>
          <w:rFonts w:cs="Segoe UI"/>
          <w:szCs w:val="22"/>
          <w:lang w:val="nl-NL" w:eastAsia="de-DE"/>
        </w:rPr>
        <w:t xml:space="preserve"> heeft Henkel zijn haarverzorgingsmerk </w:t>
      </w:r>
      <w:proofErr w:type="spellStart"/>
      <w:r w:rsidRPr="000B5C86">
        <w:rPr>
          <w:rFonts w:cs="Segoe UI"/>
          <w:szCs w:val="22"/>
          <w:lang w:val="nl-NL" w:eastAsia="de-DE"/>
        </w:rPr>
        <w:t>Schauma</w:t>
      </w:r>
      <w:proofErr w:type="spellEnd"/>
      <w:r w:rsidRPr="000B5C86">
        <w:rPr>
          <w:rFonts w:cs="Segoe UI"/>
          <w:szCs w:val="22"/>
          <w:lang w:val="nl-NL" w:eastAsia="de-DE"/>
        </w:rPr>
        <w:t xml:space="preserve"> opnieuw gelanceerd met een nieuw ontworpen duurzaam verpakkingsconcept waarbij 50 tot 100 procent gerecycleerd plastic wordt gebruikt. In de business unit </w:t>
      </w:r>
      <w:proofErr w:type="spellStart"/>
      <w:r w:rsidRPr="000B5C86">
        <w:rPr>
          <w:rFonts w:cs="Segoe UI"/>
          <w:szCs w:val="22"/>
          <w:lang w:val="nl-NL" w:eastAsia="de-DE"/>
        </w:rPr>
        <w:t>Laundry</w:t>
      </w:r>
      <w:proofErr w:type="spellEnd"/>
      <w:r w:rsidRPr="000B5C86">
        <w:rPr>
          <w:rFonts w:cs="Segoe UI"/>
          <w:szCs w:val="22"/>
          <w:lang w:val="nl-NL" w:eastAsia="de-DE"/>
        </w:rPr>
        <w:t xml:space="preserve"> &amp; Home Care werd met Persil een </w:t>
      </w:r>
      <w:r w:rsidR="007E7FED">
        <w:rPr>
          <w:rFonts w:cs="Segoe UI"/>
          <w:szCs w:val="22"/>
          <w:lang w:val="nl-NL" w:eastAsia="de-DE"/>
        </w:rPr>
        <w:t>twee</w:t>
      </w:r>
      <w:r w:rsidRPr="000B5C86">
        <w:rPr>
          <w:rFonts w:cs="Segoe UI"/>
          <w:szCs w:val="22"/>
          <w:lang w:val="nl-NL" w:eastAsia="de-DE"/>
        </w:rPr>
        <w:t>cijferige groei en een verdere stijging van het marktaandeel gerealiseerd, ondersteund door de uitbreiding van het duurzame en e-commerce-klare productassortiment.</w:t>
      </w:r>
    </w:p>
    <w:p w14:paraId="7140FFED" w14:textId="77777777" w:rsidR="004C1A0F" w:rsidRPr="000B5C86" w:rsidRDefault="004C1A0F" w:rsidP="004C1A0F">
      <w:pPr>
        <w:rPr>
          <w:rFonts w:cs="Segoe UI"/>
          <w:szCs w:val="22"/>
          <w:lang w:val="nl-NL" w:eastAsia="de-DE"/>
        </w:rPr>
      </w:pPr>
    </w:p>
    <w:p w14:paraId="65A72533" w14:textId="67DA0A53" w:rsidR="004C1A0F" w:rsidRPr="000B5C86" w:rsidRDefault="004C1A0F" w:rsidP="004C1A0F">
      <w:pPr>
        <w:rPr>
          <w:rFonts w:cs="Segoe UI"/>
          <w:szCs w:val="22"/>
          <w:lang w:val="nl-NL" w:eastAsia="de-DE"/>
        </w:rPr>
      </w:pPr>
      <w:r w:rsidRPr="000B5C86">
        <w:rPr>
          <w:rFonts w:cs="Segoe UI"/>
          <w:b/>
          <w:bCs/>
          <w:szCs w:val="22"/>
          <w:lang w:val="nl-NL" w:eastAsia="de-DE"/>
        </w:rPr>
        <w:t>Duurzaamheid</w:t>
      </w:r>
      <w:r w:rsidRPr="000B5C86">
        <w:rPr>
          <w:rFonts w:cs="Segoe UI"/>
          <w:szCs w:val="22"/>
          <w:lang w:val="nl-NL" w:eastAsia="de-DE"/>
        </w:rPr>
        <w:t xml:space="preserve"> is al </w:t>
      </w:r>
      <w:r w:rsidR="007E7FED">
        <w:rPr>
          <w:rFonts w:cs="Segoe UI"/>
          <w:szCs w:val="22"/>
          <w:lang w:val="nl-NL" w:eastAsia="de-DE"/>
        </w:rPr>
        <w:t xml:space="preserve">lang </w:t>
      </w:r>
      <w:r w:rsidRPr="000B5C86">
        <w:rPr>
          <w:rFonts w:cs="Segoe UI"/>
          <w:szCs w:val="22"/>
          <w:lang w:val="nl-NL" w:eastAsia="de-DE"/>
        </w:rPr>
        <w:t xml:space="preserve">een van de sterkste punten van Henkel. Om het groeiende belang van duurzaam management en de stijgende verwachtingen van klanten en de samenleving te weerspiegelen, heeft Henkel </w:t>
      </w:r>
      <w:r w:rsidR="00EE29BC">
        <w:rPr>
          <w:rFonts w:cs="Segoe UI"/>
          <w:szCs w:val="22"/>
          <w:lang w:val="nl-NL" w:eastAsia="de-DE"/>
        </w:rPr>
        <w:t>haar</w:t>
      </w:r>
      <w:r w:rsidRPr="000B5C86">
        <w:rPr>
          <w:rFonts w:cs="Segoe UI"/>
          <w:szCs w:val="22"/>
          <w:lang w:val="nl-NL" w:eastAsia="de-DE"/>
        </w:rPr>
        <w:t xml:space="preserve"> </w:t>
      </w:r>
      <w:proofErr w:type="spellStart"/>
      <w:r w:rsidRPr="000B5C86">
        <w:rPr>
          <w:rFonts w:cs="Segoe UI"/>
          <w:szCs w:val="22"/>
          <w:lang w:val="nl-NL" w:eastAsia="de-DE"/>
        </w:rPr>
        <w:t>langetermijn</w:t>
      </w:r>
      <w:proofErr w:type="spellEnd"/>
      <w:r w:rsidR="00366651">
        <w:rPr>
          <w:rFonts w:cs="Segoe UI"/>
          <w:szCs w:val="22"/>
          <w:lang w:val="nl-NL" w:eastAsia="de-DE"/>
        </w:rPr>
        <w:t xml:space="preserve"> </w:t>
      </w:r>
      <w:r w:rsidRPr="000B5C86">
        <w:rPr>
          <w:rFonts w:cs="Segoe UI"/>
          <w:szCs w:val="22"/>
          <w:lang w:val="nl-NL" w:eastAsia="de-DE"/>
        </w:rPr>
        <w:t xml:space="preserve">duurzaamheidsstrategie verbeterd met </w:t>
      </w:r>
      <w:r w:rsidR="00EE29BC">
        <w:rPr>
          <w:rFonts w:cs="Segoe UI"/>
          <w:szCs w:val="22"/>
          <w:lang w:val="nl-NL" w:eastAsia="de-DE"/>
        </w:rPr>
        <w:t>het</w:t>
      </w:r>
      <w:r w:rsidRPr="000B5C86">
        <w:rPr>
          <w:rFonts w:cs="Segoe UI"/>
          <w:szCs w:val="22"/>
          <w:lang w:val="nl-NL" w:eastAsia="de-DE"/>
        </w:rPr>
        <w:t xml:space="preserve"> nieuwe "2030+ </w:t>
      </w:r>
      <w:proofErr w:type="spellStart"/>
      <w:r w:rsidRPr="000B5C86">
        <w:rPr>
          <w:rFonts w:cs="Segoe UI"/>
          <w:szCs w:val="22"/>
          <w:lang w:val="nl-NL" w:eastAsia="de-DE"/>
        </w:rPr>
        <w:t>Sustainability</w:t>
      </w:r>
      <w:proofErr w:type="spellEnd"/>
      <w:r w:rsidRPr="000B5C86">
        <w:rPr>
          <w:rFonts w:cs="Segoe UI"/>
          <w:szCs w:val="22"/>
          <w:lang w:val="nl-NL" w:eastAsia="de-DE"/>
        </w:rPr>
        <w:t xml:space="preserve"> </w:t>
      </w:r>
      <w:proofErr w:type="spellStart"/>
      <w:r w:rsidRPr="000B5C86">
        <w:rPr>
          <w:rFonts w:cs="Segoe UI"/>
          <w:szCs w:val="22"/>
          <w:lang w:val="nl-NL" w:eastAsia="de-DE"/>
        </w:rPr>
        <w:t>Ambition</w:t>
      </w:r>
      <w:proofErr w:type="spellEnd"/>
      <w:r w:rsidRPr="000B5C86">
        <w:rPr>
          <w:rFonts w:cs="Segoe UI"/>
          <w:szCs w:val="22"/>
          <w:lang w:val="nl-NL" w:eastAsia="de-DE"/>
        </w:rPr>
        <w:t xml:space="preserve"> Framework", dat begin dit jaar werd geïntroduceerd. Naast de bestaande doelstellingen zijn er nieuwe </w:t>
      </w:r>
      <w:proofErr w:type="spellStart"/>
      <w:r w:rsidRPr="000B5C86">
        <w:rPr>
          <w:rFonts w:cs="Segoe UI"/>
          <w:szCs w:val="22"/>
          <w:lang w:val="nl-NL" w:eastAsia="de-DE"/>
        </w:rPr>
        <w:t>langetermijn</w:t>
      </w:r>
      <w:proofErr w:type="spellEnd"/>
      <w:r w:rsidR="00EE29BC">
        <w:rPr>
          <w:rFonts w:cs="Segoe UI"/>
          <w:szCs w:val="22"/>
          <w:lang w:val="nl-NL" w:eastAsia="de-DE"/>
        </w:rPr>
        <w:t xml:space="preserve"> </w:t>
      </w:r>
      <w:r w:rsidRPr="000B5C86">
        <w:rPr>
          <w:rFonts w:cs="Segoe UI"/>
          <w:szCs w:val="22"/>
          <w:lang w:val="nl-NL" w:eastAsia="de-DE"/>
        </w:rPr>
        <w:t>ambities vastgesteld om verdere vooruitgang te stimuleren in drie dimensies: "</w:t>
      </w:r>
      <w:proofErr w:type="spellStart"/>
      <w:r w:rsidRPr="000B5C86">
        <w:rPr>
          <w:rFonts w:cs="Segoe UI"/>
          <w:szCs w:val="22"/>
          <w:lang w:val="nl-NL" w:eastAsia="de-DE"/>
        </w:rPr>
        <w:t>Regenerative</w:t>
      </w:r>
      <w:proofErr w:type="spellEnd"/>
      <w:r w:rsidRPr="000B5C86">
        <w:rPr>
          <w:rFonts w:cs="Segoe UI"/>
          <w:szCs w:val="22"/>
          <w:lang w:val="nl-NL" w:eastAsia="de-DE"/>
        </w:rPr>
        <w:t xml:space="preserve"> </w:t>
      </w:r>
      <w:proofErr w:type="spellStart"/>
      <w:r w:rsidRPr="000B5C86">
        <w:rPr>
          <w:rFonts w:cs="Segoe UI"/>
          <w:szCs w:val="22"/>
          <w:lang w:val="nl-NL" w:eastAsia="de-DE"/>
        </w:rPr>
        <w:t>Planet</w:t>
      </w:r>
      <w:proofErr w:type="spellEnd"/>
      <w:r w:rsidRPr="000B5C86">
        <w:rPr>
          <w:rFonts w:cs="Segoe UI"/>
          <w:szCs w:val="22"/>
          <w:lang w:val="nl-NL" w:eastAsia="de-DE"/>
        </w:rPr>
        <w:t>", "</w:t>
      </w:r>
      <w:proofErr w:type="spellStart"/>
      <w:r w:rsidRPr="000B5C86">
        <w:rPr>
          <w:rFonts w:cs="Segoe UI"/>
          <w:szCs w:val="22"/>
          <w:lang w:val="nl-NL" w:eastAsia="de-DE"/>
        </w:rPr>
        <w:t>Thriving</w:t>
      </w:r>
      <w:proofErr w:type="spellEnd"/>
      <w:r w:rsidRPr="000B5C86">
        <w:rPr>
          <w:rFonts w:cs="Segoe UI"/>
          <w:szCs w:val="22"/>
          <w:lang w:val="nl-NL" w:eastAsia="de-DE"/>
        </w:rPr>
        <w:t xml:space="preserve"> </w:t>
      </w:r>
      <w:proofErr w:type="spellStart"/>
      <w:r w:rsidRPr="000B5C86">
        <w:rPr>
          <w:rFonts w:cs="Segoe UI"/>
          <w:szCs w:val="22"/>
          <w:lang w:val="nl-NL" w:eastAsia="de-DE"/>
        </w:rPr>
        <w:t>Communities</w:t>
      </w:r>
      <w:proofErr w:type="spellEnd"/>
      <w:r w:rsidRPr="000B5C86">
        <w:rPr>
          <w:rFonts w:cs="Segoe UI"/>
          <w:szCs w:val="22"/>
          <w:lang w:val="nl-NL" w:eastAsia="de-DE"/>
        </w:rPr>
        <w:t>" en "</w:t>
      </w:r>
      <w:proofErr w:type="spellStart"/>
      <w:r w:rsidRPr="000B5C86">
        <w:rPr>
          <w:rFonts w:cs="Segoe UI"/>
          <w:szCs w:val="22"/>
          <w:lang w:val="nl-NL" w:eastAsia="de-DE"/>
        </w:rPr>
        <w:t>Trusted</w:t>
      </w:r>
      <w:proofErr w:type="spellEnd"/>
      <w:r w:rsidRPr="000B5C86">
        <w:rPr>
          <w:rFonts w:cs="Segoe UI"/>
          <w:szCs w:val="22"/>
          <w:lang w:val="nl-NL" w:eastAsia="de-DE"/>
        </w:rPr>
        <w:t xml:space="preserve"> Partner".</w:t>
      </w:r>
    </w:p>
    <w:p w14:paraId="584B0A57" w14:textId="77777777" w:rsidR="004C1A0F" w:rsidRPr="000B5C86" w:rsidRDefault="004C1A0F" w:rsidP="004C1A0F">
      <w:pPr>
        <w:rPr>
          <w:rFonts w:cs="Segoe UI"/>
          <w:szCs w:val="22"/>
          <w:lang w:val="nl-NL" w:eastAsia="de-DE"/>
        </w:rPr>
      </w:pPr>
    </w:p>
    <w:p w14:paraId="51D88C43" w14:textId="149E88CC" w:rsidR="004C1A0F" w:rsidRPr="000B5C86" w:rsidRDefault="004C1A0F" w:rsidP="004C1A0F">
      <w:pPr>
        <w:rPr>
          <w:rFonts w:cs="Segoe UI"/>
          <w:szCs w:val="22"/>
          <w:lang w:val="nl-NL" w:eastAsia="de-DE"/>
        </w:rPr>
      </w:pPr>
      <w:r w:rsidRPr="000B5C86">
        <w:rPr>
          <w:rFonts w:cs="Segoe UI"/>
          <w:szCs w:val="22"/>
          <w:lang w:val="nl-NL" w:eastAsia="de-DE"/>
        </w:rPr>
        <w:t>Henkel heeft in de eerste helft van 2022 verdere vooruitgang geboekt op het vlak van duurzaamheid. Op weg naar de doelstelling van een klimaatpositieve CO</w:t>
      </w:r>
      <w:r w:rsidRPr="000B5C86">
        <w:rPr>
          <w:rFonts w:cs="Segoe UI"/>
          <w:szCs w:val="22"/>
          <w:vertAlign w:val="subscript"/>
          <w:lang w:val="nl-NL" w:eastAsia="de-DE"/>
        </w:rPr>
        <w:t>2</w:t>
      </w:r>
      <w:r w:rsidRPr="000B5C86">
        <w:rPr>
          <w:rFonts w:cs="Segoe UI"/>
          <w:szCs w:val="22"/>
          <w:lang w:val="nl-NL" w:eastAsia="de-DE"/>
        </w:rPr>
        <w:t>-balans voor zijn productiesites tegen 2030, heeft Henkel bijvoorbeeld drie bijkomende sites in Europa omgeschakeld om met 100 procent CO</w:t>
      </w:r>
      <w:r w:rsidRPr="000B5C86">
        <w:rPr>
          <w:rFonts w:cs="Segoe UI"/>
          <w:szCs w:val="22"/>
          <w:vertAlign w:val="subscript"/>
          <w:lang w:val="nl-NL" w:eastAsia="de-DE"/>
        </w:rPr>
        <w:t>2</w:t>
      </w:r>
      <w:r w:rsidRPr="000B5C86">
        <w:rPr>
          <w:rFonts w:cs="Segoe UI"/>
          <w:szCs w:val="22"/>
          <w:lang w:val="nl-NL" w:eastAsia="de-DE"/>
        </w:rPr>
        <w:t xml:space="preserve">-neutrale energie te werken. Bovendien blijft Henkel consequent </w:t>
      </w:r>
      <w:r w:rsidR="008C5E0D">
        <w:rPr>
          <w:rFonts w:cs="Segoe UI"/>
          <w:szCs w:val="22"/>
          <w:lang w:val="nl-NL" w:eastAsia="de-DE"/>
        </w:rPr>
        <w:t>inzetten</w:t>
      </w:r>
      <w:r w:rsidRPr="000B5C86">
        <w:rPr>
          <w:rFonts w:cs="Segoe UI"/>
          <w:szCs w:val="22"/>
          <w:lang w:val="nl-NL" w:eastAsia="de-DE"/>
        </w:rPr>
        <w:t xml:space="preserve"> op hernieuwbare grondstoffen. Via een partnerschap met BASF wordt ongeveer 110.000 ton aan fossiele grondstoffen vervangen door hernieuwbare koolstofbronnen.</w:t>
      </w:r>
    </w:p>
    <w:p w14:paraId="7B89CC50" w14:textId="77777777" w:rsidR="004C1A0F" w:rsidRPr="000B5C86" w:rsidRDefault="004C1A0F" w:rsidP="004C1A0F">
      <w:pPr>
        <w:rPr>
          <w:rFonts w:cs="Segoe UI"/>
          <w:szCs w:val="22"/>
          <w:lang w:val="nl-NL" w:eastAsia="de-DE"/>
        </w:rPr>
      </w:pPr>
    </w:p>
    <w:p w14:paraId="471DD2FE" w14:textId="43618F78" w:rsidR="005A2CCC" w:rsidRPr="000B5C86" w:rsidRDefault="004C1A0F" w:rsidP="004C1A0F">
      <w:pPr>
        <w:rPr>
          <w:rFonts w:cs="Segoe UI"/>
          <w:szCs w:val="22"/>
          <w:lang w:val="nl-NL" w:eastAsia="de-DE"/>
        </w:rPr>
      </w:pPr>
      <w:r w:rsidRPr="000B5C86">
        <w:rPr>
          <w:rFonts w:cs="Segoe UI"/>
          <w:szCs w:val="22"/>
          <w:lang w:val="nl-NL" w:eastAsia="de-DE"/>
        </w:rPr>
        <w:lastRenderedPageBreak/>
        <w:t xml:space="preserve">Naast innovatie en duurzaamheid heeft Henkel </w:t>
      </w:r>
      <w:r w:rsidRPr="000B5C86">
        <w:rPr>
          <w:rFonts w:cs="Segoe UI"/>
          <w:b/>
          <w:bCs/>
          <w:szCs w:val="22"/>
          <w:lang w:val="nl-NL" w:eastAsia="de-DE"/>
        </w:rPr>
        <w:t>digitalisering</w:t>
      </w:r>
      <w:r w:rsidRPr="000B5C86">
        <w:rPr>
          <w:rFonts w:cs="Segoe UI"/>
          <w:szCs w:val="22"/>
          <w:lang w:val="nl-NL" w:eastAsia="de-DE"/>
        </w:rPr>
        <w:t xml:space="preserve"> gedefinieerd als een belangrijke hefboom om zijn concurrentievermogen te versterken. In de eerste helft van het jaar groeide het aandeel van de verkoop via digitale kanalen met dubbele cijfers, tot meer dan 20 procent. De business unit </w:t>
      </w:r>
      <w:proofErr w:type="spellStart"/>
      <w:r w:rsidRPr="000B5C86">
        <w:rPr>
          <w:rFonts w:cs="Segoe UI"/>
          <w:szCs w:val="22"/>
          <w:lang w:val="nl-NL" w:eastAsia="de-DE"/>
        </w:rPr>
        <w:t>Adhesive</w:t>
      </w:r>
      <w:proofErr w:type="spellEnd"/>
      <w:r w:rsidRPr="000B5C86">
        <w:rPr>
          <w:rFonts w:cs="Segoe UI"/>
          <w:szCs w:val="22"/>
          <w:lang w:val="nl-NL" w:eastAsia="de-DE"/>
        </w:rPr>
        <w:t xml:space="preserve"> Technologies heeft via zijn e-commerce platform een </w:t>
      </w:r>
      <w:r w:rsidR="00E360A1">
        <w:rPr>
          <w:rFonts w:cs="Segoe UI"/>
          <w:szCs w:val="22"/>
          <w:lang w:val="nl-NL" w:eastAsia="de-DE"/>
        </w:rPr>
        <w:t>twee</w:t>
      </w:r>
      <w:r w:rsidRPr="000B5C86">
        <w:rPr>
          <w:rFonts w:cs="Segoe UI"/>
          <w:szCs w:val="22"/>
          <w:lang w:val="nl-NL" w:eastAsia="de-DE"/>
        </w:rPr>
        <w:t xml:space="preserve">cijferige groei gerealiseerd in de eerste helft van 2022. De eShop in de Hair Professional business liet ook een groei met dubbele cijfers optekenen met een uitgebreid gamma merken en producten. Daarnaast breidt Henkel zijn e-commerce-ready aanbod in </w:t>
      </w:r>
      <w:proofErr w:type="spellStart"/>
      <w:r w:rsidR="00E360A1">
        <w:rPr>
          <w:rFonts w:cs="Segoe UI"/>
          <w:szCs w:val="22"/>
          <w:lang w:val="nl-NL" w:eastAsia="de-DE"/>
        </w:rPr>
        <w:t>Laundry</w:t>
      </w:r>
      <w:proofErr w:type="spellEnd"/>
      <w:r w:rsidR="00E360A1">
        <w:rPr>
          <w:rFonts w:cs="Segoe UI"/>
          <w:szCs w:val="22"/>
          <w:lang w:val="nl-NL" w:eastAsia="de-DE"/>
        </w:rPr>
        <w:t xml:space="preserve"> &amp; Home Care</w:t>
      </w:r>
      <w:r w:rsidRPr="000B5C86">
        <w:rPr>
          <w:rFonts w:cs="Segoe UI"/>
          <w:szCs w:val="22"/>
          <w:lang w:val="nl-NL" w:eastAsia="de-DE"/>
        </w:rPr>
        <w:t xml:space="preserve"> verder uit. Het nieuwe geïntegreerde technische platform RAQN heeft hiertoe bijgedragen.</w:t>
      </w:r>
    </w:p>
    <w:p w14:paraId="57CD060E" w14:textId="77777777" w:rsidR="00690A61" w:rsidRPr="000B5C86" w:rsidRDefault="00690A61" w:rsidP="005A2CCC">
      <w:pPr>
        <w:rPr>
          <w:rFonts w:cs="Segoe UI"/>
          <w:szCs w:val="22"/>
          <w:lang w:val="nl-NL" w:eastAsia="de-DE"/>
        </w:rPr>
      </w:pPr>
      <w:bookmarkStart w:id="4" w:name="_Hlk109211145"/>
    </w:p>
    <w:p w14:paraId="5DD9FE71" w14:textId="77777777" w:rsidR="000A20FB" w:rsidRPr="000B5C86" w:rsidRDefault="000A20FB" w:rsidP="000A20FB">
      <w:pPr>
        <w:rPr>
          <w:rFonts w:cs="Segoe UI"/>
          <w:szCs w:val="22"/>
          <w:lang w:val="nl-NL" w:eastAsia="de-DE"/>
        </w:rPr>
      </w:pPr>
      <w:r w:rsidRPr="000B5C86">
        <w:rPr>
          <w:rFonts w:cs="Segoe UI"/>
          <w:b/>
          <w:bCs/>
          <w:szCs w:val="22"/>
          <w:lang w:val="nl-NL" w:eastAsia="de-DE"/>
        </w:rPr>
        <w:t>Slanke, snelle en toekomstgerichte operationele modellen</w:t>
      </w:r>
      <w:r w:rsidRPr="000B5C86">
        <w:rPr>
          <w:rFonts w:cs="Segoe UI"/>
          <w:szCs w:val="22"/>
          <w:lang w:val="nl-NL" w:eastAsia="de-DE"/>
        </w:rPr>
        <w:t xml:space="preserve"> zijn belangrijke elementen van het strategische kader van Henkel. Henkel heeft de in 2020 gelanceerde veranderingen verder uitgebreid: de digitale eenheid Henkel dx heeft zeer efficiënte structuren die hogere investeringen in IT-projecten tegen stabiele kosten mogelijk maken. </w:t>
      </w:r>
    </w:p>
    <w:p w14:paraId="0F031C15" w14:textId="77777777" w:rsidR="000A20FB" w:rsidRPr="000B5C86" w:rsidRDefault="000A20FB" w:rsidP="000A20FB">
      <w:pPr>
        <w:rPr>
          <w:rFonts w:cs="Segoe UI"/>
          <w:szCs w:val="22"/>
          <w:lang w:val="nl-NL" w:eastAsia="de-DE"/>
        </w:rPr>
      </w:pPr>
    </w:p>
    <w:p w14:paraId="0558FBBE" w14:textId="2D6B7C45" w:rsidR="000A20FB" w:rsidRPr="000B5C86" w:rsidRDefault="000A20FB" w:rsidP="000A20FB">
      <w:pPr>
        <w:rPr>
          <w:rFonts w:cs="Segoe UI"/>
          <w:szCs w:val="22"/>
          <w:lang w:val="nl-NL" w:eastAsia="de-DE"/>
        </w:rPr>
      </w:pPr>
      <w:r w:rsidRPr="000B5C86">
        <w:rPr>
          <w:rFonts w:cs="Segoe UI"/>
          <w:szCs w:val="22"/>
          <w:lang w:val="nl-NL" w:eastAsia="de-DE"/>
        </w:rPr>
        <w:t>Een ander belangrijk element van de Doelgerichte Groei</w:t>
      </w:r>
      <w:r w:rsidR="00443E03" w:rsidRPr="000B5C86">
        <w:rPr>
          <w:rFonts w:cs="Segoe UI"/>
          <w:szCs w:val="22"/>
          <w:lang w:val="nl-NL" w:eastAsia="de-DE"/>
        </w:rPr>
        <w:t>-</w:t>
      </w:r>
      <w:r w:rsidRPr="000B5C86">
        <w:rPr>
          <w:rFonts w:cs="Segoe UI"/>
          <w:szCs w:val="22"/>
          <w:lang w:val="nl-NL" w:eastAsia="de-DE"/>
        </w:rPr>
        <w:t xml:space="preserve">agenda is het verder ontwikkelen van de bedrijfscultuur van Henkel en het versnellen van de </w:t>
      </w:r>
      <w:r w:rsidRPr="000B5C86">
        <w:rPr>
          <w:rFonts w:cs="Segoe UI"/>
          <w:b/>
          <w:bCs/>
          <w:szCs w:val="22"/>
          <w:lang w:val="nl-NL" w:eastAsia="de-DE"/>
        </w:rPr>
        <w:t>culturele transformatie</w:t>
      </w:r>
      <w:r w:rsidRPr="000B5C86">
        <w:rPr>
          <w:rFonts w:cs="Segoe UI"/>
          <w:szCs w:val="22"/>
          <w:lang w:val="nl-NL" w:eastAsia="de-DE"/>
        </w:rPr>
        <w:t xml:space="preserve">. De onderneming wil een cultuur van samenwerking bevorderen. In de eerste helft van het jaar bleef Henkel een reeks maatregelen lanceren om dit doel te bereiken en </w:t>
      </w:r>
      <w:r w:rsidR="00106677">
        <w:rPr>
          <w:rFonts w:cs="Segoe UI"/>
          <w:szCs w:val="22"/>
          <w:lang w:val="nl-NL" w:eastAsia="de-DE"/>
        </w:rPr>
        <w:t>haar</w:t>
      </w:r>
      <w:r w:rsidRPr="000B5C86">
        <w:rPr>
          <w:rFonts w:cs="Segoe UI"/>
          <w:szCs w:val="22"/>
          <w:lang w:val="nl-NL" w:eastAsia="de-DE"/>
        </w:rPr>
        <w:t xml:space="preserve"> werknemers verder te </w:t>
      </w:r>
      <w:r w:rsidR="000E72BF" w:rsidRPr="000B5C86">
        <w:rPr>
          <w:rFonts w:cs="Segoe UI"/>
          <w:szCs w:val="22"/>
          <w:lang w:val="nl-NL" w:eastAsia="de-DE"/>
        </w:rPr>
        <w:t>stimuleren</w:t>
      </w:r>
      <w:r w:rsidRPr="000B5C86">
        <w:rPr>
          <w:rFonts w:cs="Segoe UI"/>
          <w:szCs w:val="22"/>
          <w:lang w:val="nl-NL" w:eastAsia="de-DE"/>
        </w:rPr>
        <w:t>.</w:t>
      </w:r>
    </w:p>
    <w:p w14:paraId="41BE5EA5" w14:textId="77777777" w:rsidR="000A20FB" w:rsidRPr="000B5C86" w:rsidRDefault="000A20FB" w:rsidP="000A20FB">
      <w:pPr>
        <w:rPr>
          <w:rFonts w:cs="Segoe UI"/>
          <w:szCs w:val="22"/>
          <w:lang w:val="nl-NL" w:eastAsia="de-DE"/>
        </w:rPr>
      </w:pPr>
    </w:p>
    <w:p w14:paraId="3F41C9BE" w14:textId="07D435A7" w:rsidR="000A20FB" w:rsidRPr="000B5C86" w:rsidRDefault="000A20FB" w:rsidP="000A20FB">
      <w:pPr>
        <w:rPr>
          <w:rFonts w:cs="Segoe UI"/>
          <w:szCs w:val="22"/>
          <w:lang w:val="nl-NL" w:eastAsia="de-DE"/>
        </w:rPr>
      </w:pPr>
      <w:r w:rsidRPr="000B5C86">
        <w:rPr>
          <w:rFonts w:cs="Segoe UI"/>
          <w:szCs w:val="22"/>
          <w:lang w:val="nl-NL" w:eastAsia="de-DE"/>
        </w:rPr>
        <w:t xml:space="preserve">Zo lanceerde Henkel bijvoorbeeld een uitgebreid programma voor veranderingsmanagement in verband met de fusie van de business units </w:t>
      </w:r>
      <w:proofErr w:type="spellStart"/>
      <w:r w:rsidR="000E72BF" w:rsidRPr="000B5C86">
        <w:rPr>
          <w:rFonts w:cs="Segoe UI"/>
          <w:szCs w:val="22"/>
          <w:lang w:val="nl-NL" w:eastAsia="de-DE"/>
        </w:rPr>
        <w:t>Laundry</w:t>
      </w:r>
      <w:proofErr w:type="spellEnd"/>
      <w:r w:rsidRPr="000B5C86">
        <w:rPr>
          <w:rFonts w:cs="Segoe UI"/>
          <w:szCs w:val="22"/>
          <w:lang w:val="nl-NL" w:eastAsia="de-DE"/>
        </w:rPr>
        <w:t xml:space="preserve"> &amp; Home Care en Beauty Care. Het programma spitst zich toe op </w:t>
      </w:r>
      <w:r w:rsidR="000A08B3">
        <w:rPr>
          <w:rFonts w:cs="Segoe UI"/>
          <w:szCs w:val="22"/>
          <w:lang w:val="nl-NL" w:eastAsia="de-DE"/>
        </w:rPr>
        <w:t>verdere ontwikkeling in het kader van het veranderingsproces</w:t>
      </w:r>
      <w:r w:rsidRPr="000B5C86">
        <w:rPr>
          <w:rFonts w:cs="Segoe UI"/>
          <w:szCs w:val="22"/>
          <w:lang w:val="nl-NL" w:eastAsia="de-DE"/>
        </w:rPr>
        <w:t xml:space="preserve"> en teamtransformatie. Daarnaast heeft Henkel, om het doel van gendergelijkheid op alle managementniveaus tegen 2025 te bereiken, verdere concrete stappen ondernomen en initiatieven gelanceerd zoals de </w:t>
      </w:r>
      <w:proofErr w:type="spellStart"/>
      <w:r w:rsidRPr="000B5C86">
        <w:rPr>
          <w:rFonts w:cs="Segoe UI"/>
          <w:szCs w:val="22"/>
          <w:lang w:val="nl-NL" w:eastAsia="de-DE"/>
        </w:rPr>
        <w:t>Diversity</w:t>
      </w:r>
      <w:proofErr w:type="spellEnd"/>
      <w:r w:rsidRPr="000B5C86">
        <w:rPr>
          <w:rFonts w:cs="Segoe UI"/>
          <w:szCs w:val="22"/>
          <w:lang w:val="nl-NL" w:eastAsia="de-DE"/>
        </w:rPr>
        <w:t xml:space="preserve">, </w:t>
      </w:r>
      <w:proofErr w:type="spellStart"/>
      <w:r w:rsidRPr="000B5C86">
        <w:rPr>
          <w:rFonts w:cs="Segoe UI"/>
          <w:szCs w:val="22"/>
          <w:lang w:val="nl-NL" w:eastAsia="de-DE"/>
        </w:rPr>
        <w:t>Equity</w:t>
      </w:r>
      <w:proofErr w:type="spellEnd"/>
      <w:r w:rsidRPr="000B5C86">
        <w:rPr>
          <w:rFonts w:cs="Segoe UI"/>
          <w:szCs w:val="22"/>
          <w:lang w:val="nl-NL" w:eastAsia="de-DE"/>
        </w:rPr>
        <w:t xml:space="preserve"> &amp; </w:t>
      </w:r>
      <w:proofErr w:type="spellStart"/>
      <w:r w:rsidRPr="000B5C86">
        <w:rPr>
          <w:rFonts w:cs="Segoe UI"/>
          <w:szCs w:val="22"/>
          <w:lang w:val="nl-NL" w:eastAsia="de-DE"/>
        </w:rPr>
        <w:t>Inclusion</w:t>
      </w:r>
      <w:proofErr w:type="spellEnd"/>
      <w:r w:rsidRPr="000B5C86">
        <w:rPr>
          <w:rFonts w:cs="Segoe UI"/>
          <w:szCs w:val="22"/>
          <w:lang w:val="nl-NL" w:eastAsia="de-DE"/>
        </w:rPr>
        <w:t xml:space="preserve"> Week. Als onderdeel van het alomvattende Smart </w:t>
      </w:r>
      <w:proofErr w:type="spellStart"/>
      <w:r w:rsidRPr="000B5C86">
        <w:rPr>
          <w:rFonts w:cs="Segoe UI"/>
          <w:szCs w:val="22"/>
          <w:lang w:val="nl-NL" w:eastAsia="de-DE"/>
        </w:rPr>
        <w:t>Work</w:t>
      </w:r>
      <w:proofErr w:type="spellEnd"/>
      <w:r w:rsidRPr="000B5C86">
        <w:rPr>
          <w:rFonts w:cs="Segoe UI"/>
          <w:szCs w:val="22"/>
          <w:lang w:val="nl-NL" w:eastAsia="de-DE"/>
        </w:rPr>
        <w:t xml:space="preserve">-concept zijn nieuwe initiatieven geïntroduceerd die zich richten op de </w:t>
      </w:r>
      <w:r w:rsidR="008D1F18">
        <w:rPr>
          <w:rFonts w:cs="Segoe UI"/>
          <w:szCs w:val="22"/>
          <w:lang w:val="nl-NL" w:eastAsia="de-DE"/>
        </w:rPr>
        <w:t>mentale</w:t>
      </w:r>
      <w:r w:rsidRPr="000B5C86">
        <w:rPr>
          <w:rFonts w:cs="Segoe UI"/>
          <w:szCs w:val="22"/>
          <w:lang w:val="nl-NL" w:eastAsia="de-DE"/>
        </w:rPr>
        <w:t xml:space="preserve"> gezondheid en het welzijn van werknemers.</w:t>
      </w:r>
    </w:p>
    <w:p w14:paraId="59E543C8" w14:textId="77777777" w:rsidR="000A20FB" w:rsidRPr="000B5C86" w:rsidRDefault="000A20FB" w:rsidP="000A20FB">
      <w:pPr>
        <w:rPr>
          <w:rFonts w:cs="Segoe UI"/>
          <w:szCs w:val="22"/>
          <w:lang w:val="nl-NL" w:eastAsia="de-DE"/>
        </w:rPr>
      </w:pPr>
    </w:p>
    <w:p w14:paraId="161C5194" w14:textId="134D36F0" w:rsidR="000A20FB" w:rsidRPr="000B5C86" w:rsidRDefault="000A20FB" w:rsidP="000A20FB">
      <w:pPr>
        <w:rPr>
          <w:rFonts w:cs="Segoe UI"/>
          <w:szCs w:val="22"/>
          <w:lang w:val="nl-NL" w:eastAsia="de-DE"/>
        </w:rPr>
      </w:pPr>
      <w:r w:rsidRPr="000B5C86">
        <w:rPr>
          <w:rFonts w:cs="Segoe UI"/>
          <w:szCs w:val="22"/>
          <w:lang w:val="nl-NL" w:eastAsia="de-DE"/>
        </w:rPr>
        <w:t xml:space="preserve">"Hoewel we geconfronteerd werden met de gevolgen van de COVID-pandemie en de oorlog in Oekraïne, hebben we onze organische en gerapporteerde omzet in de eerste helft van het jaar aanzienlijk verhoogd. Zoals verwacht, werden onze resultaten vooral beïnvloed door de drastische stijging van de grondstof- en logistieke kosten. Dit komt ook tot uiting in onze </w:t>
      </w:r>
      <w:r w:rsidR="002F7DEA" w:rsidRPr="000B5C86">
        <w:rPr>
          <w:rFonts w:cs="Segoe UI"/>
          <w:szCs w:val="22"/>
          <w:lang w:val="nl-NL" w:eastAsia="de-DE"/>
        </w:rPr>
        <w:t>aangepaste</w:t>
      </w:r>
      <w:r w:rsidRPr="000B5C86">
        <w:rPr>
          <w:rFonts w:cs="Segoe UI"/>
          <w:szCs w:val="22"/>
          <w:lang w:val="nl-NL" w:eastAsia="de-DE"/>
        </w:rPr>
        <w:t xml:space="preserve"> vooruitzichten voor het boekjaar 2022", aldus Carsten Knobel. "We zijn trots op de goede vooruitgang die we hebben geboekt bij de uitvoering van onze strategische agenda voor </w:t>
      </w:r>
      <w:r w:rsidR="0040096B">
        <w:rPr>
          <w:rFonts w:cs="Segoe UI"/>
          <w:szCs w:val="22"/>
          <w:lang w:val="nl-NL" w:eastAsia="de-DE"/>
        </w:rPr>
        <w:t>D</w:t>
      </w:r>
      <w:r w:rsidRPr="000B5C86">
        <w:rPr>
          <w:rFonts w:cs="Segoe UI"/>
          <w:szCs w:val="22"/>
          <w:lang w:val="nl-NL" w:eastAsia="de-DE"/>
        </w:rPr>
        <w:t xml:space="preserve">oelgerichte </w:t>
      </w:r>
      <w:r w:rsidR="0040096B">
        <w:rPr>
          <w:rFonts w:cs="Segoe UI"/>
          <w:szCs w:val="22"/>
          <w:lang w:val="nl-NL" w:eastAsia="de-DE"/>
        </w:rPr>
        <w:t>G</w:t>
      </w:r>
      <w:r w:rsidRPr="000B5C86">
        <w:rPr>
          <w:rFonts w:cs="Segoe UI"/>
          <w:szCs w:val="22"/>
          <w:lang w:val="nl-NL" w:eastAsia="de-DE"/>
        </w:rPr>
        <w:t>roei en we zullen onze strategie consequent blijven voortzetten in deze over het algemeen uitdagende omgeving."</w:t>
      </w:r>
    </w:p>
    <w:p w14:paraId="0B3858E9" w14:textId="77777777" w:rsidR="00A343B8" w:rsidRPr="000B5C86" w:rsidRDefault="00A343B8" w:rsidP="000A20FB">
      <w:pPr>
        <w:rPr>
          <w:rFonts w:cs="Segoe UI"/>
          <w:szCs w:val="22"/>
          <w:lang w:val="nl-NL" w:eastAsia="de-DE"/>
        </w:rPr>
      </w:pPr>
    </w:p>
    <w:p w14:paraId="0B165384" w14:textId="3088CA15" w:rsidR="00A343B8" w:rsidRPr="000B5C86" w:rsidRDefault="00A343B8" w:rsidP="000A20FB">
      <w:pPr>
        <w:rPr>
          <w:rFonts w:cs="Segoe UI"/>
          <w:i/>
          <w:iCs/>
          <w:szCs w:val="22"/>
          <w:lang w:val="nl-NL" w:eastAsia="de-DE"/>
        </w:rPr>
      </w:pPr>
      <w:r w:rsidRPr="000B5C86">
        <w:rPr>
          <w:rFonts w:cs="Segoe UI"/>
          <w:i/>
          <w:iCs/>
          <w:szCs w:val="22"/>
          <w:lang w:val="nl-NL" w:eastAsia="de-DE"/>
        </w:rPr>
        <w:lastRenderedPageBreak/>
        <w:t>DIT DOCUMENT IS EEN VERTALING VAN DE ORIGINELE, ENGELSE VERSIE.</w:t>
      </w:r>
    </w:p>
    <w:bookmarkEnd w:id="4"/>
    <w:p w14:paraId="28F86B96" w14:textId="2A5FCACC" w:rsidR="0013225D" w:rsidRPr="000B5C86" w:rsidRDefault="0013225D">
      <w:pPr>
        <w:spacing w:line="240" w:lineRule="auto"/>
        <w:jc w:val="left"/>
        <w:rPr>
          <w:rStyle w:val="AboutandContactHeadline"/>
          <w:szCs w:val="18"/>
          <w:lang w:val="nl-NL"/>
        </w:rPr>
      </w:pPr>
    </w:p>
    <w:p w14:paraId="1E5CC330" w14:textId="1CEA3611" w:rsidR="001E1CF5" w:rsidRPr="000B5C86" w:rsidRDefault="00CF0E73" w:rsidP="001E1CF5">
      <w:pPr>
        <w:rPr>
          <w:sz w:val="18"/>
          <w:szCs w:val="18"/>
          <w:lang w:val="nl-NL"/>
        </w:rPr>
      </w:pPr>
      <w:r w:rsidRPr="000B5C86">
        <w:rPr>
          <w:rStyle w:val="AboutandContactHeadline"/>
          <w:szCs w:val="18"/>
          <w:lang w:val="nl-NL"/>
        </w:rPr>
        <w:t>Over</w:t>
      </w:r>
      <w:r w:rsidR="001E1CF5" w:rsidRPr="000B5C86">
        <w:rPr>
          <w:rStyle w:val="AboutandContactHeadline"/>
          <w:szCs w:val="18"/>
          <w:lang w:val="nl-NL"/>
        </w:rPr>
        <w:t xml:space="preserve"> Henkel</w:t>
      </w:r>
    </w:p>
    <w:p w14:paraId="6C00FA00" w14:textId="0F319AC9" w:rsidR="00CF0E73" w:rsidRPr="000B5C86" w:rsidRDefault="00CF0E73" w:rsidP="00CF0E73">
      <w:pPr>
        <w:rPr>
          <w:rFonts w:asciiTheme="majorHAnsi" w:hAnsiTheme="majorHAnsi" w:cstheme="majorHAnsi"/>
          <w:bCs/>
          <w:sz w:val="18"/>
          <w:szCs w:val="18"/>
          <w:lang w:val="nl-NL"/>
        </w:rPr>
      </w:pPr>
      <w:r w:rsidRPr="000B5C86">
        <w:rPr>
          <w:rFonts w:asciiTheme="majorHAnsi" w:hAnsiTheme="majorHAnsi" w:cstheme="majorHAnsi"/>
          <w:bCs/>
          <w:sz w:val="18"/>
          <w:szCs w:val="18"/>
          <w:lang w:val="nl-NL"/>
        </w:rPr>
        <w:t xml:space="preserve">Henkel is wereldwijd actief met een evenwichtige en gediversifieerde portefeuille. Dankzij sterke merken, innovaties en technologieën bekleedt het bedrijf met zijn drie business units een leiderspositie in zowel de industriële als de consumentensector. Henkel </w:t>
      </w:r>
      <w:proofErr w:type="spellStart"/>
      <w:r w:rsidRPr="000B5C86">
        <w:rPr>
          <w:rFonts w:asciiTheme="majorHAnsi" w:hAnsiTheme="majorHAnsi" w:cstheme="majorHAnsi"/>
          <w:bCs/>
          <w:sz w:val="18"/>
          <w:szCs w:val="18"/>
          <w:lang w:val="nl-NL"/>
        </w:rPr>
        <w:t>Adhesive</w:t>
      </w:r>
      <w:proofErr w:type="spellEnd"/>
      <w:r w:rsidRPr="000B5C86">
        <w:rPr>
          <w:rFonts w:asciiTheme="majorHAnsi" w:hAnsiTheme="majorHAnsi" w:cstheme="majorHAnsi"/>
          <w:bCs/>
          <w:sz w:val="18"/>
          <w:szCs w:val="18"/>
          <w:lang w:val="nl-NL"/>
        </w:rPr>
        <w:t xml:space="preserve"> Technologies is de wereldleider op de kleefstoffenmarkt. In haar divisies </w:t>
      </w:r>
      <w:proofErr w:type="spellStart"/>
      <w:r w:rsidR="005F5FE6" w:rsidRPr="000B5C86">
        <w:rPr>
          <w:rFonts w:asciiTheme="majorHAnsi" w:hAnsiTheme="majorHAnsi" w:cstheme="majorHAnsi"/>
          <w:bCs/>
          <w:sz w:val="18"/>
          <w:szCs w:val="18"/>
          <w:lang w:val="nl-NL"/>
        </w:rPr>
        <w:t>Laundry</w:t>
      </w:r>
      <w:proofErr w:type="spellEnd"/>
      <w:r w:rsidR="005F5FE6" w:rsidRPr="000B5C86">
        <w:rPr>
          <w:rFonts w:asciiTheme="majorHAnsi" w:hAnsiTheme="majorHAnsi" w:cstheme="majorHAnsi"/>
          <w:bCs/>
          <w:sz w:val="18"/>
          <w:szCs w:val="18"/>
          <w:lang w:val="nl-NL"/>
        </w:rPr>
        <w:t xml:space="preserve"> &amp; Home Care</w:t>
      </w:r>
      <w:r w:rsidRPr="000B5C86">
        <w:rPr>
          <w:rFonts w:asciiTheme="majorHAnsi" w:hAnsiTheme="majorHAnsi" w:cstheme="majorHAnsi"/>
          <w:bCs/>
          <w:sz w:val="18"/>
          <w:szCs w:val="18"/>
          <w:lang w:val="nl-NL"/>
        </w:rPr>
        <w:t xml:space="preserve"> en </w:t>
      </w:r>
      <w:r w:rsidR="005F5FE6" w:rsidRPr="000B5C86">
        <w:rPr>
          <w:rFonts w:asciiTheme="majorHAnsi" w:hAnsiTheme="majorHAnsi" w:cstheme="majorHAnsi"/>
          <w:bCs/>
          <w:sz w:val="18"/>
          <w:szCs w:val="18"/>
          <w:lang w:val="nl-NL"/>
        </w:rPr>
        <w:t>Beauty Care</w:t>
      </w:r>
      <w:r w:rsidRPr="000B5C86">
        <w:rPr>
          <w:rFonts w:asciiTheme="majorHAnsi" w:hAnsiTheme="majorHAnsi" w:cstheme="majorHAnsi"/>
          <w:bCs/>
          <w:sz w:val="18"/>
          <w:szCs w:val="18"/>
          <w:lang w:val="nl-NL"/>
        </w:rPr>
        <w:t xml:space="preserve"> bekleedt Henkel wereldwijd leidende posities op tal van markten en categorieën. Henkel werd opgericht in 1876 en kijkt terug op meer dan 140 jaar succes. In het boekjaar 2021 rapporteerde Henkel een omzet van meer dan 20 miljard euro en een aangepaste bedrijfswinst van ongeveer 2,7 miljard euro. Henkel heeft wereldwijd meer dan 52.000 mensen in dienst - een gepassioneerd en zeer divers team, verenigd door een sterke bedrijfscultuur, een gemeenschappelijk doel om duurzame waarde te creëren, en gedeelde waarden. Als erkend leider op het vlak van duurzaamheid, bekleedt Henkel topposities in vele internationale indexen en rangschikkingen. De preferente aandelen van Henkel staan genoteerd in de Duitse aandelenindex </w:t>
      </w:r>
    </w:p>
    <w:p w14:paraId="186291CC" w14:textId="7C83B49A" w:rsidR="00CF0E73" w:rsidRPr="000B5C86" w:rsidRDefault="00CF0E73" w:rsidP="00CF0E73">
      <w:pPr>
        <w:rPr>
          <w:rFonts w:asciiTheme="majorHAnsi" w:hAnsiTheme="majorHAnsi" w:cstheme="majorHAnsi"/>
          <w:bCs/>
          <w:sz w:val="18"/>
          <w:szCs w:val="18"/>
          <w:lang w:val="nl-NL"/>
        </w:rPr>
      </w:pPr>
      <w:r w:rsidRPr="000B5C86">
        <w:rPr>
          <w:rFonts w:asciiTheme="majorHAnsi" w:hAnsiTheme="majorHAnsi" w:cstheme="majorHAnsi"/>
          <w:bCs/>
          <w:sz w:val="18"/>
          <w:szCs w:val="18"/>
          <w:lang w:val="nl-NL"/>
        </w:rPr>
        <w:t>DAX. Voor meer informatie kunt u terecht op www.henkel.com.</w:t>
      </w:r>
    </w:p>
    <w:p w14:paraId="0B1425BF" w14:textId="1A0631FF" w:rsidR="00AC63A8" w:rsidRPr="000B5C86" w:rsidRDefault="00AC63A8" w:rsidP="00D07A0C">
      <w:pPr>
        <w:rPr>
          <w:rFonts w:asciiTheme="majorHAnsi" w:hAnsiTheme="majorHAnsi" w:cstheme="majorHAnsi"/>
          <w:bCs/>
          <w:sz w:val="14"/>
          <w:szCs w:val="14"/>
          <w:lang w:val="nl-NL"/>
        </w:rPr>
      </w:pPr>
    </w:p>
    <w:p w14:paraId="7AB8BADB" w14:textId="37F3C58F" w:rsidR="00251624" w:rsidRPr="000B5C86" w:rsidRDefault="00251624">
      <w:pPr>
        <w:spacing w:line="240" w:lineRule="auto"/>
        <w:jc w:val="left"/>
        <w:rPr>
          <w:rFonts w:asciiTheme="majorHAnsi" w:hAnsiTheme="majorHAnsi" w:cstheme="majorHAnsi"/>
          <w:bCs/>
          <w:sz w:val="14"/>
          <w:szCs w:val="14"/>
          <w:lang w:val="nl-NL"/>
        </w:rPr>
      </w:pPr>
      <w:r w:rsidRPr="000B5C86">
        <w:rPr>
          <w:rFonts w:asciiTheme="majorHAnsi" w:hAnsiTheme="majorHAnsi" w:cstheme="majorHAnsi"/>
          <w:bCs/>
          <w:sz w:val="14"/>
          <w:szCs w:val="14"/>
          <w:lang w:val="nl-NL"/>
        </w:rPr>
        <w:br w:type="page"/>
      </w:r>
    </w:p>
    <w:p w14:paraId="279F2120" w14:textId="77777777" w:rsidR="00A343B8" w:rsidRPr="000B5C86" w:rsidRDefault="00A343B8" w:rsidP="00A343B8">
      <w:pPr>
        <w:pStyle w:val="He01Flietext"/>
        <w:rPr>
          <w:sz w:val="16"/>
          <w:szCs w:val="16"/>
          <w:lang w:val="nl-NL"/>
        </w:rPr>
      </w:pPr>
      <w:r w:rsidRPr="000B5C86">
        <w:rPr>
          <w:sz w:val="16"/>
          <w:szCs w:val="16"/>
          <w:lang w:val="nl-NL"/>
        </w:rPr>
        <w:lastRenderedPageBreak/>
        <w:t xml:space="preserve">Dit document bevat uitspraken die verwijzen naar toekomstige bedrijfsontwikkelingen, financiële prestaties en andere gebeurtenissen of ontwikkelingen die van belang zijn voor Henkel en die toekomstgerichte uitspraken kunnen vormen. Toekomstgerichte uitspraken worden gekenmerkt door het gebruik van woorden zoals verwachten, bedoelen, plannen, anticiperen, geloven, schatten, en soortgelijke termen. Dergelijke uitspraken zijn gebaseerd op huidige ramingen en veronderstellingen van het management van Henkel AG &amp; </w:t>
      </w:r>
      <w:proofErr w:type="spellStart"/>
      <w:r w:rsidRPr="000B5C86">
        <w:rPr>
          <w:sz w:val="16"/>
          <w:szCs w:val="16"/>
          <w:lang w:val="nl-NL"/>
        </w:rPr>
        <w:t>Co.</w:t>
      </w:r>
      <w:proofErr w:type="spellEnd"/>
      <w:r w:rsidRPr="000B5C86">
        <w:rPr>
          <w:sz w:val="16"/>
          <w:szCs w:val="16"/>
          <w:lang w:val="nl-NL"/>
        </w:rPr>
        <w:t xml:space="preserve"> </w:t>
      </w:r>
      <w:proofErr w:type="spellStart"/>
      <w:r w:rsidRPr="000B5C86">
        <w:rPr>
          <w:sz w:val="16"/>
          <w:szCs w:val="16"/>
          <w:lang w:val="nl-NL"/>
        </w:rPr>
        <w:t>KGaA</w:t>
      </w:r>
      <w:proofErr w:type="spellEnd"/>
      <w:r w:rsidRPr="000B5C86">
        <w:rPr>
          <w:sz w:val="16"/>
          <w:szCs w:val="16"/>
          <w:lang w:val="nl-NL"/>
        </w:rPr>
        <w:t xml:space="preserve">. Deze verklaringen mogen op geen enkele manier worden opgevat als een garantie dat deze verwachtingen accuraat zullen blijken te zijn. Toekomstige prestaties en resultaten die daadwerkelijk door Henkel AG &amp; </w:t>
      </w:r>
      <w:proofErr w:type="spellStart"/>
      <w:r w:rsidRPr="000B5C86">
        <w:rPr>
          <w:sz w:val="16"/>
          <w:szCs w:val="16"/>
          <w:lang w:val="nl-NL"/>
        </w:rPr>
        <w:t>Co.</w:t>
      </w:r>
      <w:proofErr w:type="spellEnd"/>
      <w:r w:rsidRPr="000B5C86">
        <w:rPr>
          <w:sz w:val="16"/>
          <w:szCs w:val="16"/>
          <w:lang w:val="nl-NL"/>
        </w:rPr>
        <w:t xml:space="preserve"> </w:t>
      </w:r>
      <w:proofErr w:type="spellStart"/>
      <w:r w:rsidRPr="000B5C86">
        <w:rPr>
          <w:sz w:val="16"/>
          <w:szCs w:val="16"/>
          <w:lang w:val="nl-NL"/>
        </w:rPr>
        <w:t>KGaA</w:t>
      </w:r>
      <w:proofErr w:type="spellEnd"/>
      <w:r w:rsidRPr="000B5C86">
        <w:rPr>
          <w:sz w:val="16"/>
          <w:szCs w:val="16"/>
          <w:lang w:val="nl-NL"/>
        </w:rPr>
        <w:t xml:space="preserve"> en haar dochterondernemingen zijn afhankelijk van een aantal risico's en onzekerheden en kunnen daarom wezenlijk verschillen (zowel in positieve als in negatieve zin) van de toekomstgerichte verklaringen. Veel van deze factoren liggen buiten Henkels controle en kunnen niet op voorhand nauwkeurig worden ingeschat, zoals de toekomstige economische omgeving en de acties van concurrenten en anderen die betrokken zijn bij de markt. Henkel is niet van plan, en neemt ook niet de verplichting op zich, om toekomstgerichte uitspraken bij te werken.</w:t>
      </w:r>
    </w:p>
    <w:p w14:paraId="1EC68B2A" w14:textId="77777777" w:rsidR="00A343B8" w:rsidRPr="000B5C86" w:rsidRDefault="00A343B8" w:rsidP="00A343B8">
      <w:pPr>
        <w:pStyle w:val="He01Flietext"/>
        <w:rPr>
          <w:sz w:val="16"/>
          <w:szCs w:val="16"/>
          <w:lang w:val="nl-NL"/>
        </w:rPr>
      </w:pPr>
      <w:r w:rsidRPr="000B5C86">
        <w:rPr>
          <w:sz w:val="16"/>
          <w:szCs w:val="16"/>
          <w:lang w:val="nl-NL"/>
        </w:rPr>
        <w:t xml:space="preserve">Dit document bevat bijkomende financiële indicatoren die niet duidelijk gedefinieerd zijn in het toepasselijke financiële rapporteringskader en die alternatieve prestatiemaatstaven zijn of kunnen zijn. Deze aanvullende financiële indicatoren mogen niet afzonderlijk of als alternatief worden beschouwd voor de maatstaven van Henkels </w:t>
      </w:r>
      <w:proofErr w:type="spellStart"/>
      <w:r w:rsidRPr="000B5C86">
        <w:rPr>
          <w:sz w:val="16"/>
          <w:szCs w:val="16"/>
          <w:lang w:val="nl-NL"/>
        </w:rPr>
        <w:t>nettoactiva</w:t>
      </w:r>
      <w:proofErr w:type="spellEnd"/>
      <w:r w:rsidRPr="000B5C86">
        <w:rPr>
          <w:sz w:val="16"/>
          <w:szCs w:val="16"/>
          <w:lang w:val="nl-NL"/>
        </w:rPr>
        <w:t xml:space="preserve"> en financiële positie of bedrijfsresultaten zoals gepresenteerd in overeenstemming met het toepasselijke financiële rapporteringskader in zijn Geconsolideerde Jaarrekening. Andere ondernemingen die alternatieve prestatiemaatstaven met een gelijkaardige titel rapporteren of beschrijven, kunnen deze anders berekenen.</w:t>
      </w:r>
    </w:p>
    <w:p w14:paraId="2170B57B" w14:textId="41D5891F" w:rsidR="00D07A0C" w:rsidRPr="000B5C86" w:rsidRDefault="00A343B8" w:rsidP="00A343B8">
      <w:pPr>
        <w:pStyle w:val="He01Flietext"/>
        <w:rPr>
          <w:sz w:val="16"/>
          <w:szCs w:val="16"/>
          <w:lang w:val="nl-NL"/>
        </w:rPr>
      </w:pPr>
      <w:r w:rsidRPr="000B5C86">
        <w:rPr>
          <w:sz w:val="16"/>
          <w:szCs w:val="16"/>
          <w:lang w:val="nl-NL"/>
        </w:rPr>
        <w:t>Dit document is uitsluitend opgesteld ter informatie en is niet bedoeld als beleggingsadvies, noch als een aanbod tot verkoop of een uitnodiging tot het doen van een aanbod tot aankoop van effecten.</w:t>
      </w:r>
    </w:p>
    <w:p w14:paraId="185888D3" w14:textId="4073374F" w:rsidR="00690A61" w:rsidRPr="000B5C86" w:rsidRDefault="00690A61">
      <w:pPr>
        <w:spacing w:line="240" w:lineRule="auto"/>
        <w:jc w:val="left"/>
        <w:rPr>
          <w:rStyle w:val="AboutandContactBody"/>
          <w:rFonts w:asciiTheme="majorHAnsi" w:hAnsiTheme="majorHAnsi" w:cs="Calibri Light"/>
          <w:b/>
          <w:szCs w:val="18"/>
          <w:lang w:val="nl-NL"/>
        </w:rPr>
      </w:pPr>
    </w:p>
    <w:p w14:paraId="79B1380E" w14:textId="78A6214D" w:rsidR="0001450F" w:rsidRPr="000B5C86" w:rsidRDefault="003509CB" w:rsidP="0001450F">
      <w:pPr>
        <w:tabs>
          <w:tab w:val="left" w:pos="1080"/>
          <w:tab w:val="left" w:pos="4500"/>
        </w:tabs>
        <w:spacing w:line="264" w:lineRule="auto"/>
        <w:rPr>
          <w:rStyle w:val="AboutandContactBody"/>
          <w:rFonts w:asciiTheme="majorHAnsi" w:hAnsiTheme="majorHAnsi" w:cs="Calibri Light"/>
          <w:b/>
          <w:szCs w:val="18"/>
          <w:lang w:val="nl-NL"/>
        </w:rPr>
      </w:pPr>
      <w:r w:rsidRPr="000B5C86">
        <w:rPr>
          <w:rStyle w:val="AboutandContactBody"/>
          <w:rFonts w:asciiTheme="majorHAnsi" w:hAnsiTheme="majorHAnsi" w:cs="Calibri Light"/>
          <w:b/>
          <w:szCs w:val="18"/>
          <w:lang w:val="nl-NL"/>
        </w:rPr>
        <w:t>C</w:t>
      </w:r>
      <w:r w:rsidR="0001450F" w:rsidRPr="000B5C86">
        <w:rPr>
          <w:rStyle w:val="AboutandContactBody"/>
          <w:rFonts w:asciiTheme="majorHAnsi" w:hAnsiTheme="majorHAnsi" w:cs="Calibri Light"/>
          <w:b/>
          <w:szCs w:val="18"/>
          <w:lang w:val="nl-NL"/>
        </w:rPr>
        <w:t>onta</w:t>
      </w:r>
      <w:r w:rsidRPr="000B5C86">
        <w:rPr>
          <w:rStyle w:val="AboutandContactBody"/>
          <w:rFonts w:asciiTheme="majorHAnsi" w:hAnsiTheme="majorHAnsi" w:cs="Calibri Light"/>
          <w:b/>
          <w:szCs w:val="18"/>
          <w:lang w:val="nl-NL"/>
        </w:rPr>
        <w:t>c</w:t>
      </w:r>
      <w:r w:rsidR="0001450F" w:rsidRPr="000B5C86">
        <w:rPr>
          <w:rStyle w:val="AboutandContactBody"/>
          <w:rFonts w:asciiTheme="majorHAnsi" w:hAnsiTheme="majorHAnsi" w:cs="Calibri Light"/>
          <w:b/>
          <w:szCs w:val="18"/>
          <w:lang w:val="nl-NL"/>
        </w:rPr>
        <w:t>t</w:t>
      </w:r>
    </w:p>
    <w:p w14:paraId="1EC05EEF" w14:textId="77777777" w:rsidR="0001450F" w:rsidRPr="000B5C86" w:rsidRDefault="0001450F" w:rsidP="0001450F">
      <w:pPr>
        <w:tabs>
          <w:tab w:val="left" w:pos="1080"/>
          <w:tab w:val="left" w:pos="4500"/>
        </w:tabs>
        <w:spacing w:line="264" w:lineRule="auto"/>
        <w:rPr>
          <w:rStyle w:val="AboutandContactBody"/>
          <w:rFonts w:asciiTheme="majorHAnsi" w:hAnsiTheme="majorHAnsi" w:cs="Calibri Light"/>
          <w:b/>
          <w:szCs w:val="18"/>
          <w:lang w:val="nl-NL"/>
        </w:rPr>
      </w:pPr>
    </w:p>
    <w:p w14:paraId="5506B563" w14:textId="3E0EC5D0" w:rsidR="0001450F" w:rsidRPr="000B5C86" w:rsidRDefault="0001450F" w:rsidP="0001450F">
      <w:pPr>
        <w:tabs>
          <w:tab w:val="left" w:pos="1080"/>
          <w:tab w:val="left" w:pos="4500"/>
        </w:tabs>
        <w:spacing w:line="264" w:lineRule="auto"/>
        <w:rPr>
          <w:rStyle w:val="AboutandContactBody"/>
          <w:rFonts w:asciiTheme="majorHAnsi" w:hAnsiTheme="majorHAnsi" w:cs="Calibri Light"/>
          <w:b/>
          <w:szCs w:val="18"/>
          <w:lang w:val="nl-NL"/>
        </w:rPr>
      </w:pPr>
      <w:r w:rsidRPr="000B5C86">
        <w:rPr>
          <w:rStyle w:val="AboutandContactBody"/>
          <w:rFonts w:asciiTheme="majorHAnsi" w:hAnsiTheme="majorHAnsi" w:cs="Calibri Light"/>
          <w:b/>
          <w:szCs w:val="18"/>
          <w:lang w:val="nl-NL"/>
        </w:rPr>
        <w:t>Press &amp; Medi</w:t>
      </w:r>
      <w:r w:rsidR="003509CB" w:rsidRPr="000B5C86">
        <w:rPr>
          <w:rStyle w:val="AboutandContactBody"/>
          <w:rFonts w:asciiTheme="majorHAnsi" w:hAnsiTheme="majorHAnsi" w:cs="Calibri Light"/>
          <w:b/>
          <w:szCs w:val="18"/>
          <w:lang w:val="nl-NL"/>
        </w:rPr>
        <w:t>a</w:t>
      </w:r>
    </w:p>
    <w:p w14:paraId="7D698A80" w14:textId="77777777"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p>
    <w:p w14:paraId="54F35426" w14:textId="57C7805F" w:rsidR="0001450F" w:rsidRPr="000B5C86" w:rsidRDefault="0001450F" w:rsidP="0001450F">
      <w:pPr>
        <w:tabs>
          <w:tab w:val="left" w:pos="1080"/>
          <w:tab w:val="left" w:pos="4500"/>
        </w:tabs>
        <w:spacing w:line="264" w:lineRule="auto"/>
        <w:rPr>
          <w:rStyle w:val="AboutandContactBody"/>
          <w:rFonts w:asciiTheme="majorHAnsi" w:hAnsiTheme="majorHAnsi" w:cs="Calibri Light"/>
          <w:b/>
          <w:szCs w:val="18"/>
          <w:lang w:val="nl-NL"/>
        </w:rPr>
      </w:pPr>
      <w:r w:rsidRPr="000B5C86">
        <w:rPr>
          <w:rStyle w:val="AboutandContactBody"/>
          <w:rFonts w:asciiTheme="majorHAnsi" w:hAnsiTheme="majorHAnsi" w:cs="Calibri Light"/>
          <w:b/>
          <w:szCs w:val="18"/>
          <w:lang w:val="nl-NL"/>
        </w:rPr>
        <w:t xml:space="preserve">Lars </w:t>
      </w:r>
      <w:proofErr w:type="spellStart"/>
      <w:r w:rsidRPr="000B5C86">
        <w:rPr>
          <w:rStyle w:val="AboutandContactBody"/>
          <w:rFonts w:asciiTheme="majorHAnsi" w:hAnsiTheme="majorHAnsi" w:cs="Calibri Light"/>
          <w:b/>
          <w:szCs w:val="18"/>
          <w:lang w:val="nl-NL"/>
        </w:rPr>
        <w:t>Witteck</w:t>
      </w:r>
      <w:proofErr w:type="spellEnd"/>
    </w:p>
    <w:p w14:paraId="15F01531" w14:textId="1B94A51D" w:rsidR="0001450F" w:rsidRPr="000B5C86" w:rsidRDefault="00D76E73"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Phone</w:t>
      </w:r>
      <w:r w:rsidR="0001450F" w:rsidRPr="000B5C86">
        <w:rPr>
          <w:rStyle w:val="AboutandContactBody"/>
          <w:rFonts w:asciiTheme="majorHAnsi" w:hAnsiTheme="majorHAnsi" w:cs="Calibri Light"/>
          <w:szCs w:val="18"/>
          <w:lang w:val="nl-NL"/>
        </w:rPr>
        <w:t>:</w:t>
      </w:r>
      <w:r w:rsidR="0001450F" w:rsidRPr="000B5C86">
        <w:rPr>
          <w:rStyle w:val="AboutandContactBody"/>
          <w:rFonts w:asciiTheme="majorHAnsi" w:hAnsiTheme="majorHAnsi" w:cs="Calibri Light"/>
          <w:szCs w:val="18"/>
          <w:lang w:val="nl-NL"/>
        </w:rPr>
        <w:tab/>
        <w:t>+49 211 797 - 2606</w:t>
      </w:r>
    </w:p>
    <w:p w14:paraId="3669B50B" w14:textId="308F12E4" w:rsidR="0001450F" w:rsidRPr="000B5C86" w:rsidRDefault="0001450F"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E</w:t>
      </w:r>
      <w:r w:rsidR="00D76E73" w:rsidRPr="000B5C86">
        <w:rPr>
          <w:rStyle w:val="AboutandContactBody"/>
          <w:rFonts w:asciiTheme="majorHAnsi" w:hAnsiTheme="majorHAnsi" w:cs="Calibri Light"/>
          <w:szCs w:val="18"/>
          <w:lang w:val="nl-NL"/>
        </w:rPr>
        <w:t>m</w:t>
      </w:r>
      <w:r w:rsidRPr="000B5C86">
        <w:rPr>
          <w:rStyle w:val="AboutandContactBody"/>
          <w:rFonts w:asciiTheme="majorHAnsi" w:hAnsiTheme="majorHAnsi" w:cs="Calibri Light"/>
          <w:szCs w:val="18"/>
          <w:lang w:val="nl-NL"/>
        </w:rPr>
        <w:t>ail:</w:t>
      </w:r>
      <w:r w:rsidRPr="000B5C86">
        <w:rPr>
          <w:rStyle w:val="AboutandContactBody"/>
          <w:rFonts w:asciiTheme="majorHAnsi" w:hAnsiTheme="majorHAnsi" w:cs="Calibri Light"/>
          <w:szCs w:val="18"/>
          <w:lang w:val="nl-NL"/>
        </w:rPr>
        <w:tab/>
      </w:r>
      <w:hyperlink r:id="rId12" w:history="1">
        <w:r w:rsidR="001E1CF5" w:rsidRPr="000B5C86">
          <w:rPr>
            <w:rStyle w:val="Hyperlink"/>
            <w:rFonts w:asciiTheme="majorHAnsi" w:hAnsiTheme="majorHAnsi" w:cs="Calibri Light"/>
            <w:lang w:val="nl-NL"/>
          </w:rPr>
          <w:t>lars.witteck@henkel.com</w:t>
        </w:r>
      </w:hyperlink>
    </w:p>
    <w:p w14:paraId="10534256" w14:textId="77777777"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p>
    <w:p w14:paraId="6524A0D3" w14:textId="7BD487FF"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b/>
          <w:szCs w:val="18"/>
          <w:lang w:val="nl-NL"/>
        </w:rPr>
        <w:t xml:space="preserve">Wulf </w:t>
      </w:r>
      <w:proofErr w:type="spellStart"/>
      <w:r w:rsidRPr="000B5C86">
        <w:rPr>
          <w:rStyle w:val="AboutandContactBody"/>
          <w:rFonts w:asciiTheme="majorHAnsi" w:hAnsiTheme="majorHAnsi" w:cs="Calibri Light"/>
          <w:b/>
          <w:szCs w:val="18"/>
          <w:lang w:val="nl-NL"/>
        </w:rPr>
        <w:t>Klüppelholz</w:t>
      </w:r>
      <w:proofErr w:type="spellEnd"/>
    </w:p>
    <w:p w14:paraId="493AB8B6" w14:textId="2372334E" w:rsidR="0001450F" w:rsidRPr="000B5C86" w:rsidRDefault="00D76E73"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Phone</w:t>
      </w:r>
      <w:r w:rsidR="0001450F" w:rsidRPr="000B5C86">
        <w:rPr>
          <w:rStyle w:val="AboutandContactBody"/>
          <w:rFonts w:asciiTheme="majorHAnsi" w:hAnsiTheme="majorHAnsi" w:cs="Calibri Light"/>
          <w:szCs w:val="18"/>
          <w:lang w:val="nl-NL"/>
        </w:rPr>
        <w:t>:</w:t>
      </w:r>
      <w:r w:rsidR="0001450F" w:rsidRPr="000B5C86">
        <w:rPr>
          <w:rStyle w:val="AboutandContactBody"/>
          <w:rFonts w:asciiTheme="majorHAnsi" w:hAnsiTheme="majorHAnsi" w:cs="Calibri Light"/>
          <w:szCs w:val="18"/>
          <w:lang w:val="nl-NL"/>
        </w:rPr>
        <w:tab/>
        <w:t>+49 211 797 - 1875</w:t>
      </w:r>
    </w:p>
    <w:p w14:paraId="6CCCF3D5" w14:textId="6F26FFF0" w:rsidR="0001450F" w:rsidRPr="000B5C86" w:rsidRDefault="0001450F"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E</w:t>
      </w:r>
      <w:r w:rsidR="00D76E73" w:rsidRPr="000B5C86">
        <w:rPr>
          <w:rStyle w:val="AboutandContactBody"/>
          <w:rFonts w:asciiTheme="majorHAnsi" w:hAnsiTheme="majorHAnsi" w:cs="Calibri Light"/>
          <w:szCs w:val="18"/>
          <w:lang w:val="nl-NL"/>
        </w:rPr>
        <w:t>m</w:t>
      </w:r>
      <w:r w:rsidRPr="000B5C86">
        <w:rPr>
          <w:rStyle w:val="AboutandContactBody"/>
          <w:rFonts w:asciiTheme="majorHAnsi" w:hAnsiTheme="majorHAnsi" w:cs="Calibri Light"/>
          <w:szCs w:val="18"/>
          <w:lang w:val="nl-NL"/>
        </w:rPr>
        <w:t>ail:</w:t>
      </w:r>
      <w:r w:rsidRPr="000B5C86">
        <w:rPr>
          <w:rStyle w:val="AboutandContactBody"/>
          <w:rFonts w:asciiTheme="majorHAnsi" w:hAnsiTheme="majorHAnsi" w:cs="Calibri Light"/>
          <w:szCs w:val="18"/>
          <w:lang w:val="nl-NL"/>
        </w:rPr>
        <w:tab/>
      </w:r>
      <w:hyperlink r:id="rId13" w:history="1">
        <w:r w:rsidRPr="000B5C86">
          <w:rPr>
            <w:rStyle w:val="Hyperlink"/>
            <w:rFonts w:asciiTheme="majorHAnsi" w:hAnsiTheme="majorHAnsi" w:cs="Calibri Light"/>
            <w:lang w:val="nl-NL"/>
          </w:rPr>
          <w:t>wulf.klueppelholz@henkel.com</w:t>
        </w:r>
      </w:hyperlink>
    </w:p>
    <w:p w14:paraId="0DB32ACB" w14:textId="77777777"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p>
    <w:p w14:paraId="2D7D5D54" w14:textId="117F1F5B"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b/>
          <w:szCs w:val="18"/>
          <w:lang w:val="nl-NL"/>
        </w:rPr>
        <w:t>Hanna Philipps</w:t>
      </w:r>
    </w:p>
    <w:p w14:paraId="3D72201B" w14:textId="16C0F092" w:rsidR="0001450F" w:rsidRPr="000B5C86" w:rsidRDefault="00D76E73"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Phone</w:t>
      </w:r>
      <w:r w:rsidR="0001450F" w:rsidRPr="000B5C86">
        <w:rPr>
          <w:rStyle w:val="AboutandContactBody"/>
          <w:rFonts w:asciiTheme="majorHAnsi" w:hAnsiTheme="majorHAnsi" w:cs="Calibri Light"/>
          <w:szCs w:val="18"/>
          <w:lang w:val="nl-NL"/>
        </w:rPr>
        <w:t>:</w:t>
      </w:r>
      <w:r w:rsidR="0001450F" w:rsidRPr="000B5C86">
        <w:rPr>
          <w:rStyle w:val="AboutandContactBody"/>
          <w:rFonts w:asciiTheme="majorHAnsi" w:hAnsiTheme="majorHAnsi" w:cs="Calibri Light"/>
          <w:szCs w:val="18"/>
          <w:lang w:val="nl-NL"/>
        </w:rPr>
        <w:tab/>
        <w:t>+49 211 797 - 3626</w:t>
      </w:r>
    </w:p>
    <w:p w14:paraId="5E467550" w14:textId="7854A21D" w:rsidR="0001450F" w:rsidRPr="000B5C86" w:rsidRDefault="0001450F" w:rsidP="0001450F">
      <w:pPr>
        <w:tabs>
          <w:tab w:val="left" w:pos="709"/>
          <w:tab w:val="left" w:pos="4500"/>
          <w:tab w:val="left" w:pos="5245"/>
        </w:tabs>
        <w:spacing w:line="264" w:lineRule="auto"/>
        <w:rPr>
          <w:rStyle w:val="AboutandContactBody"/>
          <w:rFonts w:asciiTheme="majorHAnsi" w:hAnsiTheme="majorHAnsi" w:cs="Calibri Light"/>
          <w:szCs w:val="18"/>
          <w:lang w:val="nl-NL"/>
        </w:rPr>
      </w:pPr>
      <w:r w:rsidRPr="000B5C86">
        <w:rPr>
          <w:rStyle w:val="AboutandContactBody"/>
          <w:rFonts w:asciiTheme="majorHAnsi" w:hAnsiTheme="majorHAnsi" w:cs="Calibri Light"/>
          <w:szCs w:val="18"/>
          <w:lang w:val="nl-NL"/>
        </w:rPr>
        <w:t>E</w:t>
      </w:r>
      <w:r w:rsidR="00D76E73" w:rsidRPr="000B5C86">
        <w:rPr>
          <w:rStyle w:val="AboutandContactBody"/>
          <w:rFonts w:asciiTheme="majorHAnsi" w:hAnsiTheme="majorHAnsi" w:cs="Calibri Light"/>
          <w:szCs w:val="18"/>
          <w:lang w:val="nl-NL"/>
        </w:rPr>
        <w:t>m</w:t>
      </w:r>
      <w:r w:rsidRPr="000B5C86">
        <w:rPr>
          <w:rStyle w:val="AboutandContactBody"/>
          <w:rFonts w:asciiTheme="majorHAnsi" w:hAnsiTheme="majorHAnsi" w:cs="Calibri Light"/>
          <w:szCs w:val="18"/>
          <w:lang w:val="nl-NL"/>
        </w:rPr>
        <w:t>ail:</w:t>
      </w:r>
      <w:r w:rsidRPr="000B5C86">
        <w:rPr>
          <w:rStyle w:val="AboutandContactBody"/>
          <w:rFonts w:asciiTheme="majorHAnsi" w:hAnsiTheme="majorHAnsi" w:cs="Calibri Light"/>
          <w:szCs w:val="18"/>
          <w:lang w:val="nl-NL"/>
        </w:rPr>
        <w:tab/>
      </w:r>
      <w:hyperlink r:id="rId14" w:history="1">
        <w:r w:rsidRPr="000B5C86">
          <w:rPr>
            <w:rStyle w:val="Hyperlink"/>
            <w:rFonts w:asciiTheme="majorHAnsi" w:hAnsiTheme="majorHAnsi" w:cs="Calibri Light"/>
            <w:lang w:val="nl-NL"/>
          </w:rPr>
          <w:t>hanna.philipps@henkel.com</w:t>
        </w:r>
      </w:hyperlink>
    </w:p>
    <w:p w14:paraId="500F5F2B" w14:textId="77777777" w:rsidR="0001450F" w:rsidRPr="000B5C86" w:rsidRDefault="0001450F" w:rsidP="0001450F">
      <w:pPr>
        <w:tabs>
          <w:tab w:val="left" w:pos="1080"/>
          <w:tab w:val="left" w:pos="4500"/>
        </w:tabs>
        <w:spacing w:line="264" w:lineRule="auto"/>
        <w:rPr>
          <w:rStyle w:val="AboutandContactBody"/>
          <w:rFonts w:asciiTheme="majorHAnsi" w:hAnsiTheme="majorHAnsi" w:cs="Calibri Light"/>
          <w:szCs w:val="18"/>
          <w:lang w:val="nl-NL"/>
        </w:rPr>
      </w:pPr>
    </w:p>
    <w:p w14:paraId="66CD3BA3" w14:textId="2AE3655E" w:rsidR="0001450F" w:rsidRPr="000B5C86" w:rsidRDefault="006E6D2A" w:rsidP="0001450F">
      <w:pPr>
        <w:tabs>
          <w:tab w:val="left" w:pos="1080"/>
          <w:tab w:val="left" w:pos="4500"/>
        </w:tabs>
        <w:spacing w:line="264" w:lineRule="auto"/>
        <w:rPr>
          <w:rFonts w:asciiTheme="majorHAnsi" w:hAnsiTheme="majorHAnsi" w:cs="Calibri Light"/>
          <w:sz w:val="18"/>
          <w:szCs w:val="18"/>
          <w:lang w:val="nl-NL"/>
        </w:rPr>
      </w:pPr>
      <w:hyperlink r:id="rId15" w:history="1">
        <w:r w:rsidR="00CE7F84" w:rsidRPr="000B5C86">
          <w:rPr>
            <w:rStyle w:val="Hyperlink"/>
            <w:rFonts w:asciiTheme="majorHAnsi" w:hAnsiTheme="majorHAnsi" w:cs="Calibri Light"/>
            <w:lang w:val="nl-NL"/>
          </w:rPr>
          <w:t>www.henkel.com/press</w:t>
        </w:r>
      </w:hyperlink>
    </w:p>
    <w:p w14:paraId="23552B25" w14:textId="287C49BD" w:rsidR="00A15D78" w:rsidRPr="000B5C86" w:rsidRDefault="006E6D2A" w:rsidP="0001450F">
      <w:pPr>
        <w:tabs>
          <w:tab w:val="left" w:pos="1080"/>
          <w:tab w:val="left" w:pos="4500"/>
        </w:tabs>
        <w:spacing w:line="264" w:lineRule="auto"/>
        <w:rPr>
          <w:rStyle w:val="Hyperlink"/>
          <w:rFonts w:asciiTheme="majorHAnsi" w:hAnsiTheme="majorHAnsi" w:cs="Calibri Light"/>
          <w:lang w:val="nl-NL"/>
        </w:rPr>
      </w:pPr>
      <w:hyperlink r:id="rId16" w:history="1">
        <w:r w:rsidR="00CE7F84" w:rsidRPr="000B5C86">
          <w:rPr>
            <w:rStyle w:val="Hyperlink"/>
            <w:rFonts w:asciiTheme="majorHAnsi" w:hAnsiTheme="majorHAnsi" w:cs="Calibri Light"/>
            <w:lang w:val="nl-NL"/>
          </w:rPr>
          <w:t>www.henkel.com/</w:t>
        </w:r>
      </w:hyperlink>
      <w:r w:rsidR="00285FD5" w:rsidRPr="000B5C86">
        <w:rPr>
          <w:rStyle w:val="Hyperlink"/>
          <w:rFonts w:asciiTheme="majorHAnsi" w:hAnsiTheme="majorHAnsi" w:cs="Calibri Light"/>
          <w:lang w:val="nl-NL"/>
        </w:rPr>
        <w:t>ir</w:t>
      </w:r>
    </w:p>
    <w:sectPr w:rsidR="00A15D78" w:rsidRPr="000B5C86"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E627" w14:textId="77777777" w:rsidR="00CB2211" w:rsidRDefault="00CB2211">
      <w:r>
        <w:separator/>
      </w:r>
    </w:p>
  </w:endnote>
  <w:endnote w:type="continuationSeparator" w:id="0">
    <w:p w14:paraId="2F0EAB43" w14:textId="77777777" w:rsidR="00CB2211" w:rsidRDefault="00CB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UI">
    <w:altName w:val="Segoe UI"/>
    <w:panose1 w:val="020B0604020202020204"/>
    <w:charset w:val="00"/>
    <w:family w:val="swiss"/>
    <w:pitch w:val="variable"/>
    <w:sig w:usb0="E4002EFF" w:usb1="C000E47F" w:usb2="00000009" w:usb3="00000000" w:csb0="000001FF" w:csb1="00000000"/>
  </w:font>
  <w:font w:name="SegoeUI-Bold">
    <w:altName w:val="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A9F3C4A" w:rsidR="00CF6F33" w:rsidRPr="00112A28" w:rsidRDefault="00112A28" w:rsidP="00112A28">
    <w:pPr>
      <w:pStyle w:val="Voettekst"/>
      <w:tabs>
        <w:tab w:val="clear" w:pos="7083"/>
        <w:tab w:val="clear" w:pos="8640"/>
        <w:tab w:val="right" w:pos="9071"/>
      </w:tabs>
      <w:jc w:val="both"/>
    </w:pPr>
    <w:r w:rsidRPr="00BF6E82">
      <w:t>Henkel AG &amp; Co. KGaA</w:t>
    </w:r>
    <w:r>
      <w:tab/>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6E6D2A">
      <w:fldChar w:fldCharType="begin"/>
    </w:r>
    <w:r w:rsidR="006E6D2A">
      <w:instrText xml:space="preserve"> NUMPAGES  \* Arabic  \* MERGEFORMAT </w:instrText>
    </w:r>
    <w:r w:rsidR="006E6D2A">
      <w:fldChar w:fldCharType="separate"/>
    </w:r>
    <w:r>
      <w:t>2</w:t>
    </w:r>
    <w:r w:rsidR="006E6D2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775F1D1" w:rsidR="00CF6F33" w:rsidRPr="00992A11" w:rsidRDefault="00CF6F33" w:rsidP="00992A11">
    <w:pPr>
      <w:pStyle w:val="Voettekst"/>
    </w:pP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6A0A3C" w:rsidRPr="00992A11">
      <w:t>1</w:t>
    </w:r>
    <w:r w:rsidRPr="00992A11">
      <w:fldChar w:fldCharType="end"/>
    </w:r>
    <w:r w:rsidRPr="00992A11">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6A0A3C" w:rsidRPr="00992A11">
      <w:t>1</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F185" w14:textId="77777777" w:rsidR="00CB2211" w:rsidRDefault="00CB2211">
      <w:r>
        <w:separator/>
      </w:r>
    </w:p>
  </w:footnote>
  <w:footnote w:type="continuationSeparator" w:id="0">
    <w:p w14:paraId="0DEE051F" w14:textId="77777777" w:rsidR="00CB2211" w:rsidRDefault="00CB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475C595" w:rsidR="00CF6F33" w:rsidRPr="00EB46D9" w:rsidRDefault="0059722C" w:rsidP="00EB46D9">
    <w:pPr>
      <w:pStyle w:val="Koptekst"/>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9A96B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011093">
      <w:rPr>
        <w:noProof/>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9"/>
  </w:num>
  <w:num w:numId="4" w16cid:durableId="1603610541">
    <w:abstractNumId w:val="6"/>
  </w:num>
  <w:num w:numId="5" w16cid:durableId="458768014">
    <w:abstractNumId w:val="4"/>
  </w:num>
  <w:num w:numId="6" w16cid:durableId="869955884">
    <w:abstractNumId w:val="7"/>
  </w:num>
  <w:num w:numId="7" w16cid:durableId="1731995347">
    <w:abstractNumId w:val="5"/>
  </w:num>
  <w:num w:numId="8" w16cid:durableId="577907970">
    <w:abstractNumId w:val="0"/>
  </w:num>
  <w:num w:numId="9" w16cid:durableId="508570664">
    <w:abstractNumId w:val="8"/>
  </w:num>
  <w:num w:numId="10" w16cid:durableId="916212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8F4"/>
    <w:rsid w:val="00007ACA"/>
    <w:rsid w:val="0001002C"/>
    <w:rsid w:val="000109CE"/>
    <w:rsid w:val="00011093"/>
    <w:rsid w:val="00011965"/>
    <w:rsid w:val="0001450F"/>
    <w:rsid w:val="00016137"/>
    <w:rsid w:val="00021C67"/>
    <w:rsid w:val="00023871"/>
    <w:rsid w:val="00023ED9"/>
    <w:rsid w:val="000301F0"/>
    <w:rsid w:val="00030557"/>
    <w:rsid w:val="00030701"/>
    <w:rsid w:val="00030F51"/>
    <w:rsid w:val="00032298"/>
    <w:rsid w:val="000343EB"/>
    <w:rsid w:val="00035A84"/>
    <w:rsid w:val="00040218"/>
    <w:rsid w:val="000402B6"/>
    <w:rsid w:val="00040CC9"/>
    <w:rsid w:val="0004126C"/>
    <w:rsid w:val="00042329"/>
    <w:rsid w:val="000425ED"/>
    <w:rsid w:val="00044E68"/>
    <w:rsid w:val="000510FC"/>
    <w:rsid w:val="00051E86"/>
    <w:rsid w:val="00053A77"/>
    <w:rsid w:val="00054AFE"/>
    <w:rsid w:val="000575F9"/>
    <w:rsid w:val="000618FC"/>
    <w:rsid w:val="0006396D"/>
    <w:rsid w:val="00064CCE"/>
    <w:rsid w:val="000665F3"/>
    <w:rsid w:val="00067071"/>
    <w:rsid w:val="00067F67"/>
    <w:rsid w:val="00070757"/>
    <w:rsid w:val="00070B4E"/>
    <w:rsid w:val="00074C4A"/>
    <w:rsid w:val="00074CD5"/>
    <w:rsid w:val="000751A7"/>
    <w:rsid w:val="000773C2"/>
    <w:rsid w:val="00077AF9"/>
    <w:rsid w:val="00080D10"/>
    <w:rsid w:val="00081241"/>
    <w:rsid w:val="000813FB"/>
    <w:rsid w:val="00081EF8"/>
    <w:rsid w:val="0008357F"/>
    <w:rsid w:val="0008406B"/>
    <w:rsid w:val="00085ABA"/>
    <w:rsid w:val="000925EE"/>
    <w:rsid w:val="00096AD4"/>
    <w:rsid w:val="000A08B3"/>
    <w:rsid w:val="000A20FB"/>
    <w:rsid w:val="000A23CD"/>
    <w:rsid w:val="000A3FAD"/>
    <w:rsid w:val="000B005C"/>
    <w:rsid w:val="000B2E86"/>
    <w:rsid w:val="000B55CE"/>
    <w:rsid w:val="000B5657"/>
    <w:rsid w:val="000B5C86"/>
    <w:rsid w:val="000B5D2F"/>
    <w:rsid w:val="000B6244"/>
    <w:rsid w:val="000B695A"/>
    <w:rsid w:val="000B72A8"/>
    <w:rsid w:val="000C210A"/>
    <w:rsid w:val="000C27E5"/>
    <w:rsid w:val="000C56DD"/>
    <w:rsid w:val="000D10D2"/>
    <w:rsid w:val="000D1672"/>
    <w:rsid w:val="000D178A"/>
    <w:rsid w:val="000D24BE"/>
    <w:rsid w:val="000D6C67"/>
    <w:rsid w:val="000E0FB6"/>
    <w:rsid w:val="000E1B84"/>
    <w:rsid w:val="000E2F62"/>
    <w:rsid w:val="000E38ED"/>
    <w:rsid w:val="000E4668"/>
    <w:rsid w:val="000E72BF"/>
    <w:rsid w:val="000E7F24"/>
    <w:rsid w:val="000F03BE"/>
    <w:rsid w:val="000F1757"/>
    <w:rsid w:val="000F225B"/>
    <w:rsid w:val="000F48E9"/>
    <w:rsid w:val="000F70AD"/>
    <w:rsid w:val="000F7933"/>
    <w:rsid w:val="000F7FAF"/>
    <w:rsid w:val="0010226B"/>
    <w:rsid w:val="001027F2"/>
    <w:rsid w:val="0010465B"/>
    <w:rsid w:val="00105975"/>
    <w:rsid w:val="00105C2E"/>
    <w:rsid w:val="00106677"/>
    <w:rsid w:val="00107F44"/>
    <w:rsid w:val="0011116D"/>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8B"/>
    <w:rsid w:val="00133B99"/>
    <w:rsid w:val="0013569C"/>
    <w:rsid w:val="00143759"/>
    <w:rsid w:val="001443BD"/>
    <w:rsid w:val="0014449A"/>
    <w:rsid w:val="00144A87"/>
    <w:rsid w:val="00146193"/>
    <w:rsid w:val="00146222"/>
    <w:rsid w:val="00147431"/>
    <w:rsid w:val="0015206B"/>
    <w:rsid w:val="0015372F"/>
    <w:rsid w:val="001577E9"/>
    <w:rsid w:val="0016138C"/>
    <w:rsid w:val="00161FC1"/>
    <w:rsid w:val="00162D60"/>
    <w:rsid w:val="001640D5"/>
    <w:rsid w:val="001659FB"/>
    <w:rsid w:val="001660C5"/>
    <w:rsid w:val="001702CD"/>
    <w:rsid w:val="00172952"/>
    <w:rsid w:val="00172C99"/>
    <w:rsid w:val="001731CE"/>
    <w:rsid w:val="00175C72"/>
    <w:rsid w:val="00181B06"/>
    <w:rsid w:val="0018501C"/>
    <w:rsid w:val="00185167"/>
    <w:rsid w:val="00186228"/>
    <w:rsid w:val="00190A13"/>
    <w:rsid w:val="0019635E"/>
    <w:rsid w:val="00196956"/>
    <w:rsid w:val="00197E9B"/>
    <w:rsid w:val="001A211A"/>
    <w:rsid w:val="001A3D77"/>
    <w:rsid w:val="001A4D3E"/>
    <w:rsid w:val="001A62F7"/>
    <w:rsid w:val="001A7D44"/>
    <w:rsid w:val="001B1523"/>
    <w:rsid w:val="001B5B6F"/>
    <w:rsid w:val="001B771D"/>
    <w:rsid w:val="001B7C20"/>
    <w:rsid w:val="001C0B32"/>
    <w:rsid w:val="001C158C"/>
    <w:rsid w:val="001C2D66"/>
    <w:rsid w:val="001C36F7"/>
    <w:rsid w:val="001C4BE1"/>
    <w:rsid w:val="001D7ADF"/>
    <w:rsid w:val="001E0F71"/>
    <w:rsid w:val="001E1CF5"/>
    <w:rsid w:val="001E2B9B"/>
    <w:rsid w:val="001E3D73"/>
    <w:rsid w:val="001E4CCB"/>
    <w:rsid w:val="001E683F"/>
    <w:rsid w:val="001E699D"/>
    <w:rsid w:val="001E6D05"/>
    <w:rsid w:val="001E73E8"/>
    <w:rsid w:val="001E7C28"/>
    <w:rsid w:val="001F1BDF"/>
    <w:rsid w:val="001F2CD0"/>
    <w:rsid w:val="001F35F8"/>
    <w:rsid w:val="001F52E0"/>
    <w:rsid w:val="001F590C"/>
    <w:rsid w:val="001F7110"/>
    <w:rsid w:val="001F7E96"/>
    <w:rsid w:val="002002AB"/>
    <w:rsid w:val="002005F5"/>
    <w:rsid w:val="00201F28"/>
    <w:rsid w:val="00202284"/>
    <w:rsid w:val="00203E12"/>
    <w:rsid w:val="0020528D"/>
    <w:rsid w:val="0020543B"/>
    <w:rsid w:val="00205A66"/>
    <w:rsid w:val="002063CF"/>
    <w:rsid w:val="00206613"/>
    <w:rsid w:val="002075E9"/>
    <w:rsid w:val="0021158F"/>
    <w:rsid w:val="00212488"/>
    <w:rsid w:val="002129A6"/>
    <w:rsid w:val="00220628"/>
    <w:rsid w:val="002226D0"/>
    <w:rsid w:val="00222DDC"/>
    <w:rsid w:val="0022308F"/>
    <w:rsid w:val="002260C7"/>
    <w:rsid w:val="00226640"/>
    <w:rsid w:val="002304D2"/>
    <w:rsid w:val="00233D04"/>
    <w:rsid w:val="00234ABD"/>
    <w:rsid w:val="00236491"/>
    <w:rsid w:val="00236C3B"/>
    <w:rsid w:val="00236E2A"/>
    <w:rsid w:val="00237F62"/>
    <w:rsid w:val="002423C5"/>
    <w:rsid w:val="00242727"/>
    <w:rsid w:val="00243CEA"/>
    <w:rsid w:val="002455A1"/>
    <w:rsid w:val="0024586A"/>
    <w:rsid w:val="00245D18"/>
    <w:rsid w:val="002502E1"/>
    <w:rsid w:val="00251624"/>
    <w:rsid w:val="002518A2"/>
    <w:rsid w:val="002528B3"/>
    <w:rsid w:val="00256174"/>
    <w:rsid w:val="00256F0C"/>
    <w:rsid w:val="00257D04"/>
    <w:rsid w:val="00262A91"/>
    <w:rsid w:val="00262C05"/>
    <w:rsid w:val="002634FC"/>
    <w:rsid w:val="00264A77"/>
    <w:rsid w:val="00267470"/>
    <w:rsid w:val="00270551"/>
    <w:rsid w:val="002715AF"/>
    <w:rsid w:val="00274D13"/>
    <w:rsid w:val="00276B8D"/>
    <w:rsid w:val="002803C4"/>
    <w:rsid w:val="00281D14"/>
    <w:rsid w:val="00282C13"/>
    <w:rsid w:val="002833C0"/>
    <w:rsid w:val="002833D8"/>
    <w:rsid w:val="00285FD5"/>
    <w:rsid w:val="00286134"/>
    <w:rsid w:val="00286BF6"/>
    <w:rsid w:val="00294C24"/>
    <w:rsid w:val="00295D74"/>
    <w:rsid w:val="002A0DF7"/>
    <w:rsid w:val="002A2975"/>
    <w:rsid w:val="002A460D"/>
    <w:rsid w:val="002A544D"/>
    <w:rsid w:val="002A5EE9"/>
    <w:rsid w:val="002A60E0"/>
    <w:rsid w:val="002A7FC7"/>
    <w:rsid w:val="002B04F8"/>
    <w:rsid w:val="002B30AE"/>
    <w:rsid w:val="002B359D"/>
    <w:rsid w:val="002B3CE3"/>
    <w:rsid w:val="002B4111"/>
    <w:rsid w:val="002B538B"/>
    <w:rsid w:val="002B5594"/>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41D4"/>
    <w:rsid w:val="002E4FFB"/>
    <w:rsid w:val="002E655E"/>
    <w:rsid w:val="002E788F"/>
    <w:rsid w:val="002E7DED"/>
    <w:rsid w:val="002F1024"/>
    <w:rsid w:val="002F7DEA"/>
    <w:rsid w:val="002F7E11"/>
    <w:rsid w:val="00302CF9"/>
    <w:rsid w:val="00304087"/>
    <w:rsid w:val="003057B1"/>
    <w:rsid w:val="003062AD"/>
    <w:rsid w:val="00310ACD"/>
    <w:rsid w:val="00312834"/>
    <w:rsid w:val="0031379F"/>
    <w:rsid w:val="0031621E"/>
    <w:rsid w:val="0031661F"/>
    <w:rsid w:val="00316A16"/>
    <w:rsid w:val="003208B1"/>
    <w:rsid w:val="00320A26"/>
    <w:rsid w:val="00321174"/>
    <w:rsid w:val="00321344"/>
    <w:rsid w:val="0032152B"/>
    <w:rsid w:val="00322B3B"/>
    <w:rsid w:val="00324BDE"/>
    <w:rsid w:val="00325064"/>
    <w:rsid w:val="00325EC9"/>
    <w:rsid w:val="00330612"/>
    <w:rsid w:val="0033451C"/>
    <w:rsid w:val="00334CB3"/>
    <w:rsid w:val="00335D8C"/>
    <w:rsid w:val="00336854"/>
    <w:rsid w:val="0033750F"/>
    <w:rsid w:val="0033769B"/>
    <w:rsid w:val="0034015C"/>
    <w:rsid w:val="003425B2"/>
    <w:rsid w:val="003442F4"/>
    <w:rsid w:val="00345C66"/>
    <w:rsid w:val="0034797F"/>
    <w:rsid w:val="003509CB"/>
    <w:rsid w:val="00350CB4"/>
    <w:rsid w:val="00351DF1"/>
    <w:rsid w:val="00352942"/>
    <w:rsid w:val="00353705"/>
    <w:rsid w:val="003562E8"/>
    <w:rsid w:val="00360922"/>
    <w:rsid w:val="00362057"/>
    <w:rsid w:val="0036268A"/>
    <w:rsid w:val="00362F56"/>
    <w:rsid w:val="0036357D"/>
    <w:rsid w:val="003649BC"/>
    <w:rsid w:val="00364F7E"/>
    <w:rsid w:val="00365E44"/>
    <w:rsid w:val="003662B1"/>
    <w:rsid w:val="00366651"/>
    <w:rsid w:val="003669AC"/>
    <w:rsid w:val="00367AA1"/>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0A1"/>
    <w:rsid w:val="003B4E3A"/>
    <w:rsid w:val="003B5E62"/>
    <w:rsid w:val="003C0D76"/>
    <w:rsid w:val="003C15DE"/>
    <w:rsid w:val="003C2889"/>
    <w:rsid w:val="003C342D"/>
    <w:rsid w:val="003C4E84"/>
    <w:rsid w:val="003C4EB2"/>
    <w:rsid w:val="003C52EC"/>
    <w:rsid w:val="003D3968"/>
    <w:rsid w:val="003D42AF"/>
    <w:rsid w:val="003D48E4"/>
    <w:rsid w:val="003D4A14"/>
    <w:rsid w:val="003E031D"/>
    <w:rsid w:val="003F1AF3"/>
    <w:rsid w:val="003F2688"/>
    <w:rsid w:val="003F2FFB"/>
    <w:rsid w:val="003F4D8D"/>
    <w:rsid w:val="003F4EE7"/>
    <w:rsid w:val="003F7A8E"/>
    <w:rsid w:val="0040096B"/>
    <w:rsid w:val="00401508"/>
    <w:rsid w:val="00401688"/>
    <w:rsid w:val="0040386D"/>
    <w:rsid w:val="00412237"/>
    <w:rsid w:val="004125D4"/>
    <w:rsid w:val="004137C0"/>
    <w:rsid w:val="004138F3"/>
    <w:rsid w:val="00413D3C"/>
    <w:rsid w:val="004174D6"/>
    <w:rsid w:val="00420F61"/>
    <w:rsid w:val="00421F20"/>
    <w:rsid w:val="004220F5"/>
    <w:rsid w:val="00423081"/>
    <w:rsid w:val="00424090"/>
    <w:rsid w:val="00425755"/>
    <w:rsid w:val="004313E7"/>
    <w:rsid w:val="004339B2"/>
    <w:rsid w:val="00434DCD"/>
    <w:rsid w:val="00435150"/>
    <w:rsid w:val="004375F6"/>
    <w:rsid w:val="00441A3A"/>
    <w:rsid w:val="004423B1"/>
    <w:rsid w:val="00443E03"/>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67047"/>
    <w:rsid w:val="00470E3B"/>
    <w:rsid w:val="00472FEC"/>
    <w:rsid w:val="00477F71"/>
    <w:rsid w:val="00482306"/>
    <w:rsid w:val="00483F75"/>
    <w:rsid w:val="004858E1"/>
    <w:rsid w:val="004864A1"/>
    <w:rsid w:val="00490A03"/>
    <w:rsid w:val="0049220C"/>
    <w:rsid w:val="00492B0A"/>
    <w:rsid w:val="00493327"/>
    <w:rsid w:val="0049382E"/>
    <w:rsid w:val="004947F2"/>
    <w:rsid w:val="00494D2D"/>
    <w:rsid w:val="00494DBE"/>
    <w:rsid w:val="0049579A"/>
    <w:rsid w:val="00495CE6"/>
    <w:rsid w:val="004968C3"/>
    <w:rsid w:val="004A144D"/>
    <w:rsid w:val="004A1D27"/>
    <w:rsid w:val="004A323C"/>
    <w:rsid w:val="004A69FA"/>
    <w:rsid w:val="004B0801"/>
    <w:rsid w:val="004B1117"/>
    <w:rsid w:val="004B1A6B"/>
    <w:rsid w:val="004B54E8"/>
    <w:rsid w:val="004B7CCC"/>
    <w:rsid w:val="004C0138"/>
    <w:rsid w:val="004C034F"/>
    <w:rsid w:val="004C12E8"/>
    <w:rsid w:val="004C1578"/>
    <w:rsid w:val="004C1871"/>
    <w:rsid w:val="004C18DD"/>
    <w:rsid w:val="004C1A0F"/>
    <w:rsid w:val="004C1CCB"/>
    <w:rsid w:val="004C2B18"/>
    <w:rsid w:val="004C3049"/>
    <w:rsid w:val="004C33BA"/>
    <w:rsid w:val="004C4FEB"/>
    <w:rsid w:val="004C5AF1"/>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D3D"/>
    <w:rsid w:val="00501F2F"/>
    <w:rsid w:val="00502E62"/>
    <w:rsid w:val="00503620"/>
    <w:rsid w:val="00503762"/>
    <w:rsid w:val="0050484D"/>
    <w:rsid w:val="00505B81"/>
    <w:rsid w:val="00506B8A"/>
    <w:rsid w:val="00511B95"/>
    <w:rsid w:val="0051248E"/>
    <w:rsid w:val="00515102"/>
    <w:rsid w:val="0052021B"/>
    <w:rsid w:val="0052212B"/>
    <w:rsid w:val="005230C7"/>
    <w:rsid w:val="00523955"/>
    <w:rsid w:val="005266EA"/>
    <w:rsid w:val="0053184C"/>
    <w:rsid w:val="00534344"/>
    <w:rsid w:val="00534ADD"/>
    <w:rsid w:val="00534B46"/>
    <w:rsid w:val="005357EB"/>
    <w:rsid w:val="00540358"/>
    <w:rsid w:val="00540D47"/>
    <w:rsid w:val="00542578"/>
    <w:rsid w:val="005428D7"/>
    <w:rsid w:val="00542D43"/>
    <w:rsid w:val="005463C3"/>
    <w:rsid w:val="005507DE"/>
    <w:rsid w:val="00550864"/>
    <w:rsid w:val="0055121D"/>
    <w:rsid w:val="00551D6C"/>
    <w:rsid w:val="005535DF"/>
    <w:rsid w:val="0055571E"/>
    <w:rsid w:val="00556F67"/>
    <w:rsid w:val="005617FD"/>
    <w:rsid w:val="005652E8"/>
    <w:rsid w:val="0056749A"/>
    <w:rsid w:val="00570CF0"/>
    <w:rsid w:val="00575196"/>
    <w:rsid w:val="005761BA"/>
    <w:rsid w:val="0057667C"/>
    <w:rsid w:val="00576BDA"/>
    <w:rsid w:val="0058042D"/>
    <w:rsid w:val="005826DA"/>
    <w:rsid w:val="005833F0"/>
    <w:rsid w:val="00583B3C"/>
    <w:rsid w:val="00585326"/>
    <w:rsid w:val="00586280"/>
    <w:rsid w:val="00586609"/>
    <w:rsid w:val="005869CE"/>
    <w:rsid w:val="00586AFF"/>
    <w:rsid w:val="00586CAF"/>
    <w:rsid w:val="005873E9"/>
    <w:rsid w:val="0059036F"/>
    <w:rsid w:val="00591180"/>
    <w:rsid w:val="00591B6F"/>
    <w:rsid w:val="0059722C"/>
    <w:rsid w:val="00597D07"/>
    <w:rsid w:val="005A1018"/>
    <w:rsid w:val="005A16E6"/>
    <w:rsid w:val="005A2CCC"/>
    <w:rsid w:val="005A30D7"/>
    <w:rsid w:val="005A3846"/>
    <w:rsid w:val="005A4685"/>
    <w:rsid w:val="005A63CE"/>
    <w:rsid w:val="005A682B"/>
    <w:rsid w:val="005A7E97"/>
    <w:rsid w:val="005B1645"/>
    <w:rsid w:val="005B2CD2"/>
    <w:rsid w:val="005B3CEC"/>
    <w:rsid w:val="005B5778"/>
    <w:rsid w:val="005B6A58"/>
    <w:rsid w:val="005C12EA"/>
    <w:rsid w:val="005C4A5B"/>
    <w:rsid w:val="005C57F0"/>
    <w:rsid w:val="005C58DB"/>
    <w:rsid w:val="005C7112"/>
    <w:rsid w:val="005D0561"/>
    <w:rsid w:val="005D0AD9"/>
    <w:rsid w:val="005D115E"/>
    <w:rsid w:val="005D1A67"/>
    <w:rsid w:val="005D22F6"/>
    <w:rsid w:val="005D523A"/>
    <w:rsid w:val="005D5FA0"/>
    <w:rsid w:val="005D68AA"/>
    <w:rsid w:val="005E0C30"/>
    <w:rsid w:val="005E0D58"/>
    <w:rsid w:val="005E134A"/>
    <w:rsid w:val="005E3EAB"/>
    <w:rsid w:val="005E3FBB"/>
    <w:rsid w:val="005E69D9"/>
    <w:rsid w:val="005F27F4"/>
    <w:rsid w:val="005F3239"/>
    <w:rsid w:val="005F5FE6"/>
    <w:rsid w:val="005F6567"/>
    <w:rsid w:val="005F7A49"/>
    <w:rsid w:val="005F7A8A"/>
    <w:rsid w:val="00600A5E"/>
    <w:rsid w:val="00600ACF"/>
    <w:rsid w:val="00601ED3"/>
    <w:rsid w:val="006034EA"/>
    <w:rsid w:val="00604D69"/>
    <w:rsid w:val="00605F3A"/>
    <w:rsid w:val="00607094"/>
    <w:rsid w:val="00607256"/>
    <w:rsid w:val="0060790C"/>
    <w:rsid w:val="006144B1"/>
    <w:rsid w:val="006177FF"/>
    <w:rsid w:val="00624E82"/>
    <w:rsid w:val="0062541E"/>
    <w:rsid w:val="006260F9"/>
    <w:rsid w:val="006265FD"/>
    <w:rsid w:val="00631F44"/>
    <w:rsid w:val="006335F1"/>
    <w:rsid w:val="006345B6"/>
    <w:rsid w:val="00635616"/>
    <w:rsid w:val="00635712"/>
    <w:rsid w:val="006368FF"/>
    <w:rsid w:val="00637394"/>
    <w:rsid w:val="0064107F"/>
    <w:rsid w:val="00643D8A"/>
    <w:rsid w:val="00645A5C"/>
    <w:rsid w:val="00646C33"/>
    <w:rsid w:val="00651FEA"/>
    <w:rsid w:val="00652229"/>
    <w:rsid w:val="00652793"/>
    <w:rsid w:val="00656513"/>
    <w:rsid w:val="006614FF"/>
    <w:rsid w:val="0066187E"/>
    <w:rsid w:val="006626CA"/>
    <w:rsid w:val="00663487"/>
    <w:rsid w:val="006655D3"/>
    <w:rsid w:val="00671877"/>
    <w:rsid w:val="00672382"/>
    <w:rsid w:val="00676CCD"/>
    <w:rsid w:val="00677016"/>
    <w:rsid w:val="00681257"/>
    <w:rsid w:val="00681524"/>
    <w:rsid w:val="00682643"/>
    <w:rsid w:val="00682EB9"/>
    <w:rsid w:val="0068441A"/>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33BE"/>
    <w:rsid w:val="006C5B53"/>
    <w:rsid w:val="006C7E78"/>
    <w:rsid w:val="006D02E4"/>
    <w:rsid w:val="006D098F"/>
    <w:rsid w:val="006D20E3"/>
    <w:rsid w:val="006D3FF3"/>
    <w:rsid w:val="006D4996"/>
    <w:rsid w:val="006D535B"/>
    <w:rsid w:val="006D54AB"/>
    <w:rsid w:val="006D583A"/>
    <w:rsid w:val="006D5FC6"/>
    <w:rsid w:val="006E1FA9"/>
    <w:rsid w:val="006E3006"/>
    <w:rsid w:val="006E5032"/>
    <w:rsid w:val="006E5372"/>
    <w:rsid w:val="006E5721"/>
    <w:rsid w:val="006E5BDA"/>
    <w:rsid w:val="006E6D2A"/>
    <w:rsid w:val="006F056C"/>
    <w:rsid w:val="006F0FC7"/>
    <w:rsid w:val="006F1E23"/>
    <w:rsid w:val="006F39A9"/>
    <w:rsid w:val="006F4119"/>
    <w:rsid w:val="006F5B98"/>
    <w:rsid w:val="006F643F"/>
    <w:rsid w:val="006F670F"/>
    <w:rsid w:val="006F77F3"/>
    <w:rsid w:val="007010EE"/>
    <w:rsid w:val="00701DCE"/>
    <w:rsid w:val="00702921"/>
    <w:rsid w:val="00703272"/>
    <w:rsid w:val="0070733C"/>
    <w:rsid w:val="00710C5D"/>
    <w:rsid w:val="0071348C"/>
    <w:rsid w:val="00717220"/>
    <w:rsid w:val="00717273"/>
    <w:rsid w:val="00720FD4"/>
    <w:rsid w:val="007228B5"/>
    <w:rsid w:val="00724AF2"/>
    <w:rsid w:val="0073096C"/>
    <w:rsid w:val="0073100D"/>
    <w:rsid w:val="00731115"/>
    <w:rsid w:val="007316BE"/>
    <w:rsid w:val="00732827"/>
    <w:rsid w:val="00733429"/>
    <w:rsid w:val="00733A46"/>
    <w:rsid w:val="00735E2D"/>
    <w:rsid w:val="00740F46"/>
    <w:rsid w:val="007419C8"/>
    <w:rsid w:val="00742398"/>
    <w:rsid w:val="007432A9"/>
    <w:rsid w:val="0074371C"/>
    <w:rsid w:val="00745104"/>
    <w:rsid w:val="007507B5"/>
    <w:rsid w:val="0075091D"/>
    <w:rsid w:val="00750FD0"/>
    <w:rsid w:val="007524A0"/>
    <w:rsid w:val="00752D67"/>
    <w:rsid w:val="00753A24"/>
    <w:rsid w:val="0075430D"/>
    <w:rsid w:val="007560B0"/>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6D1"/>
    <w:rsid w:val="00791B1A"/>
    <w:rsid w:val="0079202F"/>
    <w:rsid w:val="007927E2"/>
    <w:rsid w:val="007934C3"/>
    <w:rsid w:val="00793A4C"/>
    <w:rsid w:val="00794903"/>
    <w:rsid w:val="00795AF2"/>
    <w:rsid w:val="00795E4F"/>
    <w:rsid w:val="00797C17"/>
    <w:rsid w:val="007A09FC"/>
    <w:rsid w:val="007A22C8"/>
    <w:rsid w:val="007A2AAD"/>
    <w:rsid w:val="007A4021"/>
    <w:rsid w:val="007A4432"/>
    <w:rsid w:val="007A68B3"/>
    <w:rsid w:val="007A7353"/>
    <w:rsid w:val="007A784E"/>
    <w:rsid w:val="007A7855"/>
    <w:rsid w:val="007A7E31"/>
    <w:rsid w:val="007B0B16"/>
    <w:rsid w:val="007B246A"/>
    <w:rsid w:val="007B2DAD"/>
    <w:rsid w:val="007B3805"/>
    <w:rsid w:val="007B4939"/>
    <w:rsid w:val="007B499C"/>
    <w:rsid w:val="007B4D4B"/>
    <w:rsid w:val="007B58C6"/>
    <w:rsid w:val="007C0646"/>
    <w:rsid w:val="007C0B02"/>
    <w:rsid w:val="007C1E9D"/>
    <w:rsid w:val="007C37C5"/>
    <w:rsid w:val="007C3AE3"/>
    <w:rsid w:val="007C3CC1"/>
    <w:rsid w:val="007C49CA"/>
    <w:rsid w:val="007D0000"/>
    <w:rsid w:val="007D2A02"/>
    <w:rsid w:val="007D62A4"/>
    <w:rsid w:val="007E147F"/>
    <w:rsid w:val="007E1736"/>
    <w:rsid w:val="007E2079"/>
    <w:rsid w:val="007E2887"/>
    <w:rsid w:val="007E6EA1"/>
    <w:rsid w:val="007E7E69"/>
    <w:rsid w:val="007E7F63"/>
    <w:rsid w:val="007E7FED"/>
    <w:rsid w:val="007F023C"/>
    <w:rsid w:val="007F0350"/>
    <w:rsid w:val="007F0F63"/>
    <w:rsid w:val="007F2261"/>
    <w:rsid w:val="007F2B1E"/>
    <w:rsid w:val="007F2DDB"/>
    <w:rsid w:val="007F4590"/>
    <w:rsid w:val="007F62B4"/>
    <w:rsid w:val="007F71B3"/>
    <w:rsid w:val="007F7DF9"/>
    <w:rsid w:val="00801517"/>
    <w:rsid w:val="00810E17"/>
    <w:rsid w:val="00813492"/>
    <w:rsid w:val="0081698D"/>
    <w:rsid w:val="00817895"/>
    <w:rsid w:val="00817AE8"/>
    <w:rsid w:val="00817DE8"/>
    <w:rsid w:val="008229F5"/>
    <w:rsid w:val="008237EB"/>
    <w:rsid w:val="0082699A"/>
    <w:rsid w:val="00827F2A"/>
    <w:rsid w:val="0083049F"/>
    <w:rsid w:val="00832633"/>
    <w:rsid w:val="00833CEB"/>
    <w:rsid w:val="0083710E"/>
    <w:rsid w:val="008372D2"/>
    <w:rsid w:val="008377BC"/>
    <w:rsid w:val="0084201F"/>
    <w:rsid w:val="00844C17"/>
    <w:rsid w:val="00846017"/>
    <w:rsid w:val="00847726"/>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70F"/>
    <w:rsid w:val="00864D86"/>
    <w:rsid w:val="00865882"/>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33A6"/>
    <w:rsid w:val="008A54A0"/>
    <w:rsid w:val="008A54B6"/>
    <w:rsid w:val="008B0900"/>
    <w:rsid w:val="008B119F"/>
    <w:rsid w:val="008B251E"/>
    <w:rsid w:val="008B73F3"/>
    <w:rsid w:val="008C02E6"/>
    <w:rsid w:val="008C033D"/>
    <w:rsid w:val="008C0C74"/>
    <w:rsid w:val="008C49C4"/>
    <w:rsid w:val="008C5181"/>
    <w:rsid w:val="008C5E0D"/>
    <w:rsid w:val="008C6041"/>
    <w:rsid w:val="008C74E3"/>
    <w:rsid w:val="008D1F18"/>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C1E"/>
    <w:rsid w:val="008F4D2F"/>
    <w:rsid w:val="008F510A"/>
    <w:rsid w:val="008F66C9"/>
    <w:rsid w:val="00900235"/>
    <w:rsid w:val="00900440"/>
    <w:rsid w:val="00906292"/>
    <w:rsid w:val="00906C23"/>
    <w:rsid w:val="009110EF"/>
    <w:rsid w:val="009111C4"/>
    <w:rsid w:val="00914B5B"/>
    <w:rsid w:val="00917162"/>
    <w:rsid w:val="009172B9"/>
    <w:rsid w:val="009178AA"/>
    <w:rsid w:val="009242C4"/>
    <w:rsid w:val="009251CC"/>
    <w:rsid w:val="00925E5C"/>
    <w:rsid w:val="0092714E"/>
    <w:rsid w:val="009324F0"/>
    <w:rsid w:val="0094024E"/>
    <w:rsid w:val="009419BB"/>
    <w:rsid w:val="00942002"/>
    <w:rsid w:val="00942359"/>
    <w:rsid w:val="00943626"/>
    <w:rsid w:val="00944A6B"/>
    <w:rsid w:val="00945C90"/>
    <w:rsid w:val="00947786"/>
    <w:rsid w:val="00947885"/>
    <w:rsid w:val="00947BC2"/>
    <w:rsid w:val="009504AB"/>
    <w:rsid w:val="0095097D"/>
    <w:rsid w:val="00951212"/>
    <w:rsid w:val="00952168"/>
    <w:rsid w:val="009527FE"/>
    <w:rsid w:val="009529B2"/>
    <w:rsid w:val="009535A6"/>
    <w:rsid w:val="009557B5"/>
    <w:rsid w:val="00960539"/>
    <w:rsid w:val="00962BA6"/>
    <w:rsid w:val="00971FD4"/>
    <w:rsid w:val="009739A0"/>
    <w:rsid w:val="00974150"/>
    <w:rsid w:val="00974EE4"/>
    <w:rsid w:val="00974F84"/>
    <w:rsid w:val="00976216"/>
    <w:rsid w:val="009767C7"/>
    <w:rsid w:val="00976B7D"/>
    <w:rsid w:val="0098579A"/>
    <w:rsid w:val="00986806"/>
    <w:rsid w:val="00990CCD"/>
    <w:rsid w:val="00991475"/>
    <w:rsid w:val="009918DD"/>
    <w:rsid w:val="0099195A"/>
    <w:rsid w:val="00992A11"/>
    <w:rsid w:val="00993866"/>
    <w:rsid w:val="00994681"/>
    <w:rsid w:val="0099486A"/>
    <w:rsid w:val="0099549D"/>
    <w:rsid w:val="0099600B"/>
    <w:rsid w:val="00996AD2"/>
    <w:rsid w:val="009A032B"/>
    <w:rsid w:val="009A0E26"/>
    <w:rsid w:val="009A16EC"/>
    <w:rsid w:val="009A22C2"/>
    <w:rsid w:val="009B0819"/>
    <w:rsid w:val="009B29B7"/>
    <w:rsid w:val="009B3199"/>
    <w:rsid w:val="009B3B37"/>
    <w:rsid w:val="009B59D6"/>
    <w:rsid w:val="009B7D1F"/>
    <w:rsid w:val="009C032B"/>
    <w:rsid w:val="009C088E"/>
    <w:rsid w:val="009C1E32"/>
    <w:rsid w:val="009C4D35"/>
    <w:rsid w:val="009D1522"/>
    <w:rsid w:val="009D7252"/>
    <w:rsid w:val="009E5EB4"/>
    <w:rsid w:val="009E7A25"/>
    <w:rsid w:val="009F01FB"/>
    <w:rsid w:val="009F21A7"/>
    <w:rsid w:val="009F563C"/>
    <w:rsid w:val="009F610E"/>
    <w:rsid w:val="009F6400"/>
    <w:rsid w:val="009F7481"/>
    <w:rsid w:val="00A00F7E"/>
    <w:rsid w:val="00A01F37"/>
    <w:rsid w:val="00A044D6"/>
    <w:rsid w:val="00A04ADB"/>
    <w:rsid w:val="00A04F89"/>
    <w:rsid w:val="00A05D26"/>
    <w:rsid w:val="00A05F11"/>
    <w:rsid w:val="00A102B0"/>
    <w:rsid w:val="00A11B1B"/>
    <w:rsid w:val="00A11E0F"/>
    <w:rsid w:val="00A141E9"/>
    <w:rsid w:val="00A15D78"/>
    <w:rsid w:val="00A16FC1"/>
    <w:rsid w:val="00A216E5"/>
    <w:rsid w:val="00A22675"/>
    <w:rsid w:val="00A22886"/>
    <w:rsid w:val="00A26744"/>
    <w:rsid w:val="00A26CB6"/>
    <w:rsid w:val="00A306C3"/>
    <w:rsid w:val="00A32F82"/>
    <w:rsid w:val="00A32F8B"/>
    <w:rsid w:val="00A343B8"/>
    <w:rsid w:val="00A3756F"/>
    <w:rsid w:val="00A37906"/>
    <w:rsid w:val="00A41A4C"/>
    <w:rsid w:val="00A42D6F"/>
    <w:rsid w:val="00A4474B"/>
    <w:rsid w:val="00A45A62"/>
    <w:rsid w:val="00A4674C"/>
    <w:rsid w:val="00A5268A"/>
    <w:rsid w:val="00A54AC5"/>
    <w:rsid w:val="00A55DC3"/>
    <w:rsid w:val="00A56D41"/>
    <w:rsid w:val="00A56DEC"/>
    <w:rsid w:val="00A578D4"/>
    <w:rsid w:val="00A60529"/>
    <w:rsid w:val="00A61353"/>
    <w:rsid w:val="00A61481"/>
    <w:rsid w:val="00A629D6"/>
    <w:rsid w:val="00A637C9"/>
    <w:rsid w:val="00A66755"/>
    <w:rsid w:val="00A66DB1"/>
    <w:rsid w:val="00A67A92"/>
    <w:rsid w:val="00A70DC6"/>
    <w:rsid w:val="00A71A39"/>
    <w:rsid w:val="00A7362B"/>
    <w:rsid w:val="00A770B5"/>
    <w:rsid w:val="00A834FD"/>
    <w:rsid w:val="00A842D5"/>
    <w:rsid w:val="00A86644"/>
    <w:rsid w:val="00A87870"/>
    <w:rsid w:val="00A91A70"/>
    <w:rsid w:val="00A9290C"/>
    <w:rsid w:val="00A944BB"/>
    <w:rsid w:val="00A957F6"/>
    <w:rsid w:val="00A97316"/>
    <w:rsid w:val="00AA0D54"/>
    <w:rsid w:val="00AA1B85"/>
    <w:rsid w:val="00AA1E3B"/>
    <w:rsid w:val="00AA3290"/>
    <w:rsid w:val="00AB1CB6"/>
    <w:rsid w:val="00AB1D9A"/>
    <w:rsid w:val="00AB2B21"/>
    <w:rsid w:val="00AB333F"/>
    <w:rsid w:val="00AB47EC"/>
    <w:rsid w:val="00AC234B"/>
    <w:rsid w:val="00AC3540"/>
    <w:rsid w:val="00AC403D"/>
    <w:rsid w:val="00AC50FB"/>
    <w:rsid w:val="00AC546B"/>
    <w:rsid w:val="00AC63A8"/>
    <w:rsid w:val="00AD0109"/>
    <w:rsid w:val="00AD0A56"/>
    <w:rsid w:val="00AD0C22"/>
    <w:rsid w:val="00AD442C"/>
    <w:rsid w:val="00AD44FE"/>
    <w:rsid w:val="00AD5A37"/>
    <w:rsid w:val="00AD6AA1"/>
    <w:rsid w:val="00AE05A4"/>
    <w:rsid w:val="00AE07F8"/>
    <w:rsid w:val="00AE25FC"/>
    <w:rsid w:val="00AE400C"/>
    <w:rsid w:val="00AE49F1"/>
    <w:rsid w:val="00AE4A1C"/>
    <w:rsid w:val="00AE4B7A"/>
    <w:rsid w:val="00AE5532"/>
    <w:rsid w:val="00AE6879"/>
    <w:rsid w:val="00AE756A"/>
    <w:rsid w:val="00AF58EA"/>
    <w:rsid w:val="00AF5B77"/>
    <w:rsid w:val="00B0125F"/>
    <w:rsid w:val="00B02550"/>
    <w:rsid w:val="00B02C7B"/>
    <w:rsid w:val="00B04C6D"/>
    <w:rsid w:val="00B05CCA"/>
    <w:rsid w:val="00B06D92"/>
    <w:rsid w:val="00B07125"/>
    <w:rsid w:val="00B1132A"/>
    <w:rsid w:val="00B11FEA"/>
    <w:rsid w:val="00B12B54"/>
    <w:rsid w:val="00B14271"/>
    <w:rsid w:val="00B1595A"/>
    <w:rsid w:val="00B15C3A"/>
    <w:rsid w:val="00B16270"/>
    <w:rsid w:val="00B1753B"/>
    <w:rsid w:val="00B216CE"/>
    <w:rsid w:val="00B23C16"/>
    <w:rsid w:val="00B23C52"/>
    <w:rsid w:val="00B2438D"/>
    <w:rsid w:val="00B259E1"/>
    <w:rsid w:val="00B2685D"/>
    <w:rsid w:val="00B30351"/>
    <w:rsid w:val="00B33C2A"/>
    <w:rsid w:val="00B35967"/>
    <w:rsid w:val="00B422EC"/>
    <w:rsid w:val="00B42E14"/>
    <w:rsid w:val="00B44875"/>
    <w:rsid w:val="00B460B5"/>
    <w:rsid w:val="00B47F0A"/>
    <w:rsid w:val="00B50B6B"/>
    <w:rsid w:val="00B517CD"/>
    <w:rsid w:val="00B54885"/>
    <w:rsid w:val="00B550DE"/>
    <w:rsid w:val="00B5628D"/>
    <w:rsid w:val="00B634AB"/>
    <w:rsid w:val="00B63624"/>
    <w:rsid w:val="00B675CD"/>
    <w:rsid w:val="00B714EF"/>
    <w:rsid w:val="00B715CF"/>
    <w:rsid w:val="00B726D4"/>
    <w:rsid w:val="00B73A1C"/>
    <w:rsid w:val="00B748CA"/>
    <w:rsid w:val="00B75032"/>
    <w:rsid w:val="00B80896"/>
    <w:rsid w:val="00B8214F"/>
    <w:rsid w:val="00B82B43"/>
    <w:rsid w:val="00B82B48"/>
    <w:rsid w:val="00B8398A"/>
    <w:rsid w:val="00B84AE3"/>
    <w:rsid w:val="00B85133"/>
    <w:rsid w:val="00B86178"/>
    <w:rsid w:val="00B86A4F"/>
    <w:rsid w:val="00B87B38"/>
    <w:rsid w:val="00B921F8"/>
    <w:rsid w:val="00B924E4"/>
    <w:rsid w:val="00B93035"/>
    <w:rsid w:val="00B953F9"/>
    <w:rsid w:val="00B958E8"/>
    <w:rsid w:val="00B97CBC"/>
    <w:rsid w:val="00B97E4A"/>
    <w:rsid w:val="00BA09B2"/>
    <w:rsid w:val="00BA0F35"/>
    <w:rsid w:val="00BA1EEC"/>
    <w:rsid w:val="00BA465D"/>
    <w:rsid w:val="00BA5B46"/>
    <w:rsid w:val="00BB0327"/>
    <w:rsid w:val="00BB2D73"/>
    <w:rsid w:val="00BB45BA"/>
    <w:rsid w:val="00BB4A3A"/>
    <w:rsid w:val="00BB5D0B"/>
    <w:rsid w:val="00BB63A8"/>
    <w:rsid w:val="00BC0995"/>
    <w:rsid w:val="00BC179A"/>
    <w:rsid w:val="00BC61BB"/>
    <w:rsid w:val="00BC6DE2"/>
    <w:rsid w:val="00BC6E62"/>
    <w:rsid w:val="00BD0A65"/>
    <w:rsid w:val="00BD2E09"/>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0727"/>
    <w:rsid w:val="00BF2B82"/>
    <w:rsid w:val="00BF432A"/>
    <w:rsid w:val="00BF6E82"/>
    <w:rsid w:val="00BF6F12"/>
    <w:rsid w:val="00BF6F34"/>
    <w:rsid w:val="00C060C7"/>
    <w:rsid w:val="00C06E23"/>
    <w:rsid w:val="00C10EA4"/>
    <w:rsid w:val="00C132DD"/>
    <w:rsid w:val="00C169EE"/>
    <w:rsid w:val="00C16F8F"/>
    <w:rsid w:val="00C17762"/>
    <w:rsid w:val="00C1787E"/>
    <w:rsid w:val="00C2036B"/>
    <w:rsid w:val="00C21897"/>
    <w:rsid w:val="00C21C04"/>
    <w:rsid w:val="00C223C7"/>
    <w:rsid w:val="00C24C17"/>
    <w:rsid w:val="00C31148"/>
    <w:rsid w:val="00C33DD6"/>
    <w:rsid w:val="00C34829"/>
    <w:rsid w:val="00C3628C"/>
    <w:rsid w:val="00C3758F"/>
    <w:rsid w:val="00C40B88"/>
    <w:rsid w:val="00C43087"/>
    <w:rsid w:val="00C433B8"/>
    <w:rsid w:val="00C44489"/>
    <w:rsid w:val="00C44EFC"/>
    <w:rsid w:val="00C44FC2"/>
    <w:rsid w:val="00C47D87"/>
    <w:rsid w:val="00C5376E"/>
    <w:rsid w:val="00C5425F"/>
    <w:rsid w:val="00C55AEE"/>
    <w:rsid w:val="00C5701B"/>
    <w:rsid w:val="00C64D40"/>
    <w:rsid w:val="00C65D49"/>
    <w:rsid w:val="00C66218"/>
    <w:rsid w:val="00C6721A"/>
    <w:rsid w:val="00C677C9"/>
    <w:rsid w:val="00C70DBC"/>
    <w:rsid w:val="00C70E96"/>
    <w:rsid w:val="00C73719"/>
    <w:rsid w:val="00C76A8E"/>
    <w:rsid w:val="00C808A6"/>
    <w:rsid w:val="00C814E9"/>
    <w:rsid w:val="00C81F23"/>
    <w:rsid w:val="00C855DB"/>
    <w:rsid w:val="00C855F3"/>
    <w:rsid w:val="00C85AEA"/>
    <w:rsid w:val="00C86270"/>
    <w:rsid w:val="00C8725F"/>
    <w:rsid w:val="00C905CB"/>
    <w:rsid w:val="00C96A6A"/>
    <w:rsid w:val="00C97091"/>
    <w:rsid w:val="00C97260"/>
    <w:rsid w:val="00CA015E"/>
    <w:rsid w:val="00CA2001"/>
    <w:rsid w:val="00CA3B72"/>
    <w:rsid w:val="00CB1E3F"/>
    <w:rsid w:val="00CB2211"/>
    <w:rsid w:val="00CB3782"/>
    <w:rsid w:val="00CB5B6C"/>
    <w:rsid w:val="00CB5C5D"/>
    <w:rsid w:val="00CC052E"/>
    <w:rsid w:val="00CC0802"/>
    <w:rsid w:val="00CC1B25"/>
    <w:rsid w:val="00CC3B07"/>
    <w:rsid w:val="00CC7E82"/>
    <w:rsid w:val="00CD16BE"/>
    <w:rsid w:val="00CD2268"/>
    <w:rsid w:val="00CD4616"/>
    <w:rsid w:val="00CD56AF"/>
    <w:rsid w:val="00CE2A8C"/>
    <w:rsid w:val="00CE33D5"/>
    <w:rsid w:val="00CE3992"/>
    <w:rsid w:val="00CE4712"/>
    <w:rsid w:val="00CE5D8B"/>
    <w:rsid w:val="00CE7F84"/>
    <w:rsid w:val="00CF0E73"/>
    <w:rsid w:val="00CF44F7"/>
    <w:rsid w:val="00CF5316"/>
    <w:rsid w:val="00CF531A"/>
    <w:rsid w:val="00CF5D37"/>
    <w:rsid w:val="00CF6F33"/>
    <w:rsid w:val="00D00A97"/>
    <w:rsid w:val="00D012A9"/>
    <w:rsid w:val="00D02248"/>
    <w:rsid w:val="00D029CE"/>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306F"/>
    <w:rsid w:val="00D23C09"/>
    <w:rsid w:val="00D23CED"/>
    <w:rsid w:val="00D241D1"/>
    <w:rsid w:val="00D249AB"/>
    <w:rsid w:val="00D24BD2"/>
    <w:rsid w:val="00D2573D"/>
    <w:rsid w:val="00D260A2"/>
    <w:rsid w:val="00D26A56"/>
    <w:rsid w:val="00D302E4"/>
    <w:rsid w:val="00D30CC6"/>
    <w:rsid w:val="00D31722"/>
    <w:rsid w:val="00D31C11"/>
    <w:rsid w:val="00D3260C"/>
    <w:rsid w:val="00D33DB5"/>
    <w:rsid w:val="00D35790"/>
    <w:rsid w:val="00D37DD9"/>
    <w:rsid w:val="00D41BFE"/>
    <w:rsid w:val="00D42585"/>
    <w:rsid w:val="00D4700E"/>
    <w:rsid w:val="00D50EEC"/>
    <w:rsid w:val="00D51350"/>
    <w:rsid w:val="00D519AF"/>
    <w:rsid w:val="00D532A9"/>
    <w:rsid w:val="00D5437A"/>
    <w:rsid w:val="00D5611E"/>
    <w:rsid w:val="00D56358"/>
    <w:rsid w:val="00D5653B"/>
    <w:rsid w:val="00D5726D"/>
    <w:rsid w:val="00D57B8C"/>
    <w:rsid w:val="00D61D6E"/>
    <w:rsid w:val="00D62EF1"/>
    <w:rsid w:val="00D6308E"/>
    <w:rsid w:val="00D6309D"/>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34F1"/>
    <w:rsid w:val="00D835F6"/>
    <w:rsid w:val="00D83609"/>
    <w:rsid w:val="00D9088C"/>
    <w:rsid w:val="00D90DE2"/>
    <w:rsid w:val="00D92179"/>
    <w:rsid w:val="00D922C6"/>
    <w:rsid w:val="00D9293F"/>
    <w:rsid w:val="00D92DE7"/>
    <w:rsid w:val="00D93598"/>
    <w:rsid w:val="00D93FDD"/>
    <w:rsid w:val="00D94168"/>
    <w:rsid w:val="00DA1E18"/>
    <w:rsid w:val="00DA2009"/>
    <w:rsid w:val="00DA4D27"/>
    <w:rsid w:val="00DA7769"/>
    <w:rsid w:val="00DA7EDD"/>
    <w:rsid w:val="00DB05B1"/>
    <w:rsid w:val="00DB2823"/>
    <w:rsid w:val="00DB2D74"/>
    <w:rsid w:val="00DB3786"/>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3F25"/>
    <w:rsid w:val="00DE5075"/>
    <w:rsid w:val="00DE55CF"/>
    <w:rsid w:val="00DE5B70"/>
    <w:rsid w:val="00DE6154"/>
    <w:rsid w:val="00DE6A3C"/>
    <w:rsid w:val="00DE6D2A"/>
    <w:rsid w:val="00DE74F4"/>
    <w:rsid w:val="00DE7F97"/>
    <w:rsid w:val="00DF1010"/>
    <w:rsid w:val="00DF5A65"/>
    <w:rsid w:val="00DF5AEA"/>
    <w:rsid w:val="00DF63F6"/>
    <w:rsid w:val="00DF7BD0"/>
    <w:rsid w:val="00E006F4"/>
    <w:rsid w:val="00E00AEF"/>
    <w:rsid w:val="00E0219D"/>
    <w:rsid w:val="00E033FC"/>
    <w:rsid w:val="00E0374B"/>
    <w:rsid w:val="00E07AB9"/>
    <w:rsid w:val="00E10B28"/>
    <w:rsid w:val="00E117FD"/>
    <w:rsid w:val="00E124CC"/>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5A62"/>
    <w:rsid w:val="00E35B75"/>
    <w:rsid w:val="00E360A1"/>
    <w:rsid w:val="00E36A66"/>
    <w:rsid w:val="00E37F70"/>
    <w:rsid w:val="00E41377"/>
    <w:rsid w:val="00E41985"/>
    <w:rsid w:val="00E4257C"/>
    <w:rsid w:val="00E446C1"/>
    <w:rsid w:val="00E45F68"/>
    <w:rsid w:val="00E46BCD"/>
    <w:rsid w:val="00E4740A"/>
    <w:rsid w:val="00E47FE7"/>
    <w:rsid w:val="00E513A4"/>
    <w:rsid w:val="00E545D7"/>
    <w:rsid w:val="00E547FE"/>
    <w:rsid w:val="00E5669C"/>
    <w:rsid w:val="00E57DDC"/>
    <w:rsid w:val="00E60ECA"/>
    <w:rsid w:val="00E613AB"/>
    <w:rsid w:val="00E621EA"/>
    <w:rsid w:val="00E62C8D"/>
    <w:rsid w:val="00E6312A"/>
    <w:rsid w:val="00E63F65"/>
    <w:rsid w:val="00E64B6E"/>
    <w:rsid w:val="00E663B6"/>
    <w:rsid w:val="00E6780D"/>
    <w:rsid w:val="00E71439"/>
    <w:rsid w:val="00E71CB0"/>
    <w:rsid w:val="00E73848"/>
    <w:rsid w:val="00E758B9"/>
    <w:rsid w:val="00E82191"/>
    <w:rsid w:val="00E84236"/>
    <w:rsid w:val="00E85569"/>
    <w:rsid w:val="00E856AF"/>
    <w:rsid w:val="00E86B83"/>
    <w:rsid w:val="00E86C57"/>
    <w:rsid w:val="00E87C64"/>
    <w:rsid w:val="00E93A01"/>
    <w:rsid w:val="00E93FF8"/>
    <w:rsid w:val="00E94EB6"/>
    <w:rsid w:val="00E95AC2"/>
    <w:rsid w:val="00E95CA8"/>
    <w:rsid w:val="00E96643"/>
    <w:rsid w:val="00E96EAF"/>
    <w:rsid w:val="00EA0223"/>
    <w:rsid w:val="00EA0DBD"/>
    <w:rsid w:val="00EA1752"/>
    <w:rsid w:val="00EA5230"/>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E1A8C"/>
    <w:rsid w:val="00EE29BC"/>
    <w:rsid w:val="00EE3034"/>
    <w:rsid w:val="00EE416B"/>
    <w:rsid w:val="00EE4643"/>
    <w:rsid w:val="00EE529F"/>
    <w:rsid w:val="00EE619D"/>
    <w:rsid w:val="00EE7F1A"/>
    <w:rsid w:val="00EF0E2F"/>
    <w:rsid w:val="00EF1330"/>
    <w:rsid w:val="00EF15FF"/>
    <w:rsid w:val="00EF55E6"/>
    <w:rsid w:val="00EF5707"/>
    <w:rsid w:val="00EF62A3"/>
    <w:rsid w:val="00EF6F3B"/>
    <w:rsid w:val="00EF70EC"/>
    <w:rsid w:val="00EF7111"/>
    <w:rsid w:val="00EF7D1A"/>
    <w:rsid w:val="00EF7D5B"/>
    <w:rsid w:val="00F02759"/>
    <w:rsid w:val="00F0448F"/>
    <w:rsid w:val="00F0716C"/>
    <w:rsid w:val="00F07DD9"/>
    <w:rsid w:val="00F105AE"/>
    <w:rsid w:val="00F108A8"/>
    <w:rsid w:val="00F13F58"/>
    <w:rsid w:val="00F16135"/>
    <w:rsid w:val="00F1776A"/>
    <w:rsid w:val="00F270E9"/>
    <w:rsid w:val="00F27440"/>
    <w:rsid w:val="00F275C0"/>
    <w:rsid w:val="00F30319"/>
    <w:rsid w:val="00F317B5"/>
    <w:rsid w:val="00F32094"/>
    <w:rsid w:val="00F33B8F"/>
    <w:rsid w:val="00F346B6"/>
    <w:rsid w:val="00F36145"/>
    <w:rsid w:val="00F37BDD"/>
    <w:rsid w:val="00F41503"/>
    <w:rsid w:val="00F44D82"/>
    <w:rsid w:val="00F46207"/>
    <w:rsid w:val="00F466C8"/>
    <w:rsid w:val="00F469A9"/>
    <w:rsid w:val="00F46B50"/>
    <w:rsid w:val="00F47C20"/>
    <w:rsid w:val="00F5043C"/>
    <w:rsid w:val="00F50B46"/>
    <w:rsid w:val="00F50D1F"/>
    <w:rsid w:val="00F51545"/>
    <w:rsid w:val="00F55325"/>
    <w:rsid w:val="00F56043"/>
    <w:rsid w:val="00F56BD8"/>
    <w:rsid w:val="00F5789A"/>
    <w:rsid w:val="00F6171A"/>
    <w:rsid w:val="00F635FC"/>
    <w:rsid w:val="00F63D03"/>
    <w:rsid w:val="00F65E2F"/>
    <w:rsid w:val="00F67DF1"/>
    <w:rsid w:val="00F7054E"/>
    <w:rsid w:val="00F716EA"/>
    <w:rsid w:val="00F75193"/>
    <w:rsid w:val="00F8309B"/>
    <w:rsid w:val="00F833C9"/>
    <w:rsid w:val="00F84965"/>
    <w:rsid w:val="00F86752"/>
    <w:rsid w:val="00F87932"/>
    <w:rsid w:val="00F90064"/>
    <w:rsid w:val="00F93C47"/>
    <w:rsid w:val="00F94217"/>
    <w:rsid w:val="00F952BA"/>
    <w:rsid w:val="00F9586C"/>
    <w:rsid w:val="00F96AFD"/>
    <w:rsid w:val="00F9706B"/>
    <w:rsid w:val="00FA07F4"/>
    <w:rsid w:val="00FA0F6E"/>
    <w:rsid w:val="00FA1398"/>
    <w:rsid w:val="00FA2E19"/>
    <w:rsid w:val="00FA42CC"/>
    <w:rsid w:val="00FA6665"/>
    <w:rsid w:val="00FA697F"/>
    <w:rsid w:val="00FA734E"/>
    <w:rsid w:val="00FB3846"/>
    <w:rsid w:val="00FB429D"/>
    <w:rsid w:val="00FB5521"/>
    <w:rsid w:val="00FB610D"/>
    <w:rsid w:val="00FC4477"/>
    <w:rsid w:val="00FC46FB"/>
    <w:rsid w:val="00FC4F25"/>
    <w:rsid w:val="00FC5921"/>
    <w:rsid w:val="00FC7B66"/>
    <w:rsid w:val="00FD106C"/>
    <w:rsid w:val="00FD2BD3"/>
    <w:rsid w:val="00FD3DEF"/>
    <w:rsid w:val="00FD4CCA"/>
    <w:rsid w:val="00FE234B"/>
    <w:rsid w:val="00FE2772"/>
    <w:rsid w:val="00FE2A9E"/>
    <w:rsid w:val="00FE34B3"/>
    <w:rsid w:val="00FE3DAA"/>
    <w:rsid w:val="00FE46B7"/>
    <w:rsid w:val="00FF0420"/>
    <w:rsid w:val="00FF14D1"/>
    <w:rsid w:val="00FF2269"/>
    <w:rsid w:val="00FF286E"/>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2975"/>
    <w:pPr>
      <w:spacing w:line="276" w:lineRule="auto"/>
      <w:jc w:val="both"/>
    </w:pPr>
    <w:rPr>
      <w:sz w:val="22"/>
    </w:rPr>
  </w:style>
  <w:style w:type="paragraph" w:styleId="Kop1">
    <w:name w:val="heading 1"/>
    <w:basedOn w:val="Standaard"/>
    <w:next w:val="Standaard"/>
    <w:link w:val="Kop1Char"/>
    <w:uiPriority w:val="99"/>
    <w:qFormat/>
    <w:rsid w:val="00097261"/>
    <w:pPr>
      <w:keepNext/>
      <w:spacing w:line="420" w:lineRule="atLeast"/>
      <w:outlineLvl w:val="0"/>
    </w:pPr>
    <w:rPr>
      <w:rFonts w:cs="Arial"/>
      <w:b/>
      <w:bCs/>
      <w:kern w:val="32"/>
      <w:sz w:val="36"/>
      <w:szCs w:val="32"/>
    </w:rPr>
  </w:style>
  <w:style w:type="paragraph" w:styleId="Kop2">
    <w:name w:val="heading 2"/>
    <w:basedOn w:val="Standaard"/>
    <w:next w:val="Standaard"/>
    <w:qFormat/>
    <w:rsid w:val="003F46B0"/>
    <w:pPr>
      <w:keepNext/>
      <w:outlineLvl w:val="1"/>
    </w:pPr>
    <w:rPr>
      <w:rFonts w:cs="Arial"/>
      <w:bCs/>
      <w:iCs/>
      <w:color w:val="E1000F"/>
      <w:szCs w:val="28"/>
    </w:rPr>
  </w:style>
  <w:style w:type="paragraph" w:styleId="Kop3">
    <w:name w:val="heading 3"/>
    <w:basedOn w:val="Kop2"/>
    <w:next w:val="Standaard"/>
    <w:qFormat/>
    <w:rsid w:val="006F1596"/>
    <w:pPr>
      <w:outlineLvl w:val="2"/>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Voettekst">
    <w:name w:val="footer"/>
    <w:basedOn w:val="Standaard"/>
    <w:link w:val="Voettekst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ard"/>
    <w:rsid w:val="006F1596"/>
    <w:pPr>
      <w:spacing w:after="300"/>
    </w:pPr>
    <w:rPr>
      <w:color w:val="415055"/>
      <w:sz w:val="24"/>
    </w:rPr>
  </w:style>
  <w:style w:type="paragraph" w:customStyle="1" w:styleId="NumBullet">
    <w:name w:val="Num_Bullet"/>
    <w:basedOn w:val="Standaard"/>
    <w:rsid w:val="00576BC8"/>
    <w:pPr>
      <w:numPr>
        <w:numId w:val="1"/>
      </w:numPr>
      <w:tabs>
        <w:tab w:val="clear" w:pos="567"/>
        <w:tab w:val="left" w:pos="357"/>
      </w:tabs>
      <w:ind w:left="357" w:hanging="357"/>
    </w:pPr>
  </w:style>
  <w:style w:type="paragraph" w:customStyle="1" w:styleId="Page1Name">
    <w:name w:val="Page1_Name"/>
    <w:basedOn w:val="Standaard"/>
    <w:rsid w:val="004F237B"/>
    <w:pPr>
      <w:spacing w:after="420" w:line="360" w:lineRule="atLeast"/>
    </w:pPr>
    <w:rPr>
      <w:b/>
      <w:sz w:val="30"/>
    </w:rPr>
  </w:style>
  <w:style w:type="paragraph" w:customStyle="1" w:styleId="Page1Title">
    <w:name w:val="Page1_Title"/>
    <w:basedOn w:val="Standa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raster">
    <w:name w:val="Table Grid"/>
    <w:basedOn w:val="Standaardtabe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ard"/>
    <w:rsid w:val="0048435F"/>
    <w:pPr>
      <w:spacing w:line="300" w:lineRule="atLeast"/>
    </w:pPr>
    <w:rPr>
      <w:sz w:val="24"/>
    </w:rPr>
  </w:style>
  <w:style w:type="character" w:customStyle="1" w:styleId="Kop1Char">
    <w:name w:val="Kop 1 Char"/>
    <w:link w:val="Kop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ard"/>
    <w:uiPriority w:val="34"/>
    <w:qFormat/>
    <w:rsid w:val="00B422EC"/>
    <w:pPr>
      <w:ind w:left="720"/>
    </w:pPr>
  </w:style>
  <w:style w:type="paragraph" w:styleId="Ballontekst">
    <w:name w:val="Balloon Text"/>
    <w:basedOn w:val="Standaard"/>
    <w:link w:val="BallontekstChar"/>
    <w:rsid w:val="00336854"/>
    <w:pPr>
      <w:spacing w:line="240" w:lineRule="auto"/>
    </w:pPr>
    <w:rPr>
      <w:sz w:val="18"/>
      <w:szCs w:val="18"/>
    </w:rPr>
  </w:style>
  <w:style w:type="character" w:customStyle="1" w:styleId="BallontekstChar">
    <w:name w:val="Ballontekst Char"/>
    <w:link w:val="Ballonteks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VoettekstChar">
    <w:name w:val="Voettekst Char"/>
    <w:link w:val="Voettekst"/>
    <w:uiPriority w:val="99"/>
    <w:rsid w:val="00992A11"/>
    <w:rPr>
      <w:rFonts w:ascii="Segoe UI" w:hAnsi="Segoe UI"/>
      <w:bCs/>
      <w:noProof/>
      <w:sz w:val="12"/>
      <w:szCs w:val="24"/>
      <w:lang w:val="de-DE"/>
    </w:rPr>
  </w:style>
  <w:style w:type="character" w:styleId="Onopgelostemeldi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ard"/>
    <w:rsid w:val="00974F84"/>
    <w:rPr>
      <w:szCs w:val="20"/>
    </w:rPr>
  </w:style>
  <w:style w:type="paragraph" w:customStyle="1" w:styleId="Style12ptJustifiedLinespacing15lines1">
    <w:name w:val="Style 12 pt Justified Line spacing:  1.5 lines1"/>
    <w:basedOn w:val="Standaard"/>
    <w:rsid w:val="00974F84"/>
    <w:pPr>
      <w:spacing w:before="120"/>
    </w:pPr>
    <w:rPr>
      <w:szCs w:val="20"/>
    </w:rPr>
  </w:style>
  <w:style w:type="character" w:customStyle="1" w:styleId="Headline">
    <w:name w:val="Headline"/>
    <w:basedOn w:val="Standaardalinea-lettertype"/>
    <w:rsid w:val="00A3756F"/>
    <w:rPr>
      <w:b/>
      <w:bCs/>
      <w:sz w:val="32"/>
    </w:rPr>
  </w:style>
  <w:style w:type="paragraph" w:customStyle="1" w:styleId="MonthDayYear">
    <w:name w:val="Month Day Year"/>
    <w:basedOn w:val="Standaard"/>
    <w:rsid w:val="00643D8A"/>
    <w:pPr>
      <w:spacing w:before="120"/>
      <w:ind w:right="-1"/>
      <w:jc w:val="right"/>
    </w:pPr>
    <w:rPr>
      <w:szCs w:val="20"/>
    </w:rPr>
  </w:style>
  <w:style w:type="paragraph" w:customStyle="1" w:styleId="Topline">
    <w:name w:val="Topline"/>
    <w:basedOn w:val="Standaard"/>
    <w:qFormat/>
    <w:rsid w:val="00472FEC"/>
    <w:pPr>
      <w:spacing w:before="560" w:after="560"/>
    </w:pPr>
    <w:rPr>
      <w:rFonts w:cs="Segoe UI"/>
      <w:szCs w:val="22"/>
    </w:rPr>
  </w:style>
  <w:style w:type="character" w:customStyle="1" w:styleId="AboutandContactBody">
    <w:name w:val="About and Contact Body"/>
    <w:basedOn w:val="Standaardalinea-lettertype"/>
    <w:rsid w:val="00336854"/>
    <w:rPr>
      <w:rFonts w:ascii="Segoe UI" w:hAnsi="Segoe UI"/>
      <w:sz w:val="18"/>
    </w:rPr>
  </w:style>
  <w:style w:type="character" w:customStyle="1" w:styleId="AboutandContactHeadline">
    <w:name w:val="About and Contact Headline"/>
    <w:basedOn w:val="Standaardalinea-lettertype"/>
    <w:rsid w:val="00336854"/>
    <w:rPr>
      <w:rFonts w:ascii="Segoe UI" w:hAnsi="Segoe UI"/>
      <w:b/>
      <w:bCs/>
      <w:sz w:val="18"/>
    </w:rPr>
  </w:style>
  <w:style w:type="paragraph" w:styleId="Lijstalinea">
    <w:name w:val="List Paragraph"/>
    <w:basedOn w:val="Standaard"/>
    <w:uiPriority w:val="34"/>
    <w:qFormat/>
    <w:rsid w:val="00635616"/>
    <w:pPr>
      <w:ind w:left="720"/>
      <w:contextualSpacing/>
    </w:pPr>
  </w:style>
  <w:style w:type="character" w:styleId="Verwijzingopmerking">
    <w:name w:val="annotation reference"/>
    <w:rsid w:val="00846017"/>
    <w:rPr>
      <w:sz w:val="16"/>
      <w:szCs w:val="16"/>
    </w:rPr>
  </w:style>
  <w:style w:type="paragraph" w:styleId="Tekstopmerking">
    <w:name w:val="annotation text"/>
    <w:basedOn w:val="Standaard"/>
    <w:link w:val="TekstopmerkingChar"/>
    <w:rsid w:val="00846017"/>
    <w:pPr>
      <w:spacing w:line="260" w:lineRule="atLeast"/>
      <w:jc w:val="left"/>
    </w:pPr>
    <w:rPr>
      <w:rFonts w:ascii="Arial" w:hAnsi="Arial"/>
      <w:sz w:val="20"/>
      <w:szCs w:val="20"/>
      <w:lang w:val="de-DE"/>
    </w:rPr>
  </w:style>
  <w:style w:type="character" w:customStyle="1" w:styleId="TekstopmerkingChar">
    <w:name w:val="Tekst opmerking Char"/>
    <w:basedOn w:val="Standaardalinea-lettertype"/>
    <w:link w:val="Tekstopmerking"/>
    <w:rsid w:val="00846017"/>
    <w:rPr>
      <w:rFonts w:ascii="Arial" w:hAnsi="Arial"/>
      <w:sz w:val="20"/>
      <w:szCs w:val="20"/>
      <w:lang w:val="de-DE"/>
    </w:rPr>
  </w:style>
  <w:style w:type="paragraph" w:styleId="Onderwerpvanopmerking">
    <w:name w:val="annotation subject"/>
    <w:basedOn w:val="Tekstopmerking"/>
    <w:next w:val="Tekstopmerking"/>
    <w:link w:val="OnderwerpvanopmerkingChar"/>
    <w:rsid w:val="0020528D"/>
    <w:pPr>
      <w:spacing w:line="240" w:lineRule="auto"/>
      <w:jc w:val="both"/>
    </w:pPr>
    <w:rPr>
      <w:rFonts w:ascii="Segoe UI" w:hAnsi="Segoe UI"/>
      <w:b/>
      <w:bCs/>
      <w:lang w:val="en-US"/>
    </w:rPr>
  </w:style>
  <w:style w:type="character" w:customStyle="1" w:styleId="OnderwerpvanopmerkingChar">
    <w:name w:val="Onderwerp van opmerking Char"/>
    <w:basedOn w:val="TekstopmerkingChar"/>
    <w:link w:val="Onderwerpvanopmerking"/>
    <w:rsid w:val="0020528D"/>
    <w:rPr>
      <w:rFonts w:ascii="Arial" w:hAnsi="Arial"/>
      <w:b/>
      <w:bCs/>
      <w:sz w:val="20"/>
      <w:szCs w:val="20"/>
      <w:lang w:val="de-DE"/>
    </w:rPr>
  </w:style>
  <w:style w:type="paragraph" w:customStyle="1" w:styleId="He01FlietextAufzhlung1Ebene">
    <w:name w:val="_He_01_Fließtext Aufzählung 1. Ebene"/>
    <w:next w:val="Standaard"/>
    <w:qFormat/>
    <w:rsid w:val="0001002C"/>
    <w:pPr>
      <w:numPr>
        <w:numId w:val="8"/>
      </w:numPr>
      <w:spacing w:after="113"/>
      <w:ind w:left="357" w:hanging="357"/>
    </w:pPr>
    <w:rPr>
      <w:rFonts w:eastAsiaTheme="minorHAnsi" w:cstheme="minorBidi"/>
      <w:sz w:val="22"/>
      <w:szCs w:val="22"/>
      <w:lang w:val="de-DE"/>
    </w:rPr>
  </w:style>
  <w:style w:type="character" w:styleId="Zwaar">
    <w:name w:val="Strong"/>
    <w:basedOn w:val="Standaardalinea-lettertype"/>
    <w:uiPriority w:val="22"/>
    <w:qFormat/>
    <w:rsid w:val="007C3CC1"/>
    <w:rPr>
      <w:b/>
      <w:bCs/>
    </w:rPr>
  </w:style>
  <w:style w:type="paragraph" w:styleId="Revisie">
    <w:name w:val="Revision"/>
    <w:hidden/>
    <w:uiPriority w:val="62"/>
    <w:unhideWhenUsed/>
    <w:rsid w:val="00E71439"/>
    <w:rPr>
      <w:sz w:val="22"/>
    </w:rPr>
  </w:style>
  <w:style w:type="paragraph" w:customStyle="1" w:styleId="He01FlietextAufzhlung2Ebene">
    <w:name w:val="_He_01_Fließtext Aufzählung 2. Ebene"/>
    <w:next w:val="Standaard"/>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Standaard"/>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Voetnootmarkering">
    <w:name w:val="footnote reference"/>
    <w:basedOn w:val="Standaardalinea-lettertype"/>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2064313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lf.klueppelholz@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ars.witteck@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nna.philipps@henke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TotalTime>
  <Pages>9</Pages>
  <Words>3106</Words>
  <Characters>18683</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21746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Els Bruyninckx</cp:lastModifiedBy>
  <cp:revision>2</cp:revision>
  <cp:lastPrinted>2022-08-02T08:46:00Z</cp:lastPrinted>
  <dcterms:created xsi:type="dcterms:W3CDTF">2022-08-15T11:16:00Z</dcterms:created>
  <dcterms:modified xsi:type="dcterms:W3CDTF">2022-08-15T11:16:00Z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