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F15" w14:textId="0C365DFE" w:rsidR="008E6502" w:rsidRPr="00606E24" w:rsidRDefault="00480B0F" w:rsidP="008E6502">
      <w:pPr>
        <w:pStyle w:val="MonthDayYear"/>
        <w:rPr>
          <w:lang w:val="sk-SK"/>
        </w:rPr>
      </w:pPr>
      <w:r>
        <w:rPr>
          <w:lang w:val="sk-SK"/>
        </w:rPr>
        <w:t>31</w:t>
      </w:r>
      <w:r w:rsidR="008E6502" w:rsidRPr="00606E24">
        <w:rPr>
          <w:lang w:val="sk-SK"/>
        </w:rPr>
        <w:t>. marec 2022</w:t>
      </w:r>
    </w:p>
    <w:p w14:paraId="1C21766A" w14:textId="77777777" w:rsidR="00A67194" w:rsidRPr="006C658C" w:rsidRDefault="00A67194" w:rsidP="00A67194">
      <w:pPr>
        <w:pStyle w:val="Untertitel1"/>
        <w:widowControl w:val="0"/>
        <w:spacing w:after="0" w:line="276" w:lineRule="auto"/>
        <w:ind w:right="-2"/>
        <w:rPr>
          <w:rFonts w:ascii="Segoe UI" w:hAnsi="Segoe UI" w:cs="Segoe UI"/>
          <w:b w:val="0"/>
          <w:bCs/>
          <w:sz w:val="22"/>
          <w:szCs w:val="22"/>
          <w:lang w:val="sk-SK"/>
        </w:rPr>
      </w:pPr>
      <w:r w:rsidRPr="006C658C">
        <w:rPr>
          <w:rFonts w:ascii="Segoe UI" w:hAnsi="Segoe UI" w:cs="Segoe UI"/>
          <w:b w:val="0"/>
          <w:bCs/>
          <w:sz w:val="22"/>
          <w:szCs w:val="22"/>
          <w:lang w:val="sk-SK" w:bidi="bo-CN"/>
        </w:rPr>
        <w:t>Spolupráca pri ochrane klímy</w:t>
      </w:r>
    </w:p>
    <w:p w14:paraId="4AC89208" w14:textId="77777777" w:rsidR="00A67194" w:rsidRPr="00F56FDF" w:rsidRDefault="00A67194" w:rsidP="00A67194">
      <w:pPr>
        <w:pStyle w:val="Untertitel1"/>
        <w:widowControl w:val="0"/>
        <w:spacing w:after="0" w:line="276" w:lineRule="auto"/>
        <w:ind w:right="-2"/>
        <w:rPr>
          <w:rFonts w:ascii="Segoe UI" w:hAnsi="Segoe UI" w:cs="Segoe UI"/>
          <w:b w:val="0"/>
          <w:bCs/>
          <w:sz w:val="22"/>
          <w:szCs w:val="22"/>
          <w:lang w:val="sk-SK"/>
        </w:rPr>
      </w:pPr>
    </w:p>
    <w:p w14:paraId="0B97085D" w14:textId="77777777" w:rsidR="00A67194" w:rsidRPr="00F56FDF" w:rsidRDefault="00A67194" w:rsidP="00A67194">
      <w:pPr>
        <w:pStyle w:val="Untertitel1"/>
        <w:widowControl w:val="0"/>
        <w:spacing w:after="0" w:line="276" w:lineRule="auto"/>
        <w:ind w:right="-2"/>
        <w:rPr>
          <w:rFonts w:ascii="Segoe UI" w:hAnsi="Segoe UI" w:cs="Segoe UI"/>
          <w:sz w:val="32"/>
          <w:szCs w:val="32"/>
          <w:lang w:val="sk-SK"/>
        </w:rPr>
      </w:pPr>
      <w:r w:rsidRPr="006C658C">
        <w:rPr>
          <w:rFonts w:ascii="Segoe UI" w:hAnsi="Segoe UI" w:cs="Segoe UI"/>
          <w:sz w:val="32"/>
          <w:szCs w:val="32"/>
          <w:lang w:val="sk-SK" w:bidi="bo-CN"/>
        </w:rPr>
        <w:t>BASF a Henkel sa zamerali na obnoviteľné suroviny v spotrebných výrobkoch spoločnosti Henkel</w:t>
      </w:r>
      <w:r w:rsidRPr="006C658C">
        <w:rPr>
          <w:rFonts w:ascii="Segoe UI" w:hAnsi="Segoe UI" w:cs="Segoe UI"/>
          <w:sz w:val="32"/>
          <w:szCs w:val="32"/>
          <w:lang w:val="sk-SK"/>
        </w:rPr>
        <w:t xml:space="preserve"> </w:t>
      </w:r>
    </w:p>
    <w:p w14:paraId="3C2887E4" w14:textId="77777777" w:rsidR="00A67194" w:rsidRPr="00F56FDF" w:rsidRDefault="00A67194" w:rsidP="00A67194">
      <w:pPr>
        <w:pStyle w:val="Untertitel1"/>
        <w:widowControl w:val="0"/>
        <w:spacing w:after="0" w:line="276" w:lineRule="auto"/>
        <w:ind w:right="-2"/>
        <w:rPr>
          <w:rFonts w:ascii="Segoe UI" w:hAnsi="Segoe UI" w:cs="Segoe UI"/>
          <w:sz w:val="32"/>
          <w:szCs w:val="32"/>
          <w:lang w:val="sk-SK"/>
        </w:rPr>
      </w:pPr>
    </w:p>
    <w:p w14:paraId="79F200D4" w14:textId="77777777" w:rsidR="00A67194" w:rsidRPr="006C658C" w:rsidRDefault="00A67194" w:rsidP="00A67194">
      <w:pPr>
        <w:pStyle w:val="Untertitel1"/>
        <w:widowControl w:val="0"/>
        <w:numPr>
          <w:ilvl w:val="0"/>
          <w:numId w:val="11"/>
        </w:numPr>
        <w:tabs>
          <w:tab w:val="num" w:pos="360"/>
        </w:tabs>
        <w:spacing w:after="0" w:line="276" w:lineRule="auto"/>
        <w:ind w:left="0" w:right="0" w:firstLine="0"/>
        <w:rPr>
          <w:rFonts w:ascii="Segoe UI" w:hAnsi="Segoe UI" w:cs="Segoe UI"/>
          <w:sz w:val="22"/>
          <w:szCs w:val="22"/>
          <w:lang w:val="sk-SK"/>
        </w:rPr>
      </w:pPr>
      <w:r w:rsidRPr="006C658C">
        <w:rPr>
          <w:rFonts w:ascii="Segoe UI" w:hAnsi="Segoe UI" w:cs="Segoe UI"/>
          <w:sz w:val="22"/>
          <w:szCs w:val="22"/>
          <w:lang w:val="sk-SK" w:bidi="bo-CN"/>
        </w:rPr>
        <w:t>Pomocou certifikovanej metódy rovnováhy biomasy spoločnosti BASF spoločnosť Henkel ročne nahradí približne 110 000 ton surovín z fosílnych zdrojov obnoviteľnými zdrojmi.</w:t>
      </w:r>
    </w:p>
    <w:p w14:paraId="5416BE66" w14:textId="77777777" w:rsidR="00A67194" w:rsidRPr="006C658C" w:rsidRDefault="00A67194" w:rsidP="00A67194">
      <w:pPr>
        <w:pStyle w:val="Untertitel1"/>
        <w:widowControl w:val="0"/>
        <w:numPr>
          <w:ilvl w:val="0"/>
          <w:numId w:val="11"/>
        </w:numPr>
        <w:tabs>
          <w:tab w:val="num" w:pos="360"/>
        </w:tabs>
        <w:spacing w:after="0" w:line="276" w:lineRule="auto"/>
        <w:ind w:left="0" w:right="0" w:firstLine="0"/>
        <w:rPr>
          <w:rFonts w:ascii="Segoe UI" w:hAnsi="Segoe UI" w:cs="Segoe UI"/>
          <w:sz w:val="22"/>
          <w:szCs w:val="22"/>
          <w:lang w:val="sk-SK"/>
        </w:rPr>
      </w:pPr>
      <w:r w:rsidRPr="006C658C">
        <w:rPr>
          <w:rFonts w:ascii="Segoe UI" w:hAnsi="Segoe UI" w:cs="Segoe UI"/>
          <w:sz w:val="22"/>
          <w:szCs w:val="22"/>
          <w:lang w:val="sk-SK" w:bidi="bo-CN"/>
        </w:rPr>
        <w:t>Rýchlym zavedením tohto opatrenia sa celkovo podarí ušetriť približne 200 000 ton emisií CO</w:t>
      </w:r>
      <w:r w:rsidRPr="006C658C">
        <w:rPr>
          <w:rFonts w:ascii="Segoe UI" w:hAnsi="Segoe UI" w:cs="Segoe UI"/>
          <w:sz w:val="22"/>
          <w:szCs w:val="22"/>
          <w:vertAlign w:val="subscript"/>
          <w:lang w:val="sk-SK" w:bidi="bo-CN"/>
        </w:rPr>
        <w:t>2</w:t>
      </w:r>
      <w:r w:rsidRPr="006C658C">
        <w:rPr>
          <w:rFonts w:ascii="Segoe UI" w:hAnsi="Segoe UI" w:cs="Segoe UI"/>
          <w:sz w:val="22"/>
          <w:szCs w:val="22"/>
          <w:lang w:val="sk-SK" w:bidi="bo-CN"/>
        </w:rPr>
        <w:t>.</w:t>
      </w:r>
    </w:p>
    <w:p w14:paraId="079332CA" w14:textId="77777777" w:rsidR="00A67194" w:rsidRPr="00F56FDF" w:rsidRDefault="00A67194" w:rsidP="00A67194">
      <w:pPr>
        <w:pStyle w:val="Untertitel1"/>
        <w:widowControl w:val="0"/>
        <w:spacing w:after="0" w:line="276" w:lineRule="auto"/>
        <w:ind w:left="284" w:right="0"/>
        <w:rPr>
          <w:rFonts w:ascii="Segoe UI" w:hAnsi="Segoe UI" w:cs="Segoe UI"/>
          <w:sz w:val="22"/>
          <w:szCs w:val="22"/>
          <w:lang w:val="sk-SK"/>
        </w:rPr>
      </w:pPr>
    </w:p>
    <w:p w14:paraId="351019CB" w14:textId="77777777" w:rsidR="00A67194" w:rsidRPr="00F56FDF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sk-SK"/>
        </w:rPr>
      </w:pPr>
      <w:proofErr w:type="spellStart"/>
      <w:r w:rsidRPr="00F56FDF">
        <w:rPr>
          <w:rFonts w:ascii="Segoe UI" w:hAnsi="Segoe UI" w:cs="Segoe UI"/>
          <w:sz w:val="22"/>
          <w:szCs w:val="22"/>
          <w:lang w:val="sk-SK"/>
        </w:rPr>
        <w:t>Ludwigshafen</w:t>
      </w:r>
      <w:proofErr w:type="spellEnd"/>
      <w:r w:rsidRPr="00F56FDF">
        <w:rPr>
          <w:rFonts w:ascii="Segoe UI" w:hAnsi="Segoe UI" w:cs="Segoe UI"/>
          <w:sz w:val="22"/>
          <w:szCs w:val="22"/>
          <w:lang w:val="sk-SK"/>
        </w:rPr>
        <w:t>/</w:t>
      </w:r>
      <w:proofErr w:type="spellStart"/>
      <w:r w:rsidRPr="00F56FDF">
        <w:rPr>
          <w:rFonts w:ascii="Segoe UI" w:hAnsi="Segoe UI" w:cs="Segoe UI"/>
          <w:sz w:val="22"/>
          <w:szCs w:val="22"/>
          <w:lang w:val="sk-SK"/>
        </w:rPr>
        <w:t>Düsseldorf</w:t>
      </w:r>
      <w:proofErr w:type="spellEnd"/>
      <w:r w:rsidRPr="00F56FDF">
        <w:rPr>
          <w:rFonts w:ascii="Segoe UI" w:hAnsi="Segoe UI" w:cs="Segoe UI"/>
          <w:sz w:val="22"/>
          <w:szCs w:val="22"/>
          <w:lang w:val="sk-SK"/>
        </w:rPr>
        <w:t xml:space="preserve"> </w:t>
      </w:r>
      <w:r w:rsidRPr="00F56FDF">
        <w:rPr>
          <w:rFonts w:cs="Segoe UI"/>
          <w:szCs w:val="22"/>
          <w:lang w:val="sk-SK"/>
        </w:rPr>
        <w:t>–</w:t>
      </w:r>
      <w:r>
        <w:rPr>
          <w:rFonts w:cs="Segoe UI"/>
          <w:szCs w:val="22"/>
          <w:lang w:val="sk-SK"/>
        </w:rPr>
        <w:t xml:space="preserve"> </w:t>
      </w:r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BASF a Henkel sa spoločne zaviazali v nasledujúcich štyroch rokoch postupne nahradiť vstupné suroviny z fosílnych zdrojov vo väčšine produktov dvoch európskych obchodných divízií spoločnosti Henkel,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Laundry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 &amp; Home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Care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 a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Beauty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Care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>, surovinami z obnoviteľných zdrojov. Tento krok nadväzuje na pilotný projekt, ktorý spoločnosti realizovali v roku 2021 pri produktovom rade značky Love Nature.</w:t>
      </w:r>
      <w:r w:rsidRPr="006C658C">
        <w:rPr>
          <w:rFonts w:ascii="Segoe UI" w:hAnsi="Segoe UI" w:cs="Segoe UI"/>
          <w:sz w:val="22"/>
          <w:szCs w:val="22"/>
          <w:lang w:val="sk-SK"/>
        </w:rPr>
        <w:t xml:space="preserve"> </w:t>
      </w:r>
      <w:r w:rsidRPr="006C658C">
        <w:rPr>
          <w:rFonts w:ascii="Segoe UI" w:hAnsi="Segoe UI" w:cs="Segoe UI"/>
          <w:sz w:val="22"/>
          <w:szCs w:val="22"/>
          <w:lang w:val="sk-SK" w:bidi="bo-CN"/>
        </w:rPr>
        <w:t>S využitím certifikovanej metódy rovnováhy biomasy spoločnosti BASF spolupráca ročne povedie k nahradeniu približne 110 000 ton vstupných materiálov surovinami z obnoviteľných zdrojov.</w:t>
      </w:r>
      <w:r w:rsidRPr="006C658C">
        <w:rPr>
          <w:rFonts w:ascii="Segoe UI" w:hAnsi="Segoe UI" w:cs="Segoe UI"/>
          <w:sz w:val="22"/>
          <w:szCs w:val="22"/>
          <w:lang w:val="sk-SK"/>
        </w:rPr>
        <w:t xml:space="preserve"> </w:t>
      </w:r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Značkám ako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Persil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,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Pril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>, Fa a 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Schauma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 sa tak podarí znížiť svoju uhlíkovú stopu a zredukovať celkové emisie CO</w:t>
      </w:r>
      <w:r w:rsidRPr="006C658C">
        <w:rPr>
          <w:rFonts w:ascii="Segoe UI" w:hAnsi="Segoe UI" w:cs="Segoe UI"/>
          <w:sz w:val="22"/>
          <w:szCs w:val="22"/>
          <w:vertAlign w:val="subscript"/>
          <w:lang w:val="sk-SK" w:bidi="bo-CN"/>
        </w:rPr>
        <w:t>2</w:t>
      </w:r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 asi o 200 000 ton.</w:t>
      </w:r>
      <w:r w:rsidRPr="006C658C">
        <w:rPr>
          <w:rFonts w:ascii="Segoe UI" w:hAnsi="Segoe UI" w:cs="Segoe UI"/>
          <w:sz w:val="22"/>
          <w:szCs w:val="22"/>
          <w:lang w:val="sk-SK"/>
        </w:rPr>
        <w:t xml:space="preserve"> </w:t>
      </w:r>
    </w:p>
    <w:p w14:paraId="45BA533E" w14:textId="77777777" w:rsidR="00A67194" w:rsidRPr="00F56FDF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sk-SK"/>
        </w:rPr>
      </w:pPr>
    </w:p>
    <w:p w14:paraId="18184AD7" w14:textId="77777777" w:rsidR="00A67194" w:rsidRPr="006C658C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sk-SK"/>
        </w:rPr>
      </w:pPr>
      <w:r w:rsidRPr="00C57FB4">
        <w:rPr>
          <w:rFonts w:ascii="Segoe UI" w:hAnsi="Segoe UI" w:cs="Segoe UI"/>
          <w:i/>
          <w:iCs/>
          <w:sz w:val="22"/>
          <w:szCs w:val="22"/>
          <w:lang w:val="sk-SK" w:bidi="bo-CN"/>
        </w:rPr>
        <w:t xml:space="preserve"> „Sme radi, že budeme v spolupráci so spoločnosťou BASF pokračovať a výrazne zvýšime podiel biomasy pri výrobe našich produktov, ktoré každý deň používajú milióny ľudí na celom svete,“</w:t>
      </w:r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 povedal predseda predstavenstva spoločnosti Henkel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Carsten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Knobel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>.</w:t>
      </w:r>
      <w:r w:rsidRPr="006C658C">
        <w:rPr>
          <w:rFonts w:ascii="Segoe UI" w:hAnsi="Segoe UI" w:cs="Segoe UI"/>
          <w:sz w:val="22"/>
          <w:szCs w:val="22"/>
          <w:lang w:val="sk-SK"/>
        </w:rPr>
        <w:t xml:space="preserve"> </w:t>
      </w:r>
      <w:r w:rsidRPr="005308F8">
        <w:rPr>
          <w:rFonts w:ascii="Segoe UI" w:hAnsi="Segoe UI" w:cs="Segoe UI"/>
          <w:i/>
          <w:iCs/>
          <w:sz w:val="22"/>
          <w:szCs w:val="22"/>
          <w:lang w:val="sk-SK" w:bidi="bo-CN"/>
        </w:rPr>
        <w:t>„Aby sme podporili regenerujúcu planétu, vydali sme sa na cestu environmentálnej transformácie nášho podnikania.</w:t>
      </w:r>
      <w:r w:rsidRPr="005308F8">
        <w:rPr>
          <w:rFonts w:ascii="Segoe UI" w:hAnsi="Segoe UI" w:cs="Segoe UI"/>
          <w:i/>
          <w:iCs/>
          <w:sz w:val="22"/>
          <w:szCs w:val="22"/>
          <w:lang w:val="sk-SK"/>
        </w:rPr>
        <w:t xml:space="preserve"> </w:t>
      </w:r>
      <w:r w:rsidRPr="005308F8">
        <w:rPr>
          <w:rFonts w:ascii="Segoe UI" w:hAnsi="Segoe UI" w:cs="Segoe UI"/>
          <w:i/>
          <w:iCs/>
          <w:sz w:val="22"/>
          <w:szCs w:val="22"/>
          <w:lang w:val="sk-SK" w:bidi="bo-CN"/>
        </w:rPr>
        <w:t>Chceme kontinuálne zlepšovať svoje procesy, produkty a využívanie surovín v prospech efektívneho nakladania so zdrojmi a uhlíkovo neutrálnej budúcnosti.</w:t>
      </w:r>
      <w:r w:rsidRPr="005308F8">
        <w:rPr>
          <w:rFonts w:ascii="Segoe UI" w:hAnsi="Segoe UI" w:cs="Segoe UI"/>
          <w:i/>
          <w:iCs/>
          <w:sz w:val="22"/>
          <w:szCs w:val="22"/>
          <w:lang w:val="sk-SK"/>
        </w:rPr>
        <w:t xml:space="preserve"> </w:t>
      </w:r>
      <w:r w:rsidRPr="005308F8">
        <w:rPr>
          <w:rFonts w:ascii="Segoe UI" w:hAnsi="Segoe UI" w:cs="Segoe UI"/>
          <w:i/>
          <w:iCs/>
          <w:sz w:val="22"/>
          <w:szCs w:val="22"/>
          <w:lang w:val="sk-SK" w:bidi="bo-CN"/>
        </w:rPr>
        <w:t>Zaradenie metódy rovnováhy biomasy spoločnosti BASF do nášho dodávateľského reťazca predstavuje správny krok týmto smerom.“</w:t>
      </w:r>
    </w:p>
    <w:p w14:paraId="76FBE15C" w14:textId="77777777" w:rsidR="00A67194" w:rsidRPr="00F56FDF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sk-SK"/>
        </w:rPr>
      </w:pPr>
    </w:p>
    <w:p w14:paraId="38017CA9" w14:textId="77777777" w:rsidR="00A67194" w:rsidRPr="00F56FDF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sk-SK"/>
        </w:rPr>
      </w:pPr>
    </w:p>
    <w:p w14:paraId="2C182B26" w14:textId="4027D2CE" w:rsidR="00A67194" w:rsidRPr="00024391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i/>
          <w:iCs/>
          <w:sz w:val="22"/>
          <w:szCs w:val="22"/>
          <w:lang w:val="sk-SK"/>
        </w:rPr>
      </w:pPr>
      <w:r w:rsidRPr="007B66D9">
        <w:rPr>
          <w:rFonts w:ascii="Segoe UI" w:hAnsi="Segoe UI" w:cs="Segoe UI"/>
          <w:i/>
          <w:iCs/>
          <w:sz w:val="22"/>
          <w:szCs w:val="22"/>
          <w:lang w:val="sk-SK" w:bidi="bo-CN"/>
        </w:rPr>
        <w:lastRenderedPageBreak/>
        <w:t xml:space="preserve"> „Som veľmi hrdý, že spoločnosť Henkel oceňuje úsilie, ktoré BASF vynakladá na</w:t>
      </w:r>
      <w:r w:rsidR="005308F8" w:rsidRPr="007B66D9">
        <w:rPr>
          <w:rFonts w:ascii="Segoe UI" w:hAnsi="Segoe UI" w:cs="Segoe UI"/>
          <w:i/>
          <w:iCs/>
          <w:sz w:val="22"/>
          <w:szCs w:val="22"/>
          <w:lang w:val="sk-SK" w:bidi="bo-CN"/>
        </w:rPr>
        <w:t xml:space="preserve"> </w:t>
      </w:r>
      <w:r w:rsidRPr="007B66D9">
        <w:rPr>
          <w:rFonts w:ascii="Segoe UI" w:hAnsi="Segoe UI" w:cs="Segoe UI"/>
          <w:i/>
          <w:iCs/>
          <w:sz w:val="22"/>
          <w:szCs w:val="22"/>
          <w:lang w:val="sk-SK" w:bidi="bo-CN"/>
        </w:rPr>
        <w:t>to, aby jej dodávala produkty s nízkou uhlíkovou stopou,“</w:t>
      </w:r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 povedal Dr. Martin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Brudermüller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>, predseda predstavenstva spoločnosti BASF.</w:t>
      </w:r>
      <w:r w:rsidRPr="006C658C">
        <w:rPr>
          <w:rFonts w:ascii="Segoe UI" w:hAnsi="Segoe UI" w:cs="Segoe UI"/>
          <w:sz w:val="22"/>
          <w:szCs w:val="22"/>
          <w:lang w:val="sk-SK"/>
        </w:rPr>
        <w:t xml:space="preserve"> </w:t>
      </w:r>
      <w:r w:rsidRPr="00024391">
        <w:rPr>
          <w:rFonts w:ascii="Segoe UI" w:hAnsi="Segoe UI" w:cs="Segoe UI"/>
          <w:i/>
          <w:iCs/>
          <w:sz w:val="22"/>
          <w:szCs w:val="22"/>
          <w:lang w:val="sk-SK" w:bidi="bo-CN"/>
        </w:rPr>
        <w:t>„Zároveň sme hrdí, že môžeme podporovať takúto inovatívnu značku, ktorá ako prvá prináša svojim koncovým zákazníkom udržateľnejšie riešenia v takom veľkom rozsahu.</w:t>
      </w:r>
      <w:r w:rsidRPr="00024391">
        <w:rPr>
          <w:rFonts w:ascii="Segoe UI" w:hAnsi="Segoe UI" w:cs="Segoe UI"/>
          <w:i/>
          <w:iCs/>
          <w:sz w:val="22"/>
          <w:szCs w:val="22"/>
          <w:lang w:val="sk-SK"/>
        </w:rPr>
        <w:t xml:space="preserve"> </w:t>
      </w:r>
      <w:r w:rsidRPr="00024391">
        <w:rPr>
          <w:rFonts w:ascii="Segoe UI" w:hAnsi="Segoe UI" w:cs="Segoe UI"/>
          <w:i/>
          <w:iCs/>
          <w:sz w:val="22"/>
          <w:szCs w:val="22"/>
          <w:lang w:val="sk-SK" w:bidi="bo-CN"/>
        </w:rPr>
        <w:t>Spoločným projektom potvrdzujeme záväzok oboch spoločností budovať trvalo udržateľnú budúcnosť.“</w:t>
      </w:r>
    </w:p>
    <w:p w14:paraId="363C1CC8" w14:textId="77777777" w:rsidR="00A67194" w:rsidRPr="00F56FDF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sk-SK"/>
        </w:rPr>
      </w:pPr>
    </w:p>
    <w:p w14:paraId="3B29058A" w14:textId="77777777" w:rsidR="00A67194" w:rsidRPr="00F56FDF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sk-SK"/>
        </w:rPr>
      </w:pPr>
      <w:r w:rsidRPr="006C658C">
        <w:rPr>
          <w:rFonts w:ascii="Segoe UI" w:hAnsi="Segoe UI" w:cs="Segoe UI"/>
          <w:sz w:val="22"/>
          <w:szCs w:val="22"/>
          <w:lang w:val="sk-SK" w:bidi="bo-CN"/>
        </w:rPr>
        <w:t>Nahradenie vstupných surovín z fosílnych zdrojov je možné vďaka použitiu metódy rovnováhy biomasy spoločnosti BASF: obnoviteľné zdroje surovín sa používajú už na samotnom začiatku chemickej výroby.</w:t>
      </w:r>
      <w:r w:rsidRPr="006C658C">
        <w:rPr>
          <w:rFonts w:ascii="Segoe UI" w:hAnsi="Segoe UI" w:cs="Segoe UI"/>
          <w:sz w:val="22"/>
          <w:szCs w:val="22"/>
          <w:lang w:val="sk-SK"/>
        </w:rPr>
        <w:t xml:space="preserve"> </w:t>
      </w:r>
      <w:r w:rsidRPr="006C658C">
        <w:rPr>
          <w:rFonts w:ascii="Segoe UI" w:hAnsi="Segoe UI" w:cs="Segoe UI"/>
          <w:sz w:val="22"/>
          <w:szCs w:val="22"/>
          <w:lang w:val="sk-SK" w:bidi="bo-CN"/>
        </w:rPr>
        <w:t>Množstvo vstupných surovín z biomasy sa následne priradí konkrétnym produktom pomocou tejto certifikovanej metódy.</w:t>
      </w:r>
      <w:r w:rsidRPr="006C658C">
        <w:rPr>
          <w:rFonts w:ascii="Segoe UI" w:hAnsi="Segoe UI" w:cs="Segoe UI"/>
          <w:sz w:val="22"/>
          <w:szCs w:val="22"/>
          <w:lang w:val="sk-SK"/>
        </w:rPr>
        <w:t xml:space="preserve"> </w:t>
      </w:r>
    </w:p>
    <w:p w14:paraId="2FC653A7" w14:textId="77777777" w:rsidR="00A67194" w:rsidRPr="00F56FDF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lang w:val="sk-SK"/>
        </w:rPr>
      </w:pPr>
    </w:p>
    <w:p w14:paraId="6684034F" w14:textId="77777777" w:rsidR="00A67194" w:rsidRPr="006C658C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highlight w:val="yellow"/>
          <w:lang w:val="sk-SK"/>
        </w:rPr>
      </w:pPr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Spoločnosť BASF vytvorila uzavretý výrobný reťazec od obnoviteľných vstupných surovín, ktoré používa, až po konečný produkt. Nezávislá certifikačná inštitúcia TÜV </w:t>
      </w:r>
      <w:proofErr w:type="spellStart"/>
      <w:r w:rsidRPr="006C658C">
        <w:rPr>
          <w:rFonts w:ascii="Segoe UI" w:hAnsi="Segoe UI" w:cs="Segoe UI"/>
          <w:sz w:val="22"/>
          <w:szCs w:val="22"/>
          <w:lang w:val="sk-SK" w:bidi="bo-CN"/>
        </w:rPr>
        <w:t>Nord</w:t>
      </w:r>
      <w:proofErr w:type="spellEnd"/>
      <w:r w:rsidRPr="006C658C">
        <w:rPr>
          <w:rFonts w:ascii="Segoe UI" w:hAnsi="Segoe UI" w:cs="Segoe UI"/>
          <w:sz w:val="22"/>
          <w:szCs w:val="22"/>
          <w:lang w:val="sk-SK" w:bidi="bo-CN"/>
        </w:rPr>
        <w:t xml:space="preserve"> podporuje praktickú implementáciu a na základe certifikačnej schémy REDCert2 pravidelne posudzuje, či spoločnosť BASF nahrádza požadované množstvo fosílnych zdrojov obnoviteľnými zdrojmi v súlade s metódou rovnováhy biomasy.</w:t>
      </w:r>
    </w:p>
    <w:p w14:paraId="717FDF23" w14:textId="77777777" w:rsidR="00A67194" w:rsidRPr="00F56FDF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sz w:val="22"/>
          <w:szCs w:val="22"/>
          <w:highlight w:val="yellow"/>
          <w:lang w:val="sk-SK"/>
        </w:rPr>
      </w:pPr>
    </w:p>
    <w:p w14:paraId="51A04211" w14:textId="77777777" w:rsidR="00A67194" w:rsidRPr="006C658C" w:rsidRDefault="00A67194" w:rsidP="00A67194">
      <w:pPr>
        <w:pStyle w:val="FormatStandard"/>
        <w:widowControl w:val="0"/>
        <w:spacing w:after="0" w:line="276" w:lineRule="auto"/>
        <w:ind w:right="-2"/>
        <w:jc w:val="both"/>
        <w:rPr>
          <w:rFonts w:ascii="Segoe UI" w:hAnsi="Segoe UI" w:cs="Segoe UI"/>
          <w:b/>
          <w:bCs/>
          <w:sz w:val="22"/>
          <w:szCs w:val="22"/>
          <w:lang w:val="sk-SK"/>
        </w:rPr>
      </w:pPr>
      <w:r w:rsidRPr="006C658C">
        <w:rPr>
          <w:rFonts w:ascii="Segoe UI" w:hAnsi="Segoe UI" w:cs="Segoe UI"/>
          <w:b/>
          <w:bCs/>
          <w:sz w:val="22"/>
          <w:szCs w:val="22"/>
          <w:lang w:val="sk-SK" w:bidi="bo-CN"/>
        </w:rPr>
        <w:t>Podrobnejšie informácie o metóde rovnováhy biomasy spoločnosti BASF:</w:t>
      </w:r>
    </w:p>
    <w:tbl>
      <w:tblPr>
        <w:tblW w:w="77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4349"/>
      </w:tblGrid>
      <w:tr w:rsidR="00A67194" w:rsidRPr="00F56FDF" w14:paraId="6F5E277C" w14:textId="77777777" w:rsidTr="005A66FE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365DD" w14:textId="77777777" w:rsidR="00A67194" w:rsidRPr="006C658C" w:rsidRDefault="00A67194" w:rsidP="005A66FE">
            <w:pPr>
              <w:pStyle w:val="Normlnywebov"/>
              <w:spacing w:before="0" w:beforeAutospacing="0" w:after="0" w:afterAutospacing="0" w:line="276" w:lineRule="auto"/>
              <w:rPr>
                <w:rFonts w:ascii="Segoe UI" w:hAnsi="Segoe UI" w:cs="Segoe UI"/>
                <w:color w:val="333333"/>
                <w:sz w:val="22"/>
                <w:szCs w:val="22"/>
                <w:lang w:val="sk-SK"/>
              </w:rPr>
            </w:pPr>
            <w:r w:rsidRPr="006C658C">
              <w:rPr>
                <w:rFonts w:ascii="Segoe UI" w:hAnsi="Segoe UI" w:cs="Segoe UI"/>
                <w:sz w:val="22"/>
                <w:szCs w:val="22"/>
                <w:lang w:val="sk-SK" w:bidi="bo-CN"/>
              </w:rPr>
              <w:t>Metóda rovnováhy biomasy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5F378109" w14:textId="77777777" w:rsidR="00A67194" w:rsidRPr="006C658C" w:rsidRDefault="00A67194" w:rsidP="005A66FE">
            <w:pPr>
              <w:pStyle w:val="Normlnywebov"/>
              <w:spacing w:before="0" w:beforeAutospacing="0" w:after="0" w:afterAutospacing="0" w:line="276" w:lineRule="auto"/>
              <w:rPr>
                <w:rFonts w:ascii="Segoe UI" w:hAnsi="Segoe UI" w:cs="Segoe UI"/>
                <w:color w:val="333333"/>
                <w:sz w:val="22"/>
                <w:szCs w:val="22"/>
                <w:lang w:val="sk-SK"/>
              </w:rPr>
            </w:pPr>
            <w:hyperlink r:id="rId11" w:history="1">
              <w:proofErr w:type="spellStart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>Biomass</w:t>
              </w:r>
              <w:proofErr w:type="spellEnd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 xml:space="preserve"> </w:t>
              </w:r>
              <w:proofErr w:type="spellStart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>balance</w:t>
              </w:r>
              <w:proofErr w:type="spellEnd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 xml:space="preserve"> </w:t>
              </w:r>
              <w:proofErr w:type="spellStart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>approach</w:t>
              </w:r>
              <w:proofErr w:type="spellEnd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 xml:space="preserve"> (basf.com)</w:t>
              </w:r>
            </w:hyperlink>
          </w:p>
        </w:tc>
      </w:tr>
      <w:tr w:rsidR="00A67194" w:rsidRPr="00F56FDF" w14:paraId="1BB4EB27" w14:textId="77777777" w:rsidTr="005A66FE">
        <w:trPr>
          <w:tblCellSpacing w:w="0" w:type="dxa"/>
        </w:trPr>
        <w:tc>
          <w:tcPr>
            <w:tcW w:w="3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DAB7F" w14:textId="77777777" w:rsidR="00A67194" w:rsidRPr="006C658C" w:rsidRDefault="00A67194" w:rsidP="005A66FE">
            <w:pPr>
              <w:pStyle w:val="Normlnywebov"/>
              <w:spacing w:before="0" w:beforeAutospacing="0" w:after="0" w:afterAutospacing="0" w:line="276" w:lineRule="auto"/>
              <w:rPr>
                <w:rFonts w:ascii="Segoe UI" w:hAnsi="Segoe UI" w:cs="Segoe UI"/>
                <w:color w:val="333333"/>
                <w:sz w:val="22"/>
                <w:szCs w:val="22"/>
                <w:lang w:val="sk-SK"/>
              </w:rPr>
            </w:pPr>
            <w:r w:rsidRPr="006C658C">
              <w:rPr>
                <w:rFonts w:ascii="Segoe UI" w:hAnsi="Segoe UI" w:cs="Segoe UI"/>
                <w:sz w:val="22"/>
                <w:szCs w:val="22"/>
                <w:lang w:val="sk-SK" w:bidi="bo-CN"/>
              </w:rPr>
              <w:t>Vysvetľujúce video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2F48ECE5" w14:textId="77777777" w:rsidR="00A67194" w:rsidRPr="006C658C" w:rsidRDefault="00A67194" w:rsidP="005A66FE">
            <w:pPr>
              <w:pStyle w:val="Normlnywebov"/>
              <w:spacing w:before="0" w:beforeAutospacing="0" w:after="0" w:afterAutospacing="0" w:line="276" w:lineRule="auto"/>
              <w:rPr>
                <w:rFonts w:ascii="Segoe UI" w:hAnsi="Segoe UI" w:cs="Segoe UI"/>
                <w:color w:val="333333"/>
                <w:sz w:val="22"/>
                <w:szCs w:val="22"/>
                <w:lang w:val="sk-SK"/>
              </w:rPr>
            </w:pPr>
            <w:hyperlink r:id="rId12" w:history="1">
              <w:proofErr w:type="spellStart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>Biomass</w:t>
              </w:r>
              <w:proofErr w:type="spellEnd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 xml:space="preserve"> </w:t>
              </w:r>
              <w:proofErr w:type="spellStart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>Balance</w:t>
              </w:r>
              <w:proofErr w:type="spellEnd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 xml:space="preserve"> </w:t>
              </w:r>
              <w:proofErr w:type="spellStart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>Approach</w:t>
              </w:r>
              <w:proofErr w:type="spellEnd"/>
              <w:r w:rsidRPr="006C658C">
                <w:rPr>
                  <w:rStyle w:val="Hypertextovprepojenie"/>
                  <w:rFonts w:cs="Segoe UI"/>
                  <w:sz w:val="22"/>
                  <w:szCs w:val="22"/>
                  <w:lang w:val="sk-SK" w:bidi="bo-CN"/>
                </w:rPr>
                <w:t xml:space="preserve"> BASF - YouTube</w:t>
              </w:r>
            </w:hyperlink>
          </w:p>
        </w:tc>
      </w:tr>
    </w:tbl>
    <w:p w14:paraId="06AE0878" w14:textId="77777777" w:rsidR="00A67194" w:rsidRPr="00F56FDF" w:rsidRDefault="00A67194" w:rsidP="00A67194">
      <w:pPr>
        <w:rPr>
          <w:rFonts w:cs="Segoe UI"/>
          <w:lang w:val="sk-SK"/>
        </w:rPr>
      </w:pPr>
    </w:p>
    <w:p w14:paraId="5D879A24" w14:textId="77777777" w:rsidR="00A67194" w:rsidRPr="00F56FDF" w:rsidRDefault="00A67194" w:rsidP="00A67194">
      <w:pPr>
        <w:pStyle w:val="BoilerplateText"/>
        <w:spacing w:after="0" w:line="276" w:lineRule="auto"/>
        <w:ind w:right="0"/>
        <w:jc w:val="both"/>
        <w:rPr>
          <w:rFonts w:ascii="Segoe UI" w:hAnsi="Segoe UI" w:cs="Segoe UI"/>
          <w:b/>
          <w:sz w:val="18"/>
          <w:szCs w:val="18"/>
          <w:highlight w:val="yellow"/>
          <w:lang w:val="sk-SK"/>
        </w:rPr>
      </w:pPr>
    </w:p>
    <w:p w14:paraId="363139E9" w14:textId="77777777" w:rsidR="00A67194" w:rsidRPr="006C658C" w:rsidRDefault="00A67194" w:rsidP="00A67194">
      <w:pPr>
        <w:rPr>
          <w:rFonts w:cs="Segoe UI"/>
          <w:sz w:val="18"/>
          <w:szCs w:val="18"/>
          <w:lang w:val="sk-SK"/>
        </w:rPr>
      </w:pPr>
      <w:r w:rsidRPr="006C658C">
        <w:rPr>
          <w:rFonts w:cs="Segoe UI"/>
          <w:b/>
          <w:bCs/>
          <w:sz w:val="18"/>
          <w:szCs w:val="18"/>
          <w:lang w:val="sk-SK" w:bidi="bo-CN"/>
        </w:rPr>
        <w:t>O spoločnosti BASF</w:t>
      </w:r>
    </w:p>
    <w:p w14:paraId="19876987" w14:textId="77777777" w:rsidR="00A67194" w:rsidRPr="006C658C" w:rsidRDefault="00A67194" w:rsidP="00A67194">
      <w:pPr>
        <w:rPr>
          <w:rFonts w:cs="Segoe UI"/>
          <w:sz w:val="18"/>
          <w:szCs w:val="18"/>
          <w:lang w:val="sk-SK"/>
        </w:rPr>
      </w:pPr>
      <w:r w:rsidRPr="006C658C">
        <w:rPr>
          <w:rFonts w:cs="Segoe UI"/>
          <w:sz w:val="18"/>
          <w:szCs w:val="18"/>
          <w:lang w:val="sk-SK" w:bidi="bo-CN"/>
        </w:rPr>
        <w:t>V spoločnosti BASF tvoríme chémiu pre trvalo udržateľnú budúcnosť.</w:t>
      </w:r>
      <w:r w:rsidRPr="006C658C">
        <w:rPr>
          <w:rFonts w:cs="Segoe UI"/>
          <w:color w:val="000000"/>
          <w:sz w:val="18"/>
          <w:szCs w:val="18"/>
          <w:lang w:val="sk-SK"/>
        </w:rPr>
        <w:t xml:space="preserve"> </w:t>
      </w:r>
      <w:r w:rsidRPr="006C658C">
        <w:rPr>
          <w:rFonts w:cs="Segoe UI"/>
          <w:sz w:val="18"/>
          <w:szCs w:val="18"/>
          <w:lang w:val="sk-SK" w:bidi="bo-CN"/>
        </w:rPr>
        <w:t>Spájame ekonomický úspech, ochranu životného prostredia a spoločenskú zodpovednosť.</w:t>
      </w:r>
      <w:r w:rsidRPr="006C658C">
        <w:rPr>
          <w:rFonts w:cs="Segoe UI"/>
          <w:color w:val="000000"/>
          <w:sz w:val="18"/>
          <w:szCs w:val="18"/>
          <w:lang w:val="sk-SK"/>
        </w:rPr>
        <w:t xml:space="preserve"> </w:t>
      </w:r>
      <w:r w:rsidRPr="006C658C">
        <w:rPr>
          <w:rFonts w:cs="Segoe UI"/>
          <w:sz w:val="18"/>
          <w:szCs w:val="18"/>
          <w:lang w:val="sk-SK" w:bidi="bo-CN"/>
        </w:rPr>
        <w:t>Približne 111 000 zamestnancov koncernu BASF prispieva k úspechu našich zákazníkov prakticky vo všetkých odvetviach takmer na celom svete. Portfólio spoločnosti BASF je rozdelené do šiestich segmentov:</w:t>
      </w:r>
      <w:r w:rsidRPr="006C658C">
        <w:rPr>
          <w:rFonts w:cs="Segoe UI"/>
          <w:color w:val="000000"/>
          <w:sz w:val="18"/>
          <w:szCs w:val="18"/>
          <w:lang w:val="sk-SK"/>
        </w:rPr>
        <w:t xml:space="preserve"> </w:t>
      </w:r>
      <w:proofErr w:type="spellStart"/>
      <w:r w:rsidRPr="006C658C">
        <w:rPr>
          <w:rFonts w:cs="Segoe UI"/>
          <w:sz w:val="18"/>
          <w:szCs w:val="18"/>
          <w:lang w:val="sk-SK" w:bidi="bo-CN"/>
        </w:rPr>
        <w:t>Chemicals</w:t>
      </w:r>
      <w:proofErr w:type="spellEnd"/>
      <w:r w:rsidRPr="006C658C">
        <w:rPr>
          <w:rFonts w:cs="Segoe UI"/>
          <w:sz w:val="18"/>
          <w:szCs w:val="18"/>
          <w:lang w:val="sk-SK" w:bidi="bo-CN"/>
        </w:rPr>
        <w:t xml:space="preserve">, </w:t>
      </w:r>
      <w:proofErr w:type="spellStart"/>
      <w:r w:rsidRPr="006C658C">
        <w:rPr>
          <w:rFonts w:cs="Segoe UI"/>
          <w:sz w:val="18"/>
          <w:szCs w:val="18"/>
          <w:lang w:val="sk-SK" w:bidi="bo-CN"/>
        </w:rPr>
        <w:t>Materials</w:t>
      </w:r>
      <w:proofErr w:type="spellEnd"/>
      <w:r w:rsidRPr="006C658C">
        <w:rPr>
          <w:rFonts w:cs="Segoe UI"/>
          <w:sz w:val="18"/>
          <w:szCs w:val="18"/>
          <w:lang w:val="sk-SK" w:bidi="bo-CN"/>
        </w:rPr>
        <w:t xml:space="preserve">, Industrial Solutions, </w:t>
      </w:r>
      <w:proofErr w:type="spellStart"/>
      <w:r w:rsidRPr="006C658C">
        <w:rPr>
          <w:rFonts w:cs="Segoe UI"/>
          <w:sz w:val="18"/>
          <w:szCs w:val="18"/>
          <w:lang w:val="sk-SK" w:bidi="bo-CN"/>
        </w:rPr>
        <w:t>Surface</w:t>
      </w:r>
      <w:proofErr w:type="spellEnd"/>
      <w:r w:rsidRPr="006C658C">
        <w:rPr>
          <w:rFonts w:cs="Segoe UI"/>
          <w:sz w:val="18"/>
          <w:szCs w:val="18"/>
          <w:lang w:val="sk-SK" w:bidi="bo-CN"/>
        </w:rPr>
        <w:t xml:space="preserve"> Technologies, </w:t>
      </w:r>
      <w:proofErr w:type="spellStart"/>
      <w:r w:rsidRPr="006C658C">
        <w:rPr>
          <w:rFonts w:cs="Segoe UI"/>
          <w:sz w:val="18"/>
          <w:szCs w:val="18"/>
          <w:lang w:val="sk-SK" w:bidi="bo-CN"/>
        </w:rPr>
        <w:t>Nutrition</w:t>
      </w:r>
      <w:proofErr w:type="spellEnd"/>
      <w:r w:rsidRPr="006C658C">
        <w:rPr>
          <w:rFonts w:cs="Segoe UI"/>
          <w:sz w:val="18"/>
          <w:szCs w:val="18"/>
          <w:lang w:val="sk-SK" w:bidi="bo-CN"/>
        </w:rPr>
        <w:t xml:space="preserve"> &amp; </w:t>
      </w:r>
      <w:proofErr w:type="spellStart"/>
      <w:r w:rsidRPr="006C658C">
        <w:rPr>
          <w:rFonts w:cs="Segoe UI"/>
          <w:sz w:val="18"/>
          <w:szCs w:val="18"/>
          <w:lang w:val="sk-SK" w:bidi="bo-CN"/>
        </w:rPr>
        <w:t>Care</w:t>
      </w:r>
      <w:proofErr w:type="spellEnd"/>
      <w:r w:rsidRPr="006C658C">
        <w:rPr>
          <w:rFonts w:cs="Segoe UI"/>
          <w:sz w:val="18"/>
          <w:szCs w:val="18"/>
          <w:lang w:val="sk-SK" w:bidi="bo-CN"/>
        </w:rPr>
        <w:t xml:space="preserve"> a </w:t>
      </w:r>
      <w:proofErr w:type="spellStart"/>
      <w:r w:rsidRPr="006C658C">
        <w:rPr>
          <w:rFonts w:cs="Segoe UI"/>
          <w:sz w:val="18"/>
          <w:szCs w:val="18"/>
          <w:lang w:val="sk-SK" w:bidi="bo-CN"/>
        </w:rPr>
        <w:t>Agricultural</w:t>
      </w:r>
      <w:proofErr w:type="spellEnd"/>
      <w:r w:rsidRPr="006C658C">
        <w:rPr>
          <w:rFonts w:cs="Segoe UI"/>
          <w:sz w:val="18"/>
          <w:szCs w:val="18"/>
          <w:lang w:val="sk-SK" w:bidi="bo-CN"/>
        </w:rPr>
        <w:t xml:space="preserve"> Solutions.</w:t>
      </w:r>
      <w:r w:rsidRPr="006C658C">
        <w:rPr>
          <w:rFonts w:cs="Segoe UI"/>
          <w:color w:val="000000"/>
          <w:sz w:val="18"/>
          <w:szCs w:val="18"/>
          <w:lang w:val="sk-SK"/>
        </w:rPr>
        <w:t xml:space="preserve"> </w:t>
      </w:r>
      <w:r w:rsidRPr="006C658C">
        <w:rPr>
          <w:rFonts w:cs="Segoe UI"/>
          <w:sz w:val="18"/>
          <w:szCs w:val="18"/>
          <w:lang w:val="sk-SK" w:bidi="bo-CN"/>
        </w:rPr>
        <w:t xml:space="preserve">V roku 2021 dosiahol obrat spoločnosti 78,6 mld. eur. Akcie spoločnosti BASF </w:t>
      </w:r>
      <w:r>
        <w:rPr>
          <w:rFonts w:cs="Segoe UI"/>
          <w:sz w:val="18"/>
          <w:szCs w:val="18"/>
          <w:lang w:val="sk-SK" w:bidi="bo-CN"/>
        </w:rPr>
        <w:t>sa obchodujú</w:t>
      </w:r>
      <w:r w:rsidRPr="006C658C">
        <w:rPr>
          <w:rFonts w:cs="Segoe UI"/>
          <w:sz w:val="18"/>
          <w:szCs w:val="18"/>
          <w:lang w:val="sk-SK" w:bidi="bo-CN"/>
        </w:rPr>
        <w:t xml:space="preserve"> na akciových trhoch vo Frankfurte (BAS) a v podobe amerických depozitných certifikátov aj v USA (BASFY).</w:t>
      </w:r>
      <w:r w:rsidRPr="006C658C">
        <w:rPr>
          <w:rFonts w:cs="Segoe UI"/>
          <w:color w:val="000000"/>
          <w:sz w:val="18"/>
          <w:szCs w:val="18"/>
          <w:lang w:val="sk-SK"/>
        </w:rPr>
        <w:t xml:space="preserve"> </w:t>
      </w:r>
      <w:r w:rsidRPr="006C658C">
        <w:rPr>
          <w:rFonts w:cs="Segoe UI"/>
          <w:sz w:val="18"/>
          <w:szCs w:val="18"/>
          <w:lang w:val="sk-SK" w:bidi="bo-CN"/>
        </w:rPr>
        <w:t xml:space="preserve">Viac informácií nájdete na </w:t>
      </w:r>
      <w:hyperlink r:id="rId13" w:history="1">
        <w:r w:rsidRPr="006C658C">
          <w:rPr>
            <w:rStyle w:val="Hypertextovprepojenie"/>
            <w:rFonts w:cs="Segoe UI"/>
            <w:lang w:val="sk-SK" w:bidi="bo-CN"/>
          </w:rPr>
          <w:t>www.basf.com</w:t>
        </w:r>
      </w:hyperlink>
      <w:r w:rsidRPr="006C658C">
        <w:rPr>
          <w:rFonts w:cs="Segoe UI"/>
          <w:sz w:val="18"/>
          <w:szCs w:val="18"/>
          <w:lang w:val="sk-SK" w:bidi="bo-CN"/>
        </w:rPr>
        <w:t>.</w:t>
      </w:r>
    </w:p>
    <w:p w14:paraId="7AE81743" w14:textId="77777777" w:rsidR="00A67194" w:rsidRPr="00F56FDF" w:rsidRDefault="00A67194" w:rsidP="00A67194">
      <w:pPr>
        <w:rPr>
          <w:rFonts w:cs="Segoe UI"/>
          <w:sz w:val="18"/>
          <w:szCs w:val="18"/>
          <w:lang w:val="sk-SK"/>
        </w:rPr>
      </w:pPr>
    </w:p>
    <w:p w14:paraId="34D16086" w14:textId="77777777" w:rsidR="00A67194" w:rsidRPr="00F56FDF" w:rsidRDefault="00A67194" w:rsidP="00A67194">
      <w:pPr>
        <w:pStyle w:val="BoilerplateText"/>
        <w:spacing w:after="0" w:line="276" w:lineRule="auto"/>
        <w:ind w:right="0"/>
        <w:jc w:val="both"/>
        <w:rPr>
          <w:rFonts w:ascii="Segoe UI" w:hAnsi="Segoe UI" w:cs="Segoe UI"/>
          <w:b/>
          <w:sz w:val="18"/>
          <w:szCs w:val="18"/>
          <w:lang w:val="sk-SK"/>
        </w:rPr>
      </w:pPr>
      <w:r w:rsidRPr="006C658C">
        <w:rPr>
          <w:rFonts w:ascii="Segoe UI" w:hAnsi="Segoe UI" w:cs="Segoe UI"/>
          <w:b/>
          <w:sz w:val="18"/>
          <w:szCs w:val="18"/>
          <w:lang w:val="sk-SK" w:bidi="bo-CN"/>
        </w:rPr>
        <w:t xml:space="preserve">O divízii </w:t>
      </w:r>
      <w:proofErr w:type="spellStart"/>
      <w:r w:rsidRPr="006C658C">
        <w:rPr>
          <w:rFonts w:ascii="Segoe UI" w:hAnsi="Segoe UI" w:cs="Segoe UI"/>
          <w:b/>
          <w:sz w:val="18"/>
          <w:szCs w:val="18"/>
          <w:lang w:val="sk-SK" w:bidi="bo-CN"/>
        </w:rPr>
        <w:t>Care</w:t>
      </w:r>
      <w:proofErr w:type="spellEnd"/>
      <w:r w:rsidRPr="006C658C">
        <w:rPr>
          <w:rFonts w:ascii="Segoe UI" w:hAnsi="Segoe UI" w:cs="Segoe UI"/>
          <w:b/>
          <w:sz w:val="18"/>
          <w:szCs w:val="18"/>
          <w:lang w:val="sk-SK" w:bidi="bo-CN"/>
        </w:rPr>
        <w:t xml:space="preserve"> </w:t>
      </w:r>
      <w:proofErr w:type="spellStart"/>
      <w:r w:rsidRPr="006C658C">
        <w:rPr>
          <w:rFonts w:ascii="Segoe UI" w:hAnsi="Segoe UI" w:cs="Segoe UI"/>
          <w:b/>
          <w:sz w:val="18"/>
          <w:szCs w:val="18"/>
          <w:lang w:val="sk-SK" w:bidi="bo-CN"/>
        </w:rPr>
        <w:t>Chemicals</w:t>
      </w:r>
      <w:proofErr w:type="spellEnd"/>
      <w:r w:rsidRPr="006C658C">
        <w:rPr>
          <w:rFonts w:ascii="Segoe UI" w:hAnsi="Segoe UI" w:cs="Segoe UI"/>
          <w:b/>
          <w:sz w:val="18"/>
          <w:szCs w:val="18"/>
          <w:lang w:val="sk-SK" w:bidi="bo-CN"/>
        </w:rPr>
        <w:t xml:space="preserve"> spoločnosti BASF</w:t>
      </w:r>
      <w:r w:rsidRPr="006C658C">
        <w:rPr>
          <w:rFonts w:ascii="Segoe UI" w:hAnsi="Segoe UI" w:cs="Segoe UI"/>
          <w:b/>
          <w:sz w:val="18"/>
          <w:szCs w:val="18"/>
          <w:lang w:val="sk-SK"/>
        </w:rPr>
        <w:t xml:space="preserve"> </w:t>
      </w:r>
    </w:p>
    <w:p w14:paraId="5F70BFD5" w14:textId="77777777" w:rsidR="00A67194" w:rsidRPr="006C658C" w:rsidRDefault="00A67194" w:rsidP="00A67194">
      <w:pPr>
        <w:pStyle w:val="BoilerplateText"/>
        <w:spacing w:after="0" w:line="276" w:lineRule="auto"/>
        <w:ind w:right="0"/>
        <w:jc w:val="both"/>
        <w:rPr>
          <w:rFonts w:ascii="Segoe UI" w:hAnsi="Segoe UI" w:cs="Segoe UI"/>
          <w:sz w:val="18"/>
          <w:szCs w:val="18"/>
          <w:lang w:val="sk-SK"/>
        </w:rPr>
      </w:pPr>
      <w:r w:rsidRPr="006C658C">
        <w:rPr>
          <w:rFonts w:ascii="Segoe UI" w:hAnsi="Segoe UI" w:cs="Segoe UI"/>
          <w:sz w:val="18"/>
          <w:szCs w:val="18"/>
          <w:lang w:val="sk-SK" w:bidi="bo-CN"/>
        </w:rPr>
        <w:t xml:space="preserve">Divízia </w:t>
      </w:r>
      <w:proofErr w:type="spellStart"/>
      <w:r w:rsidRPr="006C658C">
        <w:rPr>
          <w:rFonts w:ascii="Segoe UI" w:hAnsi="Segoe UI" w:cs="Segoe UI"/>
          <w:sz w:val="18"/>
          <w:szCs w:val="18"/>
          <w:lang w:val="sk-SK" w:bidi="bo-CN"/>
        </w:rPr>
        <w:t>Care</w:t>
      </w:r>
      <w:proofErr w:type="spellEnd"/>
      <w:r w:rsidRPr="006C658C">
        <w:rPr>
          <w:rFonts w:ascii="Segoe UI" w:hAnsi="Segoe UI" w:cs="Segoe UI"/>
          <w:sz w:val="18"/>
          <w:szCs w:val="18"/>
          <w:lang w:val="sk-SK" w:bidi="bo-CN"/>
        </w:rPr>
        <w:t xml:space="preserve"> </w:t>
      </w:r>
      <w:proofErr w:type="spellStart"/>
      <w:r w:rsidRPr="006C658C">
        <w:rPr>
          <w:rFonts w:ascii="Segoe UI" w:hAnsi="Segoe UI" w:cs="Segoe UI"/>
          <w:sz w:val="18"/>
          <w:szCs w:val="18"/>
          <w:lang w:val="sk-SK" w:bidi="bo-CN"/>
        </w:rPr>
        <w:t>Chemicals</w:t>
      </w:r>
      <w:proofErr w:type="spellEnd"/>
      <w:r w:rsidRPr="006C658C">
        <w:rPr>
          <w:rFonts w:ascii="Segoe UI" w:hAnsi="Segoe UI" w:cs="Segoe UI"/>
          <w:sz w:val="18"/>
          <w:szCs w:val="18"/>
          <w:lang w:val="sk-SK" w:bidi="bo-CN"/>
        </w:rPr>
        <w:t xml:space="preserve"> ponúka široké portfólio účinných zložiek a látok, ktoré sa používajú vo výrobkoch určených na osobnú hygienu, starostlivosť o domácnosť, priemyselné čistenie a technické využitie.</w:t>
      </w:r>
      <w:r w:rsidRPr="006C658C">
        <w:rPr>
          <w:rFonts w:ascii="Segoe UI" w:hAnsi="Segoe UI" w:cs="Segoe UI"/>
          <w:sz w:val="18"/>
          <w:szCs w:val="18"/>
          <w:lang w:val="sk-SK"/>
        </w:rPr>
        <w:t xml:space="preserve"> </w:t>
      </w:r>
      <w:r w:rsidRPr="006C658C">
        <w:rPr>
          <w:rFonts w:ascii="Segoe UI" w:hAnsi="Segoe UI" w:cs="Segoe UI"/>
          <w:sz w:val="18"/>
          <w:szCs w:val="18"/>
          <w:lang w:val="sk-SK" w:bidi="bo-CN"/>
        </w:rPr>
        <w:t>Sme popredný svetový dodávateľ surovín pre kozmetický priemysel a výrobu čistiacich prostriedkov a svojich zákazníkov podporujeme inovatívnymi a trvalo udržateľnými produktmi, riešeniami a konceptmi.</w:t>
      </w:r>
      <w:r w:rsidRPr="006C658C">
        <w:rPr>
          <w:rFonts w:ascii="Segoe UI" w:hAnsi="Segoe UI" w:cs="Segoe UI"/>
          <w:sz w:val="18"/>
          <w:szCs w:val="18"/>
          <w:lang w:val="sk-SK"/>
        </w:rPr>
        <w:t xml:space="preserve"> </w:t>
      </w:r>
      <w:r w:rsidRPr="006C658C">
        <w:rPr>
          <w:rFonts w:ascii="Segoe UI" w:hAnsi="Segoe UI" w:cs="Segoe UI"/>
          <w:sz w:val="18"/>
          <w:szCs w:val="18"/>
          <w:lang w:val="sk-SK" w:bidi="bo-CN"/>
        </w:rPr>
        <w:t xml:space="preserve">Naše portfólio vysokoúčinných produktov zahŕňa povrchovo aktívne látky, emulgátory, polyméry, zmäkčovadlá, </w:t>
      </w:r>
      <w:proofErr w:type="spellStart"/>
      <w:r w:rsidRPr="006C658C">
        <w:rPr>
          <w:rFonts w:ascii="Segoe UI" w:hAnsi="Segoe UI" w:cs="Segoe UI"/>
          <w:sz w:val="18"/>
          <w:szCs w:val="18"/>
          <w:lang w:val="sk-SK" w:bidi="bo-CN"/>
        </w:rPr>
        <w:t>cheláty</w:t>
      </w:r>
      <w:proofErr w:type="spellEnd"/>
      <w:r w:rsidRPr="006C658C">
        <w:rPr>
          <w:rFonts w:ascii="Segoe UI" w:hAnsi="Segoe UI" w:cs="Segoe UI"/>
          <w:sz w:val="18"/>
          <w:szCs w:val="18"/>
          <w:lang w:val="sk-SK" w:bidi="bo-CN"/>
        </w:rPr>
        <w:t>, aktívne látky pre kozmetický priemysel a UV filtre.</w:t>
      </w:r>
      <w:r w:rsidRPr="006C658C">
        <w:rPr>
          <w:rFonts w:ascii="Segoe UI" w:hAnsi="Segoe UI" w:cs="Segoe UI"/>
          <w:sz w:val="18"/>
          <w:szCs w:val="18"/>
          <w:lang w:val="sk-SK"/>
        </w:rPr>
        <w:t xml:space="preserve"> </w:t>
      </w:r>
      <w:r w:rsidRPr="006C658C">
        <w:rPr>
          <w:rFonts w:ascii="Segoe UI" w:hAnsi="Segoe UI" w:cs="Segoe UI"/>
          <w:sz w:val="18"/>
          <w:szCs w:val="18"/>
          <w:lang w:val="sk-SK" w:bidi="bo-CN"/>
        </w:rPr>
        <w:t>Svoje výrobné a vývojové prevádzky máme vo všetkých regiónoch a pokračujeme v rozširovaní svojej prítomnosti na rozvíjajúcich sa trhoch.</w:t>
      </w:r>
      <w:r w:rsidRPr="006C658C">
        <w:rPr>
          <w:rFonts w:ascii="Segoe UI" w:hAnsi="Segoe UI" w:cs="Segoe UI"/>
          <w:sz w:val="18"/>
          <w:szCs w:val="18"/>
          <w:lang w:val="sk-SK"/>
        </w:rPr>
        <w:t xml:space="preserve"> </w:t>
      </w:r>
      <w:r w:rsidRPr="006C658C">
        <w:rPr>
          <w:rFonts w:ascii="Segoe UI" w:hAnsi="Segoe UI" w:cs="Segoe UI"/>
          <w:sz w:val="18"/>
          <w:szCs w:val="18"/>
          <w:lang w:val="sk-SK" w:bidi="bo-CN"/>
        </w:rPr>
        <w:t xml:space="preserve">Viac informácií je k dispozícii online na </w:t>
      </w:r>
      <w:hyperlink r:id="rId14" w:history="1">
        <w:r w:rsidRPr="006C658C">
          <w:rPr>
            <w:rStyle w:val="Hypertextovprepojenie"/>
            <w:rFonts w:cs="Segoe UI"/>
            <w:lang w:val="sk-SK" w:bidi="bo-CN"/>
          </w:rPr>
          <w:t>www.care-chemicals.basf.com</w:t>
        </w:r>
      </w:hyperlink>
      <w:r w:rsidRPr="006C658C">
        <w:rPr>
          <w:rFonts w:ascii="Segoe UI" w:hAnsi="Segoe UI" w:cs="Segoe UI"/>
          <w:sz w:val="18"/>
          <w:szCs w:val="18"/>
          <w:lang w:val="sk-SK" w:bidi="bo-CN"/>
        </w:rPr>
        <w:t>.</w:t>
      </w:r>
    </w:p>
    <w:p w14:paraId="74DCD38C" w14:textId="77777777" w:rsidR="007F0F63" w:rsidRPr="0034425D" w:rsidRDefault="007F0F63" w:rsidP="00643D8A">
      <w:pPr>
        <w:rPr>
          <w:rFonts w:cs="Segoe UI"/>
          <w:szCs w:val="22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lastRenderedPageBreak/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5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6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77777777" w:rsidR="008C56CF" w:rsidRDefault="008C56CF" w:rsidP="00BF6E82">
      <w:pPr>
        <w:rPr>
          <w:rStyle w:val="AboutandContactHeadline"/>
          <w:lang w:val="sk-SK"/>
        </w:rPr>
      </w:pPr>
    </w:p>
    <w:p w14:paraId="51474588" w14:textId="77777777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7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73CD" w14:textId="77777777" w:rsidR="00316D47" w:rsidRDefault="00316D47">
      <w:r>
        <w:separator/>
      </w:r>
    </w:p>
  </w:endnote>
  <w:endnote w:type="continuationSeparator" w:id="0">
    <w:p w14:paraId="44FEDF48" w14:textId="77777777" w:rsidR="00316D47" w:rsidRDefault="0031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3499" w14:textId="77777777" w:rsidR="00316D47" w:rsidRDefault="00316D47">
      <w:r>
        <w:separator/>
      </w:r>
    </w:p>
  </w:footnote>
  <w:footnote w:type="continuationSeparator" w:id="0">
    <w:p w14:paraId="465F953B" w14:textId="77777777" w:rsidR="00316D47" w:rsidRDefault="0031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C06626"/>
    <w:multiLevelType w:val="hybridMultilevel"/>
    <w:tmpl w:val="FFFFFFFF"/>
    <w:lvl w:ilvl="0" w:tplc="71A072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2"/>
  </w:num>
  <w:num w:numId="2" w16cid:durableId="122650485">
    <w:abstractNumId w:val="1"/>
  </w:num>
  <w:num w:numId="3" w16cid:durableId="1313870647">
    <w:abstractNumId w:val="9"/>
  </w:num>
  <w:num w:numId="4" w16cid:durableId="1325471364">
    <w:abstractNumId w:val="7"/>
  </w:num>
  <w:num w:numId="5" w16cid:durableId="204098463">
    <w:abstractNumId w:val="5"/>
  </w:num>
  <w:num w:numId="6" w16cid:durableId="1262301861">
    <w:abstractNumId w:val="8"/>
  </w:num>
  <w:num w:numId="7" w16cid:durableId="2122138509">
    <w:abstractNumId w:val="10"/>
  </w:num>
  <w:num w:numId="8" w16cid:durableId="24136447">
    <w:abstractNumId w:val="3"/>
  </w:num>
  <w:num w:numId="9" w16cid:durableId="397436182">
    <w:abstractNumId w:val="4"/>
  </w:num>
  <w:num w:numId="10" w16cid:durableId="1620333554">
    <w:abstractNumId w:val="0"/>
  </w:num>
  <w:num w:numId="11" w16cid:durableId="1716930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4391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16D47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80B0F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08F8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B66D9"/>
    <w:rsid w:val="007D2A02"/>
    <w:rsid w:val="007E6EA1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194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57FB4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EED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customStyle="1" w:styleId="BoilerplateText">
    <w:name w:val="Boilerplate Text"/>
    <w:basedOn w:val="Normlny"/>
    <w:rsid w:val="00A67194"/>
    <w:pPr>
      <w:spacing w:after="200" w:line="360" w:lineRule="auto"/>
      <w:ind w:right="3124"/>
      <w:jc w:val="left"/>
    </w:pPr>
    <w:rPr>
      <w:rFonts w:ascii="Arial" w:eastAsia="SimSun" w:hAnsi="Arial"/>
      <w:sz w:val="20"/>
      <w:szCs w:val="20"/>
      <w:lang w:val="de-DE"/>
    </w:rPr>
  </w:style>
  <w:style w:type="paragraph" w:customStyle="1" w:styleId="FormatStandard">
    <w:name w:val="Format Standard"/>
    <w:basedOn w:val="Normlny"/>
    <w:rsid w:val="00A67194"/>
    <w:pPr>
      <w:spacing w:after="200" w:line="360" w:lineRule="auto"/>
      <w:ind w:right="3124"/>
      <w:jc w:val="left"/>
    </w:pPr>
    <w:rPr>
      <w:rFonts w:ascii="Arial" w:eastAsia="SimSun" w:hAnsi="Arial"/>
      <w:sz w:val="24"/>
      <w:lang w:val="de-DE"/>
    </w:rPr>
  </w:style>
  <w:style w:type="paragraph" w:styleId="Normlnywebov">
    <w:name w:val="Normal (Web)"/>
    <w:basedOn w:val="Normlny"/>
    <w:uiPriority w:val="99"/>
    <w:unhideWhenUsed/>
    <w:rsid w:val="00A67194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customStyle="1" w:styleId="Untertitel1">
    <w:name w:val="Untertitel1"/>
    <w:basedOn w:val="Nadpis2"/>
    <w:rsid w:val="00A67194"/>
    <w:pPr>
      <w:keepNext w:val="0"/>
      <w:spacing w:after="360" w:line="340" w:lineRule="exact"/>
      <w:ind w:right="3124"/>
      <w:jc w:val="left"/>
    </w:pPr>
    <w:rPr>
      <w:rFonts w:ascii="Arial" w:eastAsia="SimSun" w:hAnsi="Arial" w:cs="Times New Roman"/>
      <w:b/>
      <w:bCs w:val="0"/>
      <w:iCs w:val="0"/>
      <w:color w:val="auto"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sf.com/global/en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cyeXzKzz3s8&amp;t=3s" TargetMode="External"/><Relationship Id="rId17" Type="http://schemas.openxmlformats.org/officeDocument/2006/relationships/hyperlink" Target="mailto:zuzana.kanuchova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s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sf.com/global/en/who-we-are/sustainability/we-drive-sustainable-solutions/circular-economy/mass-balance-approach/biomass-balanc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re-chemicals.basf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36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7139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52</cp:revision>
  <cp:lastPrinted>2016-11-16T01:11:00Z</cp:lastPrinted>
  <dcterms:created xsi:type="dcterms:W3CDTF">2020-07-16T10:22:00Z</dcterms:created>
  <dcterms:modified xsi:type="dcterms:W3CDTF">2022-04-19T13:46:00Z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