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Спираючись на високі досягнення у галузі сталого розвитку,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компанія «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Хенкель</w:t>
      </w:r>
      <w:proofErr w:type="spellEnd"/>
      <w:r>
        <w:rPr>
          <w:rFonts w:ascii="Arial" w:eastAsia="Arial" w:hAnsi="Arial" w:cs="Arial"/>
          <w:b/>
          <w:color w:val="000000"/>
          <w:sz w:val="28"/>
          <w:szCs w:val="28"/>
        </w:rPr>
        <w:t>» ставить перед собою нові амбітні цілі щодо створення упаковки, яка відповідає принципам сталого розвитку, та захисту клімату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</w:pPr>
      <w:r>
        <w:rPr>
          <w:rFonts w:ascii="Arial" w:eastAsia="Arial" w:hAnsi="Arial" w:cs="Arial"/>
          <w:color w:val="000000"/>
          <w:sz w:val="22"/>
          <w:szCs w:val="22"/>
        </w:rPr>
        <w:t>Забезпечити значний прогрес у досягненні цілей 2020 року у галузі стійкого розвитку.</w:t>
      </w:r>
    </w:p>
    <w:p w:rsidR="00270BA1" w:rsidRDefault="0024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Поставити нові цілі на період до 2025 року зі створення упаковки, яка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надасть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змогу запобігти утворенню пластикових відходів і скоротити їхній обсяг.</w:t>
      </w:r>
    </w:p>
    <w:p w:rsidR="00270BA1" w:rsidRDefault="00246B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284" w:hanging="284"/>
      </w:pPr>
      <w:r>
        <w:rPr>
          <w:rFonts w:ascii="Arial" w:eastAsia="Arial" w:hAnsi="Arial" w:cs="Arial"/>
          <w:color w:val="000000"/>
          <w:sz w:val="22"/>
          <w:szCs w:val="22"/>
        </w:rPr>
        <w:t>До 2040 року набути статус компанії, діяльність якої є безпечною для клімату.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Дюссельдорф, 5 березня 2020 р. –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оприлюднила свій 29-й звіт про сталий розвиток, у якому детально зазначила показники своєї діяльності та досягнення у всіх на</w:t>
      </w:r>
      <w:r>
        <w:rPr>
          <w:rFonts w:ascii="Arial" w:eastAsia="Arial" w:hAnsi="Arial" w:cs="Arial"/>
          <w:color w:val="000000"/>
          <w:sz w:val="22"/>
          <w:szCs w:val="22"/>
        </w:rPr>
        <w:t>прямах реалізації стратегії сталого розвитку. Водночас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представила свою стратегічну програму на майбутнє та визначила нові цілі у таких ключових напрямах, як створення упаковки, що відповідає принципам сталого розвитку, та захист клімату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Наша відданість принципам сталого розвитку є невід’ємною складовою корпоративної культури компанії впродовж багатьох років. Крім того, що ми неухильно прагнемо досягти цілей, визначених нами на 2020 рік, ми розширюємо наші цілі на майбутнє та ставимо пе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ред собою нові проміжні завдання, щоб активно сприяти захисту клімату, переходу до економіки </w:t>
      </w:r>
      <w:r>
        <w:rPr>
          <w:rFonts w:ascii="Arial" w:eastAsia="Arial" w:hAnsi="Arial" w:cs="Arial"/>
          <w:sz w:val="22"/>
          <w:szCs w:val="22"/>
        </w:rPr>
        <w:t>замкненого циклу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та соціальному прогресу. Забезпечення сталого розвитку є </w:t>
      </w:r>
      <w:r>
        <w:rPr>
          <w:rFonts w:ascii="Arial" w:eastAsia="Arial" w:hAnsi="Arial" w:cs="Arial"/>
          <w:sz w:val="22"/>
          <w:szCs w:val="22"/>
        </w:rPr>
        <w:t xml:space="preserve">основоположним елементом </w:t>
      </w:r>
      <w:r>
        <w:rPr>
          <w:rFonts w:ascii="Arial" w:eastAsia="Arial" w:hAnsi="Arial" w:cs="Arial"/>
          <w:color w:val="000000"/>
          <w:sz w:val="22"/>
          <w:szCs w:val="22"/>
        </w:rPr>
        <w:t>нашої нової стратегічної програми й одним із аспектів, які надаю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ть нам конкурентні переваги», – зауважив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Карстен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Кнобель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Carsten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Knobel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), голова правління Ради директорів компанії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».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«Наступні п’ять років стануть вирішальними для усього світу і для нас як компанії. Нам потрібно переконатися в тому, що ми йде</w:t>
      </w:r>
      <w:r>
        <w:rPr>
          <w:rFonts w:ascii="Arial" w:eastAsia="Arial" w:hAnsi="Arial" w:cs="Arial"/>
          <w:color w:val="000000"/>
          <w:sz w:val="22"/>
          <w:szCs w:val="22"/>
        </w:rPr>
        <w:t>мо правильним шляхом.  Це дасть змогу стримати глобальне потепління та досягти Цілей сталого розвитку, затверджених Організацією Об’єднаних Націй», – додала Сильві Ніколь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Sylvie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Nicol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), </w:t>
      </w:r>
      <w:r w:rsidRPr="00F55EFF">
        <w:rPr>
          <w:rFonts w:ascii="Arial" w:eastAsia="Arial" w:hAnsi="Arial" w:cs="Arial"/>
          <w:color w:val="000000"/>
          <w:sz w:val="22"/>
          <w:szCs w:val="22"/>
        </w:rPr>
        <w:t xml:space="preserve">виконавчий </w:t>
      </w:r>
      <w:proofErr w:type="spellStart"/>
      <w:r w:rsidRPr="00F55EFF">
        <w:rPr>
          <w:rFonts w:ascii="Arial" w:eastAsia="Arial" w:hAnsi="Arial" w:cs="Arial"/>
          <w:color w:val="000000"/>
          <w:sz w:val="22"/>
          <w:szCs w:val="22"/>
        </w:rPr>
        <w:t>віцепрезидент</w:t>
      </w:r>
      <w:proofErr w:type="spellEnd"/>
      <w:r w:rsidRPr="00F55EFF">
        <w:rPr>
          <w:rFonts w:ascii="Arial" w:eastAsia="Arial" w:hAnsi="Arial" w:cs="Arial"/>
          <w:color w:val="000000"/>
          <w:sz w:val="22"/>
          <w:szCs w:val="22"/>
        </w:rPr>
        <w:t xml:space="preserve"> управління персоналом та інфраструктурних по</w:t>
      </w:r>
      <w:r w:rsidRPr="00F55EFF">
        <w:rPr>
          <w:rFonts w:ascii="Arial" w:eastAsia="Arial" w:hAnsi="Arial" w:cs="Arial"/>
          <w:color w:val="000000"/>
          <w:sz w:val="22"/>
          <w:szCs w:val="22"/>
        </w:rPr>
        <w:t>слуг компанії "</w:t>
      </w:r>
      <w:proofErr w:type="spellStart"/>
      <w:r w:rsidRPr="00F55EFF"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 w:rsidRPr="00F55EFF">
        <w:rPr>
          <w:rFonts w:ascii="Arial" w:eastAsia="Arial" w:hAnsi="Arial" w:cs="Arial"/>
          <w:color w:val="000000"/>
          <w:sz w:val="22"/>
          <w:szCs w:val="22"/>
        </w:rPr>
        <w:t>".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Значний прогрес у досягненні цілей 2020 року в галузі сталого розвитку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 2030 року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 має намір потроїти ефективність використання ресурсів під час здійснення діяльності (базовим для порівняння вважається 2010 рік). Це завдання є </w:t>
      </w:r>
      <w:r>
        <w:rPr>
          <w:rFonts w:ascii="Arial" w:eastAsia="Arial" w:hAnsi="Arial" w:cs="Arial"/>
          <w:sz w:val="22"/>
          <w:szCs w:val="22"/>
        </w:rPr>
        <w:t xml:space="preserve">основоположним елементом в </w:t>
      </w:r>
      <w:r>
        <w:rPr>
          <w:rFonts w:ascii="Arial" w:eastAsia="Arial" w:hAnsi="Arial" w:cs="Arial"/>
          <w:color w:val="000000"/>
          <w:sz w:val="22"/>
          <w:szCs w:val="22"/>
        </w:rPr>
        <w:t>стратегії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у галузі сталого розвитк</w:t>
      </w:r>
      <w:bookmarkStart w:id="0" w:name="_GoBack"/>
      <w:bookmarkEnd w:id="0"/>
      <w:r>
        <w:rPr>
          <w:rFonts w:ascii="Arial" w:eastAsia="Arial" w:hAnsi="Arial" w:cs="Arial"/>
          <w:color w:val="000000"/>
          <w:sz w:val="22"/>
          <w:szCs w:val="22"/>
        </w:rPr>
        <w:t>у. Станом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на кінець 2019 року компанія вже збільшила загальну ефективність на 56 відсотків (порівняно з 2010 роком).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досягла трьох цілей 2020 року достроково: викиди СО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скоротилися на 31 відсоток, а обсяг відходів на тонну продукції зменшився </w:t>
      </w:r>
      <w:r>
        <w:rPr>
          <w:rFonts w:ascii="Arial" w:eastAsia="Arial" w:hAnsi="Arial" w:cs="Arial"/>
          <w:color w:val="000000"/>
          <w:sz w:val="22"/>
          <w:szCs w:val="22"/>
        </w:rPr>
        <w:t>на 40 відсотків. Завдяки підвищенню рівня охорони здоров’я та безпеки праці на 42 відсотки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перевершила цільовий показник, передбачений на 2020 рік. Споживання води на тонну продукції скоротилося на 28 відсотків порівняно з 2010 роком. Це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означає, що досягнення цільового показника, встановленого компанією на рівні 30 відсотків, є абсолютно реальним.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Чітко визначені цільові показники у сфері захисту клімату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 огляду на потребу скорочення викидів СО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>2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задля стримування глобального потеплінн</w:t>
      </w:r>
      <w:r>
        <w:rPr>
          <w:rFonts w:ascii="Arial" w:eastAsia="Arial" w:hAnsi="Arial" w:cs="Arial"/>
          <w:color w:val="000000"/>
          <w:sz w:val="22"/>
          <w:szCs w:val="22"/>
        </w:rPr>
        <w:t>я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розширила своє довгострокове бачення цієї проблеми і має намір набути статусу компанії, діяльність якої є безпечною для клімату, та досягти прогресу у відповідних</w:t>
      </w:r>
      <w:r>
        <w:rPr>
          <w:rFonts w:ascii="Arial" w:eastAsia="Arial" w:hAnsi="Arial" w:cs="Arial"/>
          <w:sz w:val="22"/>
          <w:szCs w:val="22"/>
        </w:rPr>
        <w:t xml:space="preserve"> етапах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свого ланцюжка створення цінності.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«Маючи амбітну перспективну </w:t>
      </w:r>
      <w:r>
        <w:rPr>
          <w:rFonts w:ascii="Arial" w:eastAsia="Arial" w:hAnsi="Arial" w:cs="Arial"/>
          <w:color w:val="000000"/>
          <w:sz w:val="22"/>
          <w:szCs w:val="22"/>
        </w:rPr>
        <w:t>мету до 2040 року стати компанією, діяльність якої є безпечною для клімату, ми безперечно не лише зробимо ще один крок, щоб вийти за межі статусу компанії з нульовим вуглецевим слідом і продемонструвати прагнення компанії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до лідерства у галузі ст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алого розвитку. Ми маємо намір забезпечити прогрес у власних операціях і разом із нашими партнерами у всіх </w:t>
      </w:r>
      <w:r>
        <w:rPr>
          <w:rFonts w:ascii="Arial" w:eastAsia="Arial" w:hAnsi="Arial" w:cs="Arial"/>
          <w:sz w:val="22"/>
          <w:szCs w:val="22"/>
        </w:rPr>
        <w:t xml:space="preserve">етапах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ланцюжка цінності спільно сприяти захисту нашої планети», – пояснила Сильві Ніколь.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Для набуття до 2040 року статусу компанії, діяльність як</w:t>
      </w:r>
      <w:r>
        <w:rPr>
          <w:rFonts w:ascii="Arial" w:eastAsia="Arial" w:hAnsi="Arial" w:cs="Arial"/>
          <w:color w:val="000000"/>
          <w:sz w:val="22"/>
          <w:szCs w:val="22"/>
        </w:rPr>
        <w:t>ої є безпечною для клімату,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планує зменшити свій вуглецевий слід на 65 відсотків до 2025 року. Компанія хоче досягти цього показника за рахунок постійного підвищення енергоефективності та споживання електроенергії з відновлювальних джерел. До 204</w:t>
      </w:r>
      <w:r>
        <w:rPr>
          <w:rFonts w:ascii="Arial" w:eastAsia="Arial" w:hAnsi="Arial" w:cs="Arial"/>
          <w:color w:val="000000"/>
          <w:sz w:val="22"/>
          <w:szCs w:val="22"/>
        </w:rPr>
        <w:t>0 року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 ставить собі за мету 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>замінити залишки викопного палива, які використовуються в нашому виробництві, альтернативним паливом,  що не впливає на довкілля, а також постачати надлишок електроенергії, яку отримано з поглинанням вуглекислого газу,</w:t>
      </w:r>
      <w:r>
        <w:rPr>
          <w:rFonts w:ascii="Arial" w:eastAsia="Arial" w:hAnsi="Arial" w:cs="Arial"/>
          <w:color w:val="222222"/>
          <w:sz w:val="22"/>
          <w:szCs w:val="22"/>
          <w:highlight w:val="white"/>
        </w:rPr>
        <w:t xml:space="preserve"> третім сторонам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До того ж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 бажає максимально ефективно </w:t>
      </w:r>
      <w:r>
        <w:rPr>
          <w:rFonts w:ascii="Arial" w:eastAsia="Arial" w:hAnsi="Arial" w:cs="Arial"/>
          <w:sz w:val="22"/>
          <w:szCs w:val="22"/>
        </w:rPr>
        <w:t>запускати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свої бренди та технології, щоб її клієнти, споживачі та постачальники змогли скоротити обсяг викидів СО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 xml:space="preserve">2 </w:t>
      </w:r>
      <w:r>
        <w:rPr>
          <w:rFonts w:ascii="Arial" w:eastAsia="Arial" w:hAnsi="Arial" w:cs="Arial"/>
          <w:color w:val="000000"/>
          <w:sz w:val="22"/>
          <w:szCs w:val="22"/>
        </w:rPr>
        <w:t>впродовж десяти років</w:t>
      </w:r>
      <w:r>
        <w:rPr>
          <w:rFonts w:ascii="Arial" w:eastAsia="Arial" w:hAnsi="Arial" w:cs="Arial"/>
          <w:color w:val="000000"/>
          <w:sz w:val="22"/>
          <w:szCs w:val="22"/>
          <w:vertAlign w:val="subscript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на 100 млн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тонн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до 2025 року. 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1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Нові цільові показники у галузі створення упаковки на період до 2025 року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 основі своїх досягнень і результатів діяльності у галузі створення упаковки, що відповідає принципам сталого розвитку та надає змогу здійснити перехід до економіки</w:t>
      </w:r>
      <w:r>
        <w:rPr>
          <w:rFonts w:ascii="Arial" w:eastAsia="Arial" w:hAnsi="Arial" w:cs="Arial"/>
          <w:sz w:val="22"/>
          <w:szCs w:val="22"/>
        </w:rPr>
        <w:t xml:space="preserve"> замкненого циклу</w:t>
      </w:r>
      <w:r>
        <w:rPr>
          <w:rFonts w:ascii="Arial" w:eastAsia="Arial" w:hAnsi="Arial" w:cs="Arial"/>
          <w:color w:val="000000"/>
          <w:sz w:val="22"/>
          <w:szCs w:val="22"/>
        </w:rPr>
        <w:t>,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активізує свою діяльність у цьому напрямку і ставить перед собою нові більш амбітні цілі зі створення екологічної упаковки на період до 2025 року:</w:t>
      </w:r>
    </w:p>
    <w:p w:rsidR="00270BA1" w:rsidRDefault="0024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>стовідсоткова придатність до перероблення та вторинного використання*.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Весь обсяг упаковки, яку виробляє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», буде придатним до перероблення або вторинного використання*;</w:t>
      </w:r>
    </w:p>
    <w:p w:rsidR="00270BA1" w:rsidRDefault="0024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>скорочення обсягу пластику, що виробляється з викопн</w:t>
      </w:r>
      <w:r>
        <w:rPr>
          <w:rFonts w:ascii="Arial" w:eastAsia="Arial" w:hAnsi="Arial" w:cs="Arial"/>
          <w:b/>
          <w:sz w:val="22"/>
          <w:szCs w:val="22"/>
        </w:rPr>
        <w:t>их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ресурсів</w:t>
      </w:r>
      <w:r>
        <w:rPr>
          <w:rFonts w:ascii="Arial" w:eastAsia="Arial" w:hAnsi="Arial" w:cs="Arial"/>
          <w:b/>
          <w:color w:val="000000"/>
          <w:sz w:val="22"/>
          <w:szCs w:val="22"/>
        </w:rPr>
        <w:t>, на 50%.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ставить собі за мету скоротити обсяг первинного пластику, що виробляється з викопн</w:t>
      </w:r>
      <w:r>
        <w:rPr>
          <w:rFonts w:ascii="Arial" w:eastAsia="Arial" w:hAnsi="Arial" w:cs="Arial"/>
          <w:sz w:val="22"/>
          <w:szCs w:val="22"/>
        </w:rPr>
        <w:t>их ресурсів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і застосовується для виготовлення упаковки її споживчих продуктів, на 50 відсотків. Це буде реалізовано за рахунок збільшення частки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переробле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ного пластику, використовуваного під час упакування споживчих товарів у всьому світі більше ніж до 30%</w:t>
      </w:r>
      <w:r>
        <w:rPr>
          <w:rFonts w:ascii="Arial" w:eastAsia="Arial" w:hAnsi="Arial" w:cs="Arial"/>
          <w:color w:val="000000"/>
          <w:sz w:val="22"/>
          <w:szCs w:val="22"/>
        </w:rPr>
        <w:t>, зменшення обсягу пластику та збільшення частки пластику, що піддається біологічному розпаду;</w:t>
      </w:r>
    </w:p>
    <w:p w:rsidR="00270BA1" w:rsidRDefault="00246B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>
        <w:rPr>
          <w:rFonts w:ascii="Arial" w:eastAsia="Arial" w:hAnsi="Arial" w:cs="Arial"/>
          <w:b/>
          <w:color w:val="000000"/>
          <w:sz w:val="22"/>
          <w:szCs w:val="22"/>
        </w:rPr>
        <w:t>безвідходне виробництво упаковки</w:t>
      </w:r>
      <w:r>
        <w:rPr>
          <w:rFonts w:ascii="Arial" w:eastAsia="Arial" w:hAnsi="Arial" w:cs="Arial"/>
          <w:color w:val="000000"/>
          <w:sz w:val="22"/>
          <w:szCs w:val="22"/>
        </w:rPr>
        <w:t>: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прагне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запобігти потраплянню відходів у довкілля. У зв’язку з цим вона підтримує реалізацію ініціатив зі збирання та перероблення відходів упаковки, а також вкладає кошти у розроб</w:t>
      </w:r>
      <w:r>
        <w:rPr>
          <w:rFonts w:ascii="Arial" w:eastAsia="Arial" w:hAnsi="Arial" w:cs="Arial"/>
          <w:sz w:val="22"/>
          <w:szCs w:val="22"/>
        </w:rPr>
        <w:t>ку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інноваційних рішень і технологій, які дадуть змогу перейти до економіки замкнено</w:t>
      </w:r>
      <w:r>
        <w:rPr>
          <w:rFonts w:ascii="Arial" w:eastAsia="Arial" w:hAnsi="Arial" w:cs="Arial"/>
          <w:color w:val="000000"/>
          <w:sz w:val="22"/>
          <w:szCs w:val="22"/>
        </w:rPr>
        <w:t>го циклу.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хоче охопити понад 2 мільярди споживачів на рік цільовою інформацією щодо перероблення упаковки.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>Станом на кінець 2019 року 85% обсягу упаковки, яку виробляє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», були придатні до перероблення або вторинного використання*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. Частка </w:t>
      </w: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переробленого пластику, використовуваного в упаковці споживчих товарів у Європі, сягнула 12 відсотків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*</w:t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За винятком клейових продуктів, залишки </w:t>
      </w:r>
      <w:r>
        <w:rPr>
          <w:rFonts w:ascii="Arial" w:eastAsia="Arial" w:hAnsi="Arial" w:cs="Arial"/>
          <w:i/>
          <w:sz w:val="18"/>
          <w:szCs w:val="18"/>
          <w:highlight w:val="white"/>
        </w:rPr>
        <w:t>яких</w:t>
      </w:r>
      <w:r>
        <w:rPr>
          <w:rFonts w:ascii="Arial" w:eastAsia="Arial" w:hAnsi="Arial" w:cs="Arial"/>
          <w:i/>
          <w:color w:val="000000"/>
          <w:sz w:val="18"/>
          <w:szCs w:val="18"/>
          <w:highlight w:val="white"/>
        </w:rPr>
        <w:t xml:space="preserve"> можуть негативно позначитися на придатності упаковки до перероблення або забруднити потоки вторинної сировини.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Позитивний соціальний вплив на життя громад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Сприяння соціальному прогресу є одним із шести ключових напрямів реалізації стратегії компанії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</w:t>
      </w:r>
      <w:r>
        <w:rPr>
          <w:rFonts w:ascii="Arial" w:eastAsia="Arial" w:hAnsi="Arial" w:cs="Arial"/>
          <w:color w:val="000000"/>
          <w:sz w:val="22"/>
          <w:szCs w:val="22"/>
        </w:rPr>
        <w:t>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у галузі сталого розвитку.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має на меті до 2025 року ще більше посилити свій позитивний вплив на життя громад за рахунок відповідального вибору постачальників на 100%, максимально ефективного використання для просвіти населення знань і досві</w:t>
      </w:r>
      <w:r>
        <w:rPr>
          <w:rFonts w:ascii="Arial" w:eastAsia="Arial" w:hAnsi="Arial" w:cs="Arial"/>
          <w:color w:val="000000"/>
          <w:sz w:val="22"/>
          <w:szCs w:val="22"/>
        </w:rPr>
        <w:t>ду своїх 50 000 працівників, які пройшли навчання як посли сталого розвитку, а також завдяки сприянню підвищенню рівня життя понад 20 мільйонів осіб у всьому світі.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  <w:t>Відповідальний підхід до вибору постачальників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» постійно веде активний діалог зі своїми постачальниками і пропагує філософію провадження діяльності з дотриманням принципів сталого розвитку та прав людини у всіх </w:t>
      </w:r>
      <w:r>
        <w:rPr>
          <w:rFonts w:ascii="Arial" w:eastAsia="Arial" w:hAnsi="Arial" w:cs="Arial"/>
          <w:sz w:val="22"/>
          <w:szCs w:val="22"/>
        </w:rPr>
        <w:t>етапах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ланцюжка створення цінності. Ключовим елементом стратегії компанії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щодо відповідального підходу до вибору постачальників є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шестиетапний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процес відповідального вибору постачальників, що застосовується для оцінювання показників, які характеризують дотримання ними принципів сталого розвитку. Цей процес є невід’ємною складово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ю здійснення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У 2019 році компанія охопила ним понад 86% усього обсягу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закупівель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упаковки, сировини та використала його у галузі контрактного виробництва.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Яскравим прикладом постійного прагнення компанії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до відповідального вибору пос</w:t>
      </w:r>
      <w:r>
        <w:rPr>
          <w:rFonts w:ascii="Arial" w:eastAsia="Arial" w:hAnsi="Arial" w:cs="Arial"/>
          <w:color w:val="000000"/>
          <w:sz w:val="22"/>
          <w:szCs w:val="22"/>
        </w:rPr>
        <w:t>тачальників є ініціатива «Разом до сталого розвитку» (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TfS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), започаткована в 2011 році групою компаній хімічної промисловості (серед яких і 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») для створення ланцюжків постачання з дотриманням принципів сталого розвитку. Наразі ця програма о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б’єднує 23 компанії хімічної промисловості з усього світу, які спрямовують спільні зусилля на упорядкування процесів управління ланцюжками постачання, що невпинно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ускладнюються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згідно з принципами сталого розвитку. Ключовими елементами програми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TfS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є пров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едення аудитів та онлайн оцінювання силами спеціально відібраних незалежних аудиторських компаній і за допомогою платформи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EcoVadis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постачальника послуг, що спеціалізується у галузі оцінювання корпоративної соціальної відповідальності.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/>
        <w:t>Дотримання принцип</w:t>
      </w:r>
      <w:r>
        <w:rPr>
          <w:rFonts w:ascii="Arial" w:eastAsia="Arial" w:hAnsi="Arial" w:cs="Arial"/>
          <w:b/>
          <w:color w:val="000000"/>
          <w:sz w:val="22"/>
          <w:szCs w:val="22"/>
        </w:rPr>
        <w:t>ів сталого розвитку як відмітна ознака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«Компанія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має намір міцно закріпити принципи сталого розвитку у всіх видах своєї діяльності та вжити заходів для того, щоб вони стали основоположним елементом стратегії розроблення і впровадження інноваційни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х рішень у всіх бізнес-підрозділах. Такий підхід сприятиме підвищенню ефективності використання компанією ресурсів і зміцненню її конкурентних переваг», – наголосив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Карстен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Кнобель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Наприклад, бізнес-підрозділи «Косметичні засоби» і «Засоби для прання та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догляду за оселею» у сегменті споживчих продуктів розширюватимуть свій портфель продуктів, приділяючи при цьому особливу увагу використанню упаковки, що відповідає принципам сталого розвитку, та виводячи на ринок бренди з певною метою. Бізнес-підрозділ «К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лейові технології» й надалі з максимальною ефективністю реалізовуватиме свій потенціал, розробляючи продукти та технології, які ставатимуть основою для революційних  рішень для промисловості.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З додатковою інформацією щодо стратегії компанії «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Хенкель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» у г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алузі сталого розвитку, її відповідними показниками і досягненнями можна ознайомитися за посиланням </w:t>
      </w:r>
      <w:hyperlink r:id="rId7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www.henkel.</w:t>
        </w:r>
      </w:hyperlink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ua</w:t>
        </w:r>
      </w:hyperlink>
      <w:hyperlink r:id="rId9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/sustainability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Про компанію «</w:t>
      </w:r>
      <w:proofErr w:type="spellStart"/>
      <w:r>
        <w:rPr>
          <w:rFonts w:ascii="Arial" w:eastAsia="Arial" w:hAnsi="Arial" w:cs="Arial"/>
          <w:b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b/>
          <w:color w:val="000000"/>
          <w:sz w:val="18"/>
          <w:szCs w:val="18"/>
        </w:rPr>
        <w:t>»</w:t>
      </w: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>Компанія «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 здійснює свою діяльність у світовому масштабі та має збалансований і диверсифікований портфель продукції. Силами трьох своїх бізнес-підрозділів компанія утримує провідні позиції у сегментах промислових і споживчих продуктів завдяки своїм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потужним брендам, інноваційному </w:t>
      </w:r>
      <w:r>
        <w:rPr>
          <w:rFonts w:ascii="Arial" w:eastAsia="Arial" w:hAnsi="Arial" w:cs="Arial"/>
          <w:color w:val="000000"/>
          <w:sz w:val="18"/>
          <w:szCs w:val="18"/>
        </w:rPr>
        <w:lastRenderedPageBreak/>
        <w:t>підходу та застосуванню передових технологій. Бізнес-підрозділ «Клейові технології» компанії «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 є світовим лідером на ринку клейових матеріалів  у всіх сегментах продуктів для промисловості на глобальному рівні. Бізн</w:t>
      </w:r>
      <w:r>
        <w:rPr>
          <w:rFonts w:ascii="Arial" w:eastAsia="Arial" w:hAnsi="Arial" w:cs="Arial"/>
          <w:color w:val="000000"/>
          <w:sz w:val="18"/>
          <w:szCs w:val="18"/>
        </w:rPr>
        <w:t>ес-підрозділи «Засоби для прання та  догляду за оселею» і  «Косметичні засоби» компанії «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 утримують провідні позиції на багатьох ринках світу та у численних категоріях продукції. Компанія «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», заснована у 1876 році, має історію успіху, що три</w:t>
      </w:r>
      <w:r>
        <w:rPr>
          <w:rFonts w:ascii="Arial" w:eastAsia="Arial" w:hAnsi="Arial" w:cs="Arial"/>
          <w:color w:val="000000"/>
          <w:sz w:val="18"/>
          <w:szCs w:val="18"/>
        </w:rPr>
        <w:t>ває понад 140 років. У 2019 році обсяг продажу компанії становив понад 20 мільярдів євро, а скоригований операційний прибуток – більш як 3,2 мільярда євро. Чисельність працівників компанії «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 становить понад 52 000 осіб у всьому світі. Це віддана та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різноманітна команда ентузіастів, яких об’єднує спільна корпоративна культура та спільна мета – створення цінності з дотриманням принципів сталого розвитку, а також спільні ідеї. Компанія «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» є визнаним лідером у сфері сталого розвитку, вона посідає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провідні позиції у багатьох міжнародних індексах і рейтингах. Привілейовані акції компанії «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Хенкель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 xml:space="preserve">» внесені до переліку, що охоплюється фондовим індексом Німеччини DAX. Більш детальна інформація міститься на сайті </w:t>
      </w:r>
      <w:hyperlink r:id="rId10">
        <w:r>
          <w:rPr>
            <w:rFonts w:ascii="Arial" w:eastAsia="Arial" w:hAnsi="Arial" w:cs="Arial"/>
            <w:color w:val="0000FF"/>
            <w:sz w:val="18"/>
            <w:szCs w:val="18"/>
            <w:u w:val="single"/>
          </w:rPr>
          <w:t>www.henkel.com</w:t>
        </w:r>
      </w:hyperlink>
      <w:r>
        <w:rPr>
          <w:rFonts w:ascii="Arial" w:eastAsia="Arial" w:hAnsi="Arial" w:cs="Arial"/>
          <w:color w:val="000000"/>
        </w:rPr>
        <w:t xml:space="preserve"> 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З фотоматеріалами можна ознайомитися за посиланням www.henkel.com/press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270BA1" w:rsidRDefault="00246B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  <w:u w:val="single"/>
        </w:rPr>
      </w:pPr>
      <w:r>
        <w:rPr>
          <w:rFonts w:ascii="Arial" w:eastAsia="Arial" w:hAnsi="Arial" w:cs="Arial"/>
          <w:color w:val="000000"/>
          <w:sz w:val="18"/>
          <w:szCs w:val="18"/>
          <w:u w:val="single"/>
        </w:rPr>
        <w:t xml:space="preserve"> За додатковою інформацією, будь ласка, звертайтеся до:</w:t>
      </w:r>
    </w:p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32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270BA1">
        <w:trPr>
          <w:trHeight w:val="615"/>
        </w:trPr>
        <w:tc>
          <w:tcPr>
            <w:tcW w:w="4644" w:type="dxa"/>
          </w:tcPr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Андрощук,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керівника відділу корпоративних комунікацій компанії  «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Хенкель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» в Україні</w:t>
            </w:r>
          </w:p>
          <w:p w:rsidR="00270BA1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Хенкель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Україна» 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.: +38 050 389 83 45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Факс: +38 044 247-51-00 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elena.androschuk@henkel.com</w:t>
            </w:r>
          </w:p>
        </w:tc>
        <w:tc>
          <w:tcPr>
            <w:tcW w:w="4678" w:type="dxa"/>
          </w:tcPr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Олени Хмари,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керівника PR-проектів </w:t>
            </w:r>
          </w:p>
          <w:p w:rsidR="00270BA1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Default="00270B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Агенція «PR-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Service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»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./факс: +38 044 501 32 44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Моб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тел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.: +38 050 382 82 74</w:t>
            </w:r>
          </w:p>
          <w:p w:rsidR="00270BA1" w:rsidRDefault="00246B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: a.khmara@pr-service.com.ua</w:t>
            </w:r>
          </w:p>
        </w:tc>
      </w:tr>
    </w:tbl>
    <w:p w:rsidR="00270BA1" w:rsidRDefault="00270BA1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4500"/>
        </w:tabs>
        <w:rPr>
          <w:rFonts w:ascii="Arial" w:eastAsia="Arial" w:hAnsi="Arial" w:cs="Arial"/>
          <w:color w:val="000000"/>
        </w:rPr>
      </w:pPr>
    </w:p>
    <w:sectPr w:rsidR="00270BA1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1134" w:right="1418" w:bottom="1985" w:left="1418" w:header="1247" w:footer="94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BEA" w:rsidRDefault="00246BEA">
      <w:r>
        <w:separator/>
      </w:r>
    </w:p>
  </w:endnote>
  <w:endnote w:type="continuationSeparator" w:id="0">
    <w:p w:rsidR="00246BEA" w:rsidRDefault="0024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57"/>
      </w:tabs>
      <w:rPr>
        <w:rFonts w:ascii="Arial" w:eastAsia="Arial" w:hAnsi="Arial" w:cs="Arial"/>
        <w:color w:val="000000"/>
        <w:sz w:val="14"/>
        <w:szCs w:val="14"/>
      </w:rPr>
    </w:pPr>
    <w:proofErr w:type="spellStart"/>
    <w:r>
      <w:rPr>
        <w:rFonts w:ascii="Arial" w:eastAsia="Arial" w:hAnsi="Arial" w:cs="Arial"/>
        <w:color w:val="000000"/>
        <w:sz w:val="14"/>
        <w:szCs w:val="14"/>
      </w:rPr>
      <w:t>Henkel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AG &amp;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Co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. </w:t>
    </w:r>
    <w:proofErr w:type="spellStart"/>
    <w:r>
      <w:rPr>
        <w:rFonts w:ascii="Arial" w:eastAsia="Arial" w:hAnsi="Arial" w:cs="Arial"/>
        <w:color w:val="000000"/>
        <w:sz w:val="14"/>
        <w:szCs w:val="14"/>
      </w:rPr>
      <w:t>KGaA</w:t>
    </w:r>
    <w:proofErr w:type="spellEnd"/>
    <w:r>
      <w:rPr>
        <w:rFonts w:ascii="Arial" w:eastAsia="Arial" w:hAnsi="Arial" w:cs="Arial"/>
        <w:b/>
        <w:color w:val="000000"/>
        <w:sz w:val="14"/>
        <w:szCs w:val="14"/>
      </w:rPr>
      <w:tab/>
    </w:r>
    <w:proofErr w:type="spellStart"/>
    <w:r>
      <w:rPr>
        <w:rFonts w:ascii="Arial" w:eastAsia="Arial" w:hAnsi="Arial" w:cs="Arial"/>
        <w:color w:val="000000"/>
        <w:sz w:val="14"/>
        <w:szCs w:val="14"/>
      </w:rPr>
      <w:t>Page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F55EFF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55EFF">
      <w:rPr>
        <w:rFonts w:ascii="Arial" w:eastAsia="Arial" w:hAnsi="Arial" w:cs="Arial"/>
        <w:noProof/>
        <w:color w:val="000000"/>
        <w:sz w:val="14"/>
        <w:szCs w:val="14"/>
      </w:rPr>
      <w:t>5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F55EFF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55EFF">
      <w:rPr>
        <w:rFonts w:ascii="Arial" w:eastAsia="Arial" w:hAnsi="Arial" w:cs="Arial"/>
        <w:noProof/>
        <w:color w:val="000000"/>
        <w:sz w:val="14"/>
        <w:szCs w:val="14"/>
      </w:rPr>
      <w:t>5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bookmarkStart w:id="2" w:name="_30j0zll" w:colFirst="0" w:colLast="0"/>
    <w:bookmarkEnd w:id="2"/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583565" cy="103505"/>
          <wp:effectExtent l="0" t="0" r="0" b="0"/>
          <wp:docPr id="2" name="image10.jpg" descr="Loct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jpg" descr="Locti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565" cy="103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988695" cy="104140"/>
          <wp:effectExtent l="0" t="0" r="0" b="0"/>
          <wp:docPr id="1" name="image2.jpg" descr="LOGO_TECHNOMELT_3C_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_TECHNOMELT_3C_6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8695" cy="104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775335" cy="110490"/>
          <wp:effectExtent l="0" t="0" r="0" b="0"/>
          <wp:docPr id="4" name="image1.png" descr="BONDER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ONDERI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110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617855" cy="282575"/>
          <wp:effectExtent l="0" t="0" r="0" b="0"/>
          <wp:docPr id="3" name="image8.png" descr="SK_Logo_2014_Event_100mm_blac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SK_Logo_2014_Event_100mm_black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785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354965" cy="282575"/>
          <wp:effectExtent l="0" t="0" r="0" b="0"/>
          <wp:docPr id="6" name="image6.jpg" descr="Dial_Logo_02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Dial_Logo_0207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965" cy="282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496570" cy="128905"/>
          <wp:effectExtent l="0" t="0" r="0" b="0"/>
          <wp:docPr id="5" name="image7.jpg" descr="Logo_Syos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Logo_Syoss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6570" cy="128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415925" cy="153670"/>
          <wp:effectExtent l="0" t="0" r="0" b="0"/>
          <wp:docPr id="8" name="image3.jpg" descr="Persil Logo 2007_RGB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Persil Logo 2007_RGB1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5925" cy="153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noProof/>
        <w:color w:val="E1000F"/>
        <w:sz w:val="14"/>
        <w:szCs w:val="14"/>
      </w:rPr>
      <w:drawing>
        <wp:inline distT="0" distB="0" distL="114300" distR="114300">
          <wp:extent cx="251460" cy="250825"/>
          <wp:effectExtent l="0" t="0" r="0" b="0"/>
          <wp:docPr id="7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1460" cy="250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noProof/>
        <w:color w:val="E1000F"/>
        <w:sz w:val="40"/>
        <w:szCs w:val="40"/>
      </w:rPr>
      <w:drawing>
        <wp:inline distT="0" distB="0" distL="114300" distR="114300">
          <wp:extent cx="335915" cy="152400"/>
          <wp:effectExtent l="0" t="0" r="0" b="0"/>
          <wp:docPr id="10" name="image9.png" descr="bref_logo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bref_logo (002)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915" cy="15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270BA1" w:rsidRDefault="00246BEA">
    <w:pPr>
      <w:pBdr>
        <w:top w:val="nil"/>
        <w:left w:val="nil"/>
        <w:bottom w:val="nil"/>
        <w:right w:val="nil"/>
        <w:between w:val="nil"/>
      </w:pBdr>
      <w:jc w:val="both"/>
      <w:rPr>
        <w:rFonts w:ascii="Arial" w:eastAsia="Arial" w:hAnsi="Arial" w:cs="Arial"/>
        <w:b/>
        <w:color w:val="E1000F"/>
        <w:sz w:val="14"/>
        <w:szCs w:val="14"/>
      </w:rPr>
    </w:pPr>
    <w:r>
      <w:rPr>
        <w:rFonts w:ascii="Arial" w:eastAsia="Arial" w:hAnsi="Arial" w:cs="Arial"/>
        <w:color w:val="E1000F"/>
        <w:sz w:val="14"/>
        <w:szCs w:val="14"/>
      </w:rPr>
      <w:t xml:space="preserve"> </w:t>
    </w:r>
    <w:r>
      <w:rPr>
        <w:rFonts w:ascii="Arial" w:eastAsia="Arial" w:hAnsi="Arial" w:cs="Arial"/>
        <w:b/>
        <w:color w:val="E1000F"/>
        <w:sz w:val="14"/>
        <w:szCs w:val="14"/>
      </w:rPr>
      <w:t xml:space="preserve">  </w:t>
    </w:r>
    <w:r>
      <w:rPr>
        <w:rFonts w:ascii="Arial" w:eastAsia="Arial" w:hAnsi="Arial" w:cs="Arial"/>
        <w:color w:val="E1000F"/>
        <w:sz w:val="14"/>
        <w:szCs w:val="14"/>
      </w:rPr>
      <w:t xml:space="preserve">     </w:t>
    </w:r>
  </w:p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jc w:val="both"/>
      <w:rPr>
        <w:rFonts w:ascii="Arial" w:eastAsia="Arial" w:hAnsi="Arial" w:cs="Arial"/>
        <w:color w:val="E1000F"/>
        <w:sz w:val="14"/>
        <w:szCs w:val="14"/>
      </w:rPr>
    </w:pPr>
    <w:r>
      <w:rPr>
        <w:rFonts w:ascii="Arial" w:eastAsia="Arial" w:hAnsi="Arial" w:cs="Arial"/>
        <w:b/>
        <w:color w:val="E1000F"/>
        <w:sz w:val="14"/>
        <w:szCs w:val="14"/>
      </w:rPr>
      <w:tab/>
    </w:r>
    <w:r>
      <w:rPr>
        <w:rFonts w:ascii="Arial" w:eastAsia="Arial" w:hAnsi="Arial" w:cs="Arial"/>
        <w:b/>
        <w:color w:val="E1000F"/>
        <w:sz w:val="14"/>
        <w:szCs w:val="14"/>
      </w:rPr>
      <w:tab/>
    </w:r>
    <w:proofErr w:type="spellStart"/>
    <w:r>
      <w:rPr>
        <w:rFonts w:ascii="Arial" w:eastAsia="Arial" w:hAnsi="Arial" w:cs="Arial"/>
        <w:color w:val="000000"/>
        <w:sz w:val="14"/>
        <w:szCs w:val="14"/>
      </w:rPr>
      <w:t>Page</w:t>
    </w:r>
    <w:proofErr w:type="spellEnd"/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PAGE</w:instrText>
    </w:r>
    <w:r w:rsidR="00F55EFF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55EFF">
      <w:rPr>
        <w:rFonts w:ascii="Arial" w:eastAsia="Arial" w:hAnsi="Arial" w:cs="Arial"/>
        <w:noProof/>
        <w:color w:val="000000"/>
        <w:sz w:val="14"/>
        <w:szCs w:val="14"/>
      </w:rPr>
      <w:t>1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  <w:r>
      <w:rPr>
        <w:rFonts w:ascii="Arial" w:eastAsia="Arial" w:hAnsi="Arial" w:cs="Arial"/>
        <w:color w:val="000000"/>
        <w:sz w:val="14"/>
        <w:szCs w:val="14"/>
      </w:rPr>
      <w:t>/</w:t>
    </w:r>
    <w:r>
      <w:rPr>
        <w:rFonts w:ascii="Arial" w:eastAsia="Arial" w:hAnsi="Arial" w:cs="Arial"/>
        <w:color w:val="000000"/>
        <w:sz w:val="14"/>
        <w:szCs w:val="14"/>
      </w:rPr>
      <w:fldChar w:fldCharType="begin"/>
    </w:r>
    <w:r>
      <w:rPr>
        <w:rFonts w:ascii="Arial" w:eastAsia="Arial" w:hAnsi="Arial" w:cs="Arial"/>
        <w:color w:val="000000"/>
        <w:sz w:val="14"/>
        <w:szCs w:val="14"/>
      </w:rPr>
      <w:instrText>NUMPAGES</w:instrText>
    </w:r>
    <w:r w:rsidR="00F55EFF">
      <w:rPr>
        <w:rFonts w:ascii="Arial" w:eastAsia="Arial" w:hAnsi="Arial" w:cs="Arial"/>
        <w:color w:val="000000"/>
        <w:sz w:val="14"/>
        <w:szCs w:val="14"/>
      </w:rPr>
      <w:fldChar w:fldCharType="separate"/>
    </w:r>
    <w:r w:rsidR="00F55EFF">
      <w:rPr>
        <w:rFonts w:ascii="Arial" w:eastAsia="Arial" w:hAnsi="Arial" w:cs="Arial"/>
        <w:noProof/>
        <w:color w:val="000000"/>
        <w:sz w:val="14"/>
        <w:szCs w:val="14"/>
      </w:rPr>
      <w:t>5</w:t>
    </w:r>
    <w:r>
      <w:rPr>
        <w:rFonts w:ascii="Arial" w:eastAsia="Arial" w:hAnsi="Arial" w:cs="Arial"/>
        <w:color w:val="00000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BEA" w:rsidRDefault="00246BEA">
      <w:r>
        <w:separator/>
      </w:r>
    </w:p>
  </w:footnote>
  <w:footnote w:type="continuationSeparator" w:id="0">
    <w:p w:rsidR="00246BEA" w:rsidRDefault="00246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70BA1">
    <w:pPr>
      <w:pBdr>
        <w:top w:val="nil"/>
        <w:left w:val="nil"/>
        <w:bottom w:val="nil"/>
        <w:right w:val="nil"/>
        <w:between w:val="nil"/>
      </w:pBdr>
      <w:jc w:val="right"/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rFonts w:ascii="Calibri" w:eastAsia="Calibri" w:hAnsi="Calibri" w:cs="Calibri"/>
        <w:b/>
        <w:color w:val="000000"/>
        <w:sz w:val="40"/>
        <w:szCs w:val="4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4982210</wp:posOffset>
          </wp:positionH>
          <wp:positionV relativeFrom="paragraph">
            <wp:posOffset>0</wp:posOffset>
          </wp:positionV>
          <wp:extent cx="1166495" cy="789305"/>
          <wp:effectExtent l="0" t="0" r="0" b="0"/>
          <wp:wrapSquare wrapText="bothSides" distT="0" distB="0" distL="114300" distR="114300"/>
          <wp:docPr id="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6495" cy="789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rPr>
        <w:rFonts w:ascii="Calibri" w:eastAsia="Calibri" w:hAnsi="Calibri" w:cs="Calibri"/>
        <w:color w:val="000000"/>
        <w:sz w:val="40"/>
        <w:szCs w:val="40"/>
      </w:rPr>
    </w:pPr>
  </w:p>
  <w:p w:rsidR="00270BA1" w:rsidRDefault="00270BA1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Calibri" w:eastAsia="Calibri" w:hAnsi="Calibri" w:cs="Calibri"/>
        <w:color w:val="000000"/>
        <w:sz w:val="40"/>
        <w:szCs w:val="40"/>
      </w:rPr>
    </w:pPr>
  </w:p>
  <w:p w:rsidR="00270BA1" w:rsidRDefault="00246BEA">
    <w:pPr>
      <w:pBdr>
        <w:top w:val="nil"/>
        <w:left w:val="nil"/>
        <w:bottom w:val="nil"/>
        <w:right w:val="nil"/>
        <w:between w:val="nil"/>
      </w:pBdr>
      <w:tabs>
        <w:tab w:val="left" w:pos="2607"/>
        <w:tab w:val="right" w:pos="9071"/>
      </w:tabs>
      <w:jc w:val="right"/>
      <w:rPr>
        <w:rFonts w:ascii="Arial" w:eastAsia="Arial" w:hAnsi="Arial" w:cs="Arial"/>
        <w:color w:val="3E3C3C"/>
        <w:sz w:val="40"/>
        <w:szCs w:val="40"/>
      </w:rPr>
    </w:pPr>
    <w:proofErr w:type="spellStart"/>
    <w:r>
      <w:rPr>
        <w:rFonts w:ascii="Arial" w:eastAsia="Arial" w:hAnsi="Arial" w:cs="Arial"/>
        <w:b/>
        <w:color w:val="3E3C3C"/>
        <w:sz w:val="40"/>
        <w:szCs w:val="40"/>
      </w:rPr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124E0"/>
    <w:multiLevelType w:val="multilevel"/>
    <w:tmpl w:val="BAC4799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790201A"/>
    <w:multiLevelType w:val="multilevel"/>
    <w:tmpl w:val="84483DA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E1000F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A1"/>
    <w:rsid w:val="00246BEA"/>
    <w:rsid w:val="00270BA1"/>
    <w:rsid w:val="00F5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DD938-9C36-4EBB-8783-517D63CD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nkel.com/sustainability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enkel.com/sustainabilit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nkel.com/sustainabilit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g"/><Relationship Id="rId3" Type="http://schemas.openxmlformats.org/officeDocument/2006/relationships/image" Target="media/image4.png"/><Relationship Id="rId7" Type="http://schemas.openxmlformats.org/officeDocument/2006/relationships/image" Target="media/image8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g"/><Relationship Id="rId5" Type="http://schemas.openxmlformats.org/officeDocument/2006/relationships/image" Target="media/image6.jp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10322</Characters>
  <Application>Microsoft Office Word</Application>
  <DocSecurity>0</DocSecurity>
  <Lines>86</Lines>
  <Paragraphs>24</Paragraphs>
  <ScaleCrop>false</ScaleCrop>
  <Company/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Алена</cp:lastModifiedBy>
  <cp:revision>2</cp:revision>
  <dcterms:created xsi:type="dcterms:W3CDTF">2020-03-12T08:12:00Z</dcterms:created>
  <dcterms:modified xsi:type="dcterms:W3CDTF">2020-03-12T08:13:00Z</dcterms:modified>
</cp:coreProperties>
</file>